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drawings/drawing6.xml" ContentType="application/vnd.openxmlformats-officedocument.drawingml.chartshapes+xml"/>
  <Override PartName="/word/theme/themeOverride40.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rawings/drawing2.xml" ContentType="application/vnd.openxmlformats-officedocument.drawingml.chartshapes+xml"/>
  <Override PartName="/word/charts/chart55.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Default Extension="png" ContentType="image/png"/>
  <Override PartName="/word/theme/themeOverride16.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Override PartName="/word/drawings/drawing7.xml" ContentType="application/vnd.openxmlformats-officedocument.drawingml.chartshapes+xml"/>
  <Override PartName="/word/charts/chart49.xml" ContentType="application/vnd.openxmlformats-officedocument.drawingml.chart+xml"/>
  <Override PartName="/word/charts/chart78.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drawings/drawing8.xml" ContentType="application/vnd.openxmlformats-officedocument.drawingml.chartshapes+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drawings/drawing4.xml" ContentType="application/vnd.openxmlformats-officedocument.drawingml.chartshapes+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header2.xml" ContentType="application/vnd.openxmlformats-officedocument.wordprocessingml.header+xml"/>
  <Override PartName="/word/charts/chart60.xml" ContentType="application/vnd.openxmlformats-officedocument.drawingml.chart+xml"/>
  <Override PartName="/word/theme/themeOverride4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drawings/drawing9.xml" ContentType="application/vnd.openxmlformats-officedocument.drawingml.chartshapes+xml"/>
  <Default Extension="jpeg" ContentType="image/jpeg"/>
  <Override PartName="/word/theme/themeOverride21.xml" ContentType="application/vnd.openxmlformats-officedocument.themeOverride+xml"/>
  <Override PartName="/word/charts/chart69.xml" ContentType="application/vnd.openxmlformats-officedocument.drawingml.chart+xml"/>
  <Override PartName="/word/theme/themeOverride5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C6C" w:rsidRPr="00F7290F" w:rsidRDefault="00045F10" w:rsidP="00D65D2E">
      <w:pPr>
        <w:keepNext/>
        <w:widowControl w:val="0"/>
        <w:tabs>
          <w:tab w:val="left" w:pos="652"/>
          <w:tab w:val="left" w:pos="8188"/>
        </w:tabs>
        <w:spacing w:before="120" w:after="120"/>
        <w:jc w:val="center"/>
        <w:rPr>
          <w:lang w:val="uk-UA"/>
        </w:rPr>
      </w:pPr>
      <w:r w:rsidRPr="00F7290F">
        <w:rPr>
          <w:b/>
          <w:sz w:val="28"/>
          <w:szCs w:val="28"/>
          <w:lang w:val="uk-UA"/>
        </w:rPr>
        <w:t>Зміст</w:t>
      </w:r>
    </w:p>
    <w:p w:rsidR="00C06C6C" w:rsidRPr="00F7290F" w:rsidRDefault="00C06C6C" w:rsidP="00D65D2E">
      <w:pPr>
        <w:keepNext/>
        <w:widowControl w:val="0"/>
        <w:rPr>
          <w:lang w:val="uk-UA"/>
        </w:rPr>
      </w:pPr>
    </w:p>
    <w:tbl>
      <w:tblPr>
        <w:tblStyle w:val="af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7513"/>
        <w:gridCol w:w="1134"/>
      </w:tblGrid>
      <w:tr w:rsidR="00486A47" w:rsidRPr="00F7290F" w:rsidTr="00A72E7D">
        <w:tc>
          <w:tcPr>
            <w:tcW w:w="1134" w:type="dxa"/>
          </w:tcPr>
          <w:p w:rsidR="00486A47" w:rsidRPr="00F7290F" w:rsidRDefault="00486A47" w:rsidP="00D65D2E">
            <w:pPr>
              <w:keepNext/>
              <w:widowControl w:val="0"/>
              <w:rPr>
                <w:b/>
                <w:lang w:val="uk-UA"/>
              </w:rPr>
            </w:pPr>
          </w:p>
        </w:tc>
        <w:tc>
          <w:tcPr>
            <w:tcW w:w="7513" w:type="dxa"/>
          </w:tcPr>
          <w:p w:rsidR="00486A47" w:rsidRPr="00F7290F" w:rsidRDefault="00486A47" w:rsidP="00D65D2E">
            <w:pPr>
              <w:keepNext/>
              <w:widowControl w:val="0"/>
              <w:spacing w:after="120"/>
              <w:rPr>
                <w:b/>
                <w:lang w:val="uk-UA"/>
              </w:rPr>
            </w:pPr>
            <w:r w:rsidRPr="00F7290F">
              <w:rPr>
                <w:b/>
                <w:lang w:val="uk-UA"/>
              </w:rPr>
              <w:t>Вступ</w:t>
            </w:r>
          </w:p>
        </w:tc>
        <w:tc>
          <w:tcPr>
            <w:tcW w:w="1134" w:type="dxa"/>
          </w:tcPr>
          <w:p w:rsidR="00486A47" w:rsidRPr="00F7290F" w:rsidRDefault="00486A47" w:rsidP="00D65D2E">
            <w:pPr>
              <w:keepNext/>
              <w:widowControl w:val="0"/>
              <w:spacing w:after="120"/>
              <w:rPr>
                <w:lang w:val="uk-UA"/>
              </w:rPr>
            </w:pPr>
            <w:r w:rsidRPr="00F7290F">
              <w:rPr>
                <w:lang w:val="uk-UA"/>
              </w:rPr>
              <w:t>3</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1.</w:t>
            </w:r>
          </w:p>
        </w:tc>
        <w:tc>
          <w:tcPr>
            <w:tcW w:w="7513" w:type="dxa"/>
          </w:tcPr>
          <w:p w:rsidR="00850922" w:rsidRPr="00F7290F" w:rsidRDefault="00850922" w:rsidP="00D65D2E">
            <w:pPr>
              <w:keepNext/>
              <w:widowControl w:val="0"/>
              <w:spacing w:after="120"/>
              <w:rPr>
                <w:b/>
                <w:lang w:val="uk-UA"/>
              </w:rPr>
            </w:pPr>
            <w:r w:rsidRPr="00F7290F">
              <w:rPr>
                <w:b/>
                <w:lang w:val="uk-UA"/>
              </w:rPr>
              <w:t xml:space="preserve">Соціально-економічна ситуація в області </w:t>
            </w:r>
          </w:p>
        </w:tc>
        <w:tc>
          <w:tcPr>
            <w:tcW w:w="1134" w:type="dxa"/>
          </w:tcPr>
          <w:p w:rsidR="00850922" w:rsidRPr="00F7290F" w:rsidRDefault="00486A47" w:rsidP="00D65D2E">
            <w:pPr>
              <w:keepNext/>
              <w:widowControl w:val="0"/>
              <w:spacing w:after="120"/>
              <w:rPr>
                <w:lang w:val="uk-UA"/>
              </w:rPr>
            </w:pPr>
            <w:r w:rsidRPr="00F7290F">
              <w:rPr>
                <w:lang w:val="uk-UA"/>
              </w:rPr>
              <w:t>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1.1.</w:t>
            </w:r>
          </w:p>
        </w:tc>
        <w:tc>
          <w:tcPr>
            <w:tcW w:w="7513" w:type="dxa"/>
          </w:tcPr>
          <w:p w:rsidR="00850922" w:rsidRPr="00F7290F" w:rsidRDefault="00850922" w:rsidP="00D65D2E">
            <w:pPr>
              <w:keepNext/>
              <w:widowControl w:val="0"/>
              <w:spacing w:after="120"/>
              <w:rPr>
                <w:lang w:val="uk-UA"/>
              </w:rPr>
            </w:pPr>
            <w:r w:rsidRPr="00F7290F">
              <w:rPr>
                <w:lang w:val="uk-UA"/>
              </w:rPr>
              <w:t>Загальна характеристика області</w:t>
            </w:r>
          </w:p>
        </w:tc>
        <w:tc>
          <w:tcPr>
            <w:tcW w:w="1134" w:type="dxa"/>
          </w:tcPr>
          <w:p w:rsidR="00850922" w:rsidRPr="00F7290F" w:rsidRDefault="00486A47" w:rsidP="00D65D2E">
            <w:pPr>
              <w:keepNext/>
              <w:widowControl w:val="0"/>
              <w:spacing w:after="120"/>
              <w:rPr>
                <w:lang w:val="uk-UA"/>
              </w:rPr>
            </w:pPr>
            <w:r w:rsidRPr="00F7290F">
              <w:rPr>
                <w:lang w:val="uk-UA"/>
              </w:rPr>
              <w:t>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1.2.</w:t>
            </w:r>
          </w:p>
        </w:tc>
        <w:tc>
          <w:tcPr>
            <w:tcW w:w="7513" w:type="dxa"/>
          </w:tcPr>
          <w:p w:rsidR="00850922" w:rsidRPr="00F7290F" w:rsidRDefault="00850922" w:rsidP="00D65D2E">
            <w:pPr>
              <w:keepNext/>
              <w:widowControl w:val="0"/>
              <w:spacing w:after="120"/>
              <w:rPr>
                <w:lang w:val="uk-UA"/>
              </w:rPr>
            </w:pPr>
            <w:r w:rsidRPr="00F7290F">
              <w:rPr>
                <w:lang w:val="uk-UA"/>
              </w:rPr>
              <w:t>Тенденції соціально-економічного розвитку</w:t>
            </w:r>
          </w:p>
        </w:tc>
        <w:tc>
          <w:tcPr>
            <w:tcW w:w="1134" w:type="dxa"/>
          </w:tcPr>
          <w:p w:rsidR="00850922" w:rsidRPr="00F7290F" w:rsidRDefault="00486A47" w:rsidP="00D65D2E">
            <w:pPr>
              <w:keepNext/>
              <w:widowControl w:val="0"/>
              <w:spacing w:after="120"/>
              <w:rPr>
                <w:lang w:val="uk-UA"/>
              </w:rPr>
            </w:pPr>
            <w:r w:rsidRPr="00F7290F">
              <w:rPr>
                <w:lang w:val="uk-UA"/>
              </w:rPr>
              <w:t>11</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2.</w:t>
            </w:r>
          </w:p>
        </w:tc>
        <w:tc>
          <w:tcPr>
            <w:tcW w:w="7513" w:type="dxa"/>
          </w:tcPr>
          <w:p w:rsidR="00850922" w:rsidRPr="00F7290F" w:rsidRDefault="00850922" w:rsidP="00D65D2E">
            <w:pPr>
              <w:keepNext/>
              <w:widowControl w:val="0"/>
              <w:spacing w:after="120"/>
              <w:rPr>
                <w:b/>
                <w:lang w:val="uk-UA"/>
              </w:rPr>
            </w:pPr>
            <w:r w:rsidRPr="00F7290F">
              <w:rPr>
                <w:b/>
                <w:lang w:val="uk-UA"/>
              </w:rPr>
              <w:t>Головна мета та пріоритетні напрями розвитку на 2013 рік</w:t>
            </w:r>
          </w:p>
        </w:tc>
        <w:tc>
          <w:tcPr>
            <w:tcW w:w="1134" w:type="dxa"/>
          </w:tcPr>
          <w:p w:rsidR="00850922" w:rsidRPr="00F7290F" w:rsidRDefault="00486A47" w:rsidP="00D65D2E">
            <w:pPr>
              <w:keepNext/>
              <w:widowControl w:val="0"/>
              <w:spacing w:after="120"/>
              <w:rPr>
                <w:lang w:val="uk-UA"/>
              </w:rPr>
            </w:pPr>
            <w:r w:rsidRPr="00F7290F">
              <w:rPr>
                <w:lang w:val="uk-UA"/>
              </w:rPr>
              <w:t>31</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3.</w:t>
            </w:r>
          </w:p>
        </w:tc>
        <w:tc>
          <w:tcPr>
            <w:tcW w:w="7513" w:type="dxa"/>
          </w:tcPr>
          <w:p w:rsidR="00850922" w:rsidRPr="00F7290F" w:rsidRDefault="00850922" w:rsidP="00D65D2E">
            <w:pPr>
              <w:keepNext/>
              <w:widowControl w:val="0"/>
              <w:spacing w:after="120"/>
              <w:rPr>
                <w:b/>
                <w:lang w:val="uk-UA"/>
              </w:rPr>
            </w:pPr>
            <w:r w:rsidRPr="00F7290F">
              <w:rPr>
                <w:b/>
                <w:bCs/>
                <w:lang w:val="uk-UA" w:eastAsia="en-US"/>
              </w:rPr>
              <w:t>Розвиток людського потенціалу</w:t>
            </w:r>
          </w:p>
        </w:tc>
        <w:tc>
          <w:tcPr>
            <w:tcW w:w="1134" w:type="dxa"/>
          </w:tcPr>
          <w:p w:rsidR="00850922" w:rsidRPr="00F7290F" w:rsidRDefault="00486A47" w:rsidP="00D65D2E">
            <w:pPr>
              <w:keepNext/>
              <w:widowControl w:val="0"/>
              <w:spacing w:after="120"/>
              <w:rPr>
                <w:bCs/>
                <w:lang w:val="uk-UA" w:eastAsia="en-US"/>
              </w:rPr>
            </w:pPr>
            <w:r w:rsidRPr="00F7290F">
              <w:rPr>
                <w:bCs/>
                <w:lang w:val="uk-UA" w:eastAsia="en-US"/>
              </w:rPr>
              <w:t>31</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Демографічно-ресурсний розвиток</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31</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3.2.</w:t>
            </w:r>
          </w:p>
        </w:tc>
        <w:tc>
          <w:tcPr>
            <w:tcW w:w="7513" w:type="dxa"/>
          </w:tcPr>
          <w:p w:rsidR="00850922" w:rsidRPr="00F7290F" w:rsidRDefault="00914A69" w:rsidP="00D65D2E">
            <w:pPr>
              <w:keepNext/>
              <w:widowControl w:val="0"/>
              <w:spacing w:after="120"/>
              <w:rPr>
                <w:rStyle w:val="af4"/>
                <w:color w:val="auto"/>
                <w:u w:val="none"/>
                <w:lang w:val="uk-UA"/>
              </w:rPr>
            </w:pPr>
            <w:hyperlink r:id="rId8" w:anchor="_Toc130175726" w:history="1">
              <w:r w:rsidR="00850922" w:rsidRPr="00F7290F">
                <w:rPr>
                  <w:rStyle w:val="af4"/>
                  <w:color w:val="auto"/>
                  <w:u w:val="none"/>
                  <w:lang w:val="uk-UA"/>
                </w:rPr>
                <w:t xml:space="preserve">Зайнятість населення </w:t>
              </w:r>
            </w:hyperlink>
            <w:r w:rsidR="00850922" w:rsidRPr="00F7290F">
              <w:rPr>
                <w:rStyle w:val="af4"/>
                <w:color w:val="auto"/>
                <w:u w:val="none"/>
                <w:lang w:val="uk-UA"/>
              </w:rPr>
              <w:t xml:space="preserve"> та ринок праці</w:t>
            </w:r>
          </w:p>
        </w:tc>
        <w:tc>
          <w:tcPr>
            <w:tcW w:w="1134" w:type="dxa"/>
          </w:tcPr>
          <w:p w:rsidR="00850922" w:rsidRPr="00F7290F" w:rsidRDefault="00486A47" w:rsidP="00D65D2E">
            <w:pPr>
              <w:keepNext/>
              <w:widowControl w:val="0"/>
              <w:spacing w:after="120"/>
              <w:rPr>
                <w:lang w:val="uk-UA"/>
              </w:rPr>
            </w:pPr>
            <w:r w:rsidRPr="00F7290F">
              <w:rPr>
                <w:lang w:val="uk-UA"/>
              </w:rPr>
              <w:t>32</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3.3.</w:t>
            </w:r>
          </w:p>
        </w:tc>
        <w:tc>
          <w:tcPr>
            <w:tcW w:w="7513" w:type="dxa"/>
          </w:tcPr>
          <w:p w:rsidR="00850922" w:rsidRPr="00F7290F" w:rsidRDefault="00914A69" w:rsidP="00D65D2E">
            <w:pPr>
              <w:keepNext/>
              <w:widowControl w:val="0"/>
              <w:spacing w:after="120"/>
              <w:rPr>
                <w:bCs/>
                <w:lang w:val="uk-UA" w:eastAsia="en-US"/>
              </w:rPr>
            </w:pPr>
            <w:hyperlink r:id="rId9" w:anchor="_Toc130175725" w:history="1">
              <w:r w:rsidR="00850922" w:rsidRPr="00F7290F">
                <w:rPr>
                  <w:rStyle w:val="af4"/>
                  <w:color w:val="auto"/>
                  <w:u w:val="none"/>
                  <w:lang w:val="uk-UA"/>
                </w:rPr>
                <w:t>Доходи населення та заробітна плата</w:t>
              </w:r>
            </w:hyperlink>
          </w:p>
        </w:tc>
        <w:tc>
          <w:tcPr>
            <w:tcW w:w="1134" w:type="dxa"/>
          </w:tcPr>
          <w:p w:rsidR="00850922" w:rsidRPr="00F7290F" w:rsidRDefault="00486A47" w:rsidP="00D65D2E">
            <w:pPr>
              <w:keepNext/>
              <w:widowControl w:val="0"/>
              <w:spacing w:after="120"/>
              <w:rPr>
                <w:lang w:val="uk-UA"/>
              </w:rPr>
            </w:pPr>
            <w:r w:rsidRPr="00F7290F">
              <w:rPr>
                <w:lang w:val="uk-UA"/>
              </w:rPr>
              <w:t>33</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3.4.</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Пенсійне забезпечення та соціальне страхування</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34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3.5.</w:t>
            </w:r>
          </w:p>
        </w:tc>
        <w:tc>
          <w:tcPr>
            <w:tcW w:w="7513" w:type="dxa"/>
          </w:tcPr>
          <w:p w:rsidR="00850922" w:rsidRPr="00F7290F" w:rsidRDefault="00914A69" w:rsidP="00D65D2E">
            <w:pPr>
              <w:keepNext/>
              <w:widowControl w:val="0"/>
              <w:spacing w:after="120"/>
              <w:rPr>
                <w:bCs/>
                <w:lang w:val="uk-UA" w:eastAsia="en-US"/>
              </w:rPr>
            </w:pPr>
            <w:hyperlink r:id="rId10" w:anchor="_Toc130175727" w:history="1">
              <w:r w:rsidR="00850922" w:rsidRPr="00F7290F">
                <w:rPr>
                  <w:rStyle w:val="af4"/>
                  <w:color w:val="auto"/>
                  <w:u w:val="none"/>
                  <w:lang w:val="uk-UA"/>
                </w:rPr>
                <w:t>Соціальний захист</w:t>
              </w:r>
            </w:hyperlink>
            <w:r w:rsidR="00850922" w:rsidRPr="00F7290F">
              <w:rPr>
                <w:lang w:val="uk-UA"/>
              </w:rPr>
              <w:t xml:space="preserve"> населення</w:t>
            </w:r>
          </w:p>
        </w:tc>
        <w:tc>
          <w:tcPr>
            <w:tcW w:w="1134" w:type="dxa"/>
          </w:tcPr>
          <w:p w:rsidR="00850922" w:rsidRPr="00F7290F" w:rsidRDefault="00486A47" w:rsidP="00D65D2E">
            <w:pPr>
              <w:keepNext/>
              <w:widowControl w:val="0"/>
              <w:spacing w:after="120"/>
              <w:rPr>
                <w:lang w:val="uk-UA"/>
              </w:rPr>
            </w:pPr>
            <w:r w:rsidRPr="00F7290F">
              <w:rPr>
                <w:lang w:val="uk-UA"/>
              </w:rPr>
              <w:t>35</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3.6.</w:t>
            </w:r>
          </w:p>
        </w:tc>
        <w:tc>
          <w:tcPr>
            <w:tcW w:w="7513" w:type="dxa"/>
          </w:tcPr>
          <w:p w:rsidR="00850922" w:rsidRPr="00F7290F" w:rsidRDefault="00914A69" w:rsidP="00D65D2E">
            <w:pPr>
              <w:keepNext/>
              <w:widowControl w:val="0"/>
              <w:spacing w:after="120"/>
              <w:rPr>
                <w:bCs/>
                <w:lang w:val="uk-UA" w:eastAsia="en-US"/>
              </w:rPr>
            </w:pPr>
            <w:hyperlink w:anchor="_Toc130175735" w:history="1">
              <w:r w:rsidR="00850922" w:rsidRPr="00F7290F">
                <w:rPr>
                  <w:rStyle w:val="af4"/>
                  <w:color w:val="auto"/>
                  <w:u w:val="none"/>
                  <w:lang w:val="uk-UA"/>
                </w:rPr>
                <w:t xml:space="preserve">Охорона здоров’я </w:t>
              </w:r>
            </w:hyperlink>
          </w:p>
        </w:tc>
        <w:tc>
          <w:tcPr>
            <w:tcW w:w="1134" w:type="dxa"/>
          </w:tcPr>
          <w:p w:rsidR="00850922" w:rsidRPr="00F7290F" w:rsidRDefault="00486A47" w:rsidP="00D65D2E">
            <w:pPr>
              <w:keepNext/>
              <w:widowControl w:val="0"/>
              <w:spacing w:after="120"/>
              <w:rPr>
                <w:lang w:val="uk-UA"/>
              </w:rPr>
            </w:pPr>
            <w:r w:rsidRPr="00F7290F">
              <w:rPr>
                <w:lang w:val="uk-UA"/>
              </w:rPr>
              <w:t>36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3.7.</w:t>
            </w:r>
          </w:p>
        </w:tc>
        <w:tc>
          <w:tcPr>
            <w:tcW w:w="7513" w:type="dxa"/>
          </w:tcPr>
          <w:p w:rsidR="00850922" w:rsidRPr="00F7290F" w:rsidRDefault="00914A69" w:rsidP="00D65D2E">
            <w:pPr>
              <w:keepNext/>
              <w:widowControl w:val="0"/>
              <w:spacing w:after="120"/>
              <w:rPr>
                <w:bCs/>
                <w:lang w:val="uk-UA" w:eastAsia="en-US"/>
              </w:rPr>
            </w:pPr>
            <w:hyperlink w:anchor="_Toc130175736" w:history="1">
              <w:r w:rsidR="00850922" w:rsidRPr="00F7290F">
                <w:rPr>
                  <w:rStyle w:val="af4"/>
                  <w:color w:val="auto"/>
                  <w:u w:val="none"/>
                  <w:lang w:val="uk-UA"/>
                </w:rPr>
                <w:t>Освіта</w:t>
              </w:r>
              <w:r w:rsidR="00850922" w:rsidRPr="00F7290F">
                <w:rPr>
                  <w:webHidden/>
                  <w:lang w:val="uk-UA"/>
                </w:rPr>
                <w:tab/>
              </w:r>
            </w:hyperlink>
            <w:r w:rsidR="00850922" w:rsidRPr="00F7290F">
              <w:rPr>
                <w:bCs/>
                <w:lang w:val="uk-UA" w:eastAsia="en-US"/>
              </w:rPr>
              <w:t xml:space="preserve"> </w:t>
            </w:r>
          </w:p>
        </w:tc>
        <w:tc>
          <w:tcPr>
            <w:tcW w:w="1134" w:type="dxa"/>
          </w:tcPr>
          <w:p w:rsidR="00850922" w:rsidRPr="00F7290F" w:rsidRDefault="00486A47" w:rsidP="00D65D2E">
            <w:pPr>
              <w:keepNext/>
              <w:widowControl w:val="0"/>
              <w:spacing w:after="120"/>
              <w:rPr>
                <w:lang w:val="uk-UA"/>
              </w:rPr>
            </w:pPr>
            <w:r w:rsidRPr="00F7290F">
              <w:rPr>
                <w:lang w:val="uk-UA"/>
              </w:rPr>
              <w:t>38</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3.8.</w:t>
            </w:r>
          </w:p>
        </w:tc>
        <w:tc>
          <w:tcPr>
            <w:tcW w:w="7513" w:type="dxa"/>
          </w:tcPr>
          <w:p w:rsidR="00850922" w:rsidRPr="00F7290F" w:rsidRDefault="00914A69" w:rsidP="00D65D2E">
            <w:pPr>
              <w:keepNext/>
              <w:widowControl w:val="0"/>
              <w:spacing w:after="120"/>
              <w:rPr>
                <w:lang w:val="uk-UA"/>
              </w:rPr>
            </w:pPr>
            <w:hyperlink r:id="rId11" w:anchor="_Toc130175740" w:history="1">
              <w:r w:rsidR="00850922" w:rsidRPr="00F7290F">
                <w:rPr>
                  <w:rStyle w:val="af4"/>
                  <w:color w:val="auto"/>
                  <w:u w:val="none"/>
                  <w:lang w:val="uk-UA"/>
                </w:rPr>
                <w:t>Розвиток інформаційного простору</w:t>
              </w:r>
            </w:hyperlink>
          </w:p>
        </w:tc>
        <w:tc>
          <w:tcPr>
            <w:tcW w:w="1134" w:type="dxa"/>
          </w:tcPr>
          <w:p w:rsidR="00850922" w:rsidRPr="00F7290F" w:rsidRDefault="00486A47" w:rsidP="00D65D2E">
            <w:pPr>
              <w:keepNext/>
              <w:widowControl w:val="0"/>
              <w:spacing w:after="120"/>
              <w:rPr>
                <w:lang w:val="uk-UA"/>
              </w:rPr>
            </w:pPr>
            <w:r w:rsidRPr="00F7290F">
              <w:rPr>
                <w:lang w:val="uk-UA"/>
              </w:rPr>
              <w:t>39</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3.9.</w:t>
            </w:r>
          </w:p>
        </w:tc>
        <w:tc>
          <w:tcPr>
            <w:tcW w:w="7513" w:type="dxa"/>
          </w:tcPr>
          <w:p w:rsidR="00850922" w:rsidRPr="00F7290F" w:rsidRDefault="00850922" w:rsidP="00D65D2E">
            <w:pPr>
              <w:keepNext/>
              <w:widowControl w:val="0"/>
              <w:rPr>
                <w:lang w:val="uk-UA"/>
              </w:rPr>
            </w:pPr>
            <w:r w:rsidRPr="00F7290F">
              <w:rPr>
                <w:rStyle w:val="af4"/>
                <w:color w:val="auto"/>
                <w:u w:val="none"/>
                <w:lang w:val="uk-UA"/>
              </w:rPr>
              <w:t>Підтримка сім'ї, дітей та молоді.</w:t>
            </w:r>
            <w:r w:rsidRPr="00F7290F">
              <w:rPr>
                <w:lang w:val="uk-UA"/>
              </w:rPr>
              <w:t xml:space="preserve"> </w:t>
            </w:r>
          </w:p>
          <w:p w:rsidR="00850922" w:rsidRPr="00F7290F" w:rsidRDefault="00850922" w:rsidP="00D65D2E">
            <w:pPr>
              <w:keepNext/>
              <w:widowControl w:val="0"/>
              <w:spacing w:after="120"/>
              <w:rPr>
                <w:bCs/>
                <w:lang w:val="uk-UA" w:eastAsia="en-US"/>
              </w:rPr>
            </w:pPr>
            <w:r w:rsidRPr="00F7290F">
              <w:rPr>
                <w:lang w:val="uk-UA"/>
              </w:rPr>
              <w:t>Захист прав дітей-сиріт та дітей, позбавлених батьківського піклування</w:t>
            </w:r>
          </w:p>
        </w:tc>
        <w:tc>
          <w:tcPr>
            <w:tcW w:w="1134" w:type="dxa"/>
          </w:tcPr>
          <w:p w:rsidR="00850922" w:rsidRPr="00F7290F" w:rsidRDefault="00486A47" w:rsidP="00D65D2E">
            <w:pPr>
              <w:keepNext/>
              <w:widowControl w:val="0"/>
              <w:rPr>
                <w:rStyle w:val="af4"/>
                <w:color w:val="auto"/>
                <w:u w:val="none"/>
                <w:lang w:val="uk-UA"/>
              </w:rPr>
            </w:pPr>
            <w:r w:rsidRPr="00F7290F">
              <w:rPr>
                <w:rStyle w:val="af4"/>
                <w:color w:val="auto"/>
                <w:u w:val="none"/>
                <w:lang w:val="uk-UA"/>
              </w:rPr>
              <w:t>40</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3.10.</w:t>
            </w:r>
          </w:p>
        </w:tc>
        <w:tc>
          <w:tcPr>
            <w:tcW w:w="7513" w:type="dxa"/>
          </w:tcPr>
          <w:p w:rsidR="00850922" w:rsidRPr="00F7290F" w:rsidRDefault="00914A69" w:rsidP="00D65D2E">
            <w:pPr>
              <w:keepNext/>
              <w:widowControl w:val="0"/>
              <w:spacing w:after="120"/>
              <w:rPr>
                <w:bCs/>
                <w:lang w:val="uk-UA" w:eastAsia="en-US"/>
              </w:rPr>
            </w:pPr>
            <w:hyperlink w:anchor="_Toc130175737" w:history="1">
              <w:r w:rsidR="00850922" w:rsidRPr="00F7290F">
                <w:rPr>
                  <w:rStyle w:val="af4"/>
                  <w:color w:val="auto"/>
                  <w:u w:val="none"/>
                  <w:lang w:val="uk-UA"/>
                </w:rPr>
                <w:t>Культура</w:t>
              </w:r>
            </w:hyperlink>
          </w:p>
        </w:tc>
        <w:tc>
          <w:tcPr>
            <w:tcW w:w="1134" w:type="dxa"/>
          </w:tcPr>
          <w:p w:rsidR="00850922" w:rsidRPr="00F7290F" w:rsidRDefault="00486A47" w:rsidP="00D65D2E">
            <w:pPr>
              <w:keepNext/>
              <w:widowControl w:val="0"/>
              <w:spacing w:after="120"/>
              <w:rPr>
                <w:lang w:val="uk-UA"/>
              </w:rPr>
            </w:pPr>
            <w:r w:rsidRPr="00F7290F">
              <w:rPr>
                <w:lang w:val="uk-UA"/>
              </w:rPr>
              <w:t>42</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3.11.</w:t>
            </w:r>
          </w:p>
        </w:tc>
        <w:tc>
          <w:tcPr>
            <w:tcW w:w="7513" w:type="dxa"/>
          </w:tcPr>
          <w:p w:rsidR="00850922" w:rsidRPr="00F7290F" w:rsidRDefault="00914A69" w:rsidP="00D65D2E">
            <w:pPr>
              <w:keepNext/>
              <w:widowControl w:val="0"/>
              <w:spacing w:after="120"/>
              <w:rPr>
                <w:bCs/>
                <w:lang w:val="uk-UA" w:eastAsia="en-US"/>
              </w:rPr>
            </w:pPr>
            <w:hyperlink w:anchor="_Toc130175738" w:history="1">
              <w:r w:rsidR="00850922" w:rsidRPr="00F7290F">
                <w:rPr>
                  <w:rStyle w:val="af4"/>
                  <w:color w:val="auto"/>
                  <w:u w:val="none"/>
                  <w:lang w:val="uk-UA"/>
                </w:rPr>
                <w:t>Фізичне виховання та спорт</w:t>
              </w:r>
            </w:hyperlink>
          </w:p>
        </w:tc>
        <w:tc>
          <w:tcPr>
            <w:tcW w:w="1134" w:type="dxa"/>
          </w:tcPr>
          <w:p w:rsidR="00850922" w:rsidRPr="00F7290F" w:rsidRDefault="00486A47" w:rsidP="00D65D2E">
            <w:pPr>
              <w:keepNext/>
              <w:widowControl w:val="0"/>
              <w:spacing w:after="120"/>
              <w:rPr>
                <w:lang w:val="uk-UA"/>
              </w:rPr>
            </w:pPr>
            <w:r w:rsidRPr="00F7290F">
              <w:rPr>
                <w:lang w:val="uk-UA"/>
              </w:rPr>
              <w:t>43</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3.12.</w:t>
            </w:r>
          </w:p>
        </w:tc>
        <w:tc>
          <w:tcPr>
            <w:tcW w:w="7513" w:type="dxa"/>
          </w:tcPr>
          <w:p w:rsidR="00850922" w:rsidRPr="00F7290F" w:rsidRDefault="00914A69" w:rsidP="00D65D2E">
            <w:pPr>
              <w:keepNext/>
              <w:widowControl w:val="0"/>
              <w:spacing w:after="120"/>
              <w:rPr>
                <w:bCs/>
                <w:lang w:val="uk-UA" w:eastAsia="en-US"/>
              </w:rPr>
            </w:pPr>
            <w:hyperlink w:anchor="_Toc130175739" w:history="1">
              <w:r w:rsidR="00850922" w:rsidRPr="00F7290F">
                <w:rPr>
                  <w:rStyle w:val="af4"/>
                  <w:color w:val="auto"/>
                  <w:u w:val="none"/>
                  <w:lang w:val="uk-UA"/>
                </w:rPr>
                <w:t>Розвиток туризму і курортів</w:t>
              </w:r>
            </w:hyperlink>
          </w:p>
        </w:tc>
        <w:tc>
          <w:tcPr>
            <w:tcW w:w="1134" w:type="dxa"/>
          </w:tcPr>
          <w:p w:rsidR="00850922" w:rsidRPr="00F7290F" w:rsidRDefault="00486A47" w:rsidP="00D65D2E">
            <w:pPr>
              <w:keepNext/>
              <w:widowControl w:val="0"/>
              <w:spacing w:after="120"/>
              <w:rPr>
                <w:lang w:val="uk-UA"/>
              </w:rPr>
            </w:pPr>
            <w:r w:rsidRPr="00F7290F">
              <w:rPr>
                <w:lang w:val="uk-UA"/>
              </w:rPr>
              <w:t>44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3.13.</w:t>
            </w:r>
          </w:p>
        </w:tc>
        <w:tc>
          <w:tcPr>
            <w:tcW w:w="7513" w:type="dxa"/>
          </w:tcPr>
          <w:p w:rsidR="00850922" w:rsidRPr="00F7290F" w:rsidRDefault="00850922" w:rsidP="00D65D2E">
            <w:pPr>
              <w:keepNext/>
              <w:widowControl w:val="0"/>
              <w:spacing w:after="120"/>
              <w:rPr>
                <w:lang w:val="uk-UA"/>
              </w:rPr>
            </w:pPr>
            <w:r w:rsidRPr="00F7290F">
              <w:rPr>
                <w:bCs/>
                <w:lang w:val="uk-UA"/>
              </w:rPr>
              <w:t>Захист прав і свобод громадян, з</w:t>
            </w:r>
            <w:r w:rsidRPr="00F7290F">
              <w:rPr>
                <w:lang w:val="uk-UA"/>
              </w:rPr>
              <w:t>абезпечення законності та правопорядку</w:t>
            </w:r>
          </w:p>
        </w:tc>
        <w:tc>
          <w:tcPr>
            <w:tcW w:w="1134" w:type="dxa"/>
          </w:tcPr>
          <w:p w:rsidR="00850922" w:rsidRPr="00F7290F" w:rsidRDefault="00486A47" w:rsidP="00D65D2E">
            <w:pPr>
              <w:keepNext/>
              <w:widowControl w:val="0"/>
              <w:spacing w:after="120"/>
              <w:rPr>
                <w:bCs/>
                <w:lang w:val="uk-UA"/>
              </w:rPr>
            </w:pPr>
            <w:r w:rsidRPr="00F7290F">
              <w:rPr>
                <w:bCs/>
                <w:lang w:val="uk-UA"/>
              </w:rPr>
              <w:t>45</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3.14.</w:t>
            </w:r>
          </w:p>
        </w:tc>
        <w:tc>
          <w:tcPr>
            <w:tcW w:w="7513" w:type="dxa"/>
          </w:tcPr>
          <w:p w:rsidR="00850922" w:rsidRPr="00F7290F" w:rsidRDefault="00850922" w:rsidP="00D65D2E">
            <w:pPr>
              <w:keepNext/>
              <w:widowControl w:val="0"/>
              <w:spacing w:after="120"/>
              <w:rPr>
                <w:lang w:val="uk-UA" w:eastAsia="en-US"/>
              </w:rPr>
            </w:pPr>
            <w:r w:rsidRPr="00F7290F">
              <w:rPr>
                <w:lang w:val="uk-UA"/>
              </w:rPr>
              <w:t>Охорона навколишнього природного середовища</w:t>
            </w:r>
          </w:p>
        </w:tc>
        <w:tc>
          <w:tcPr>
            <w:tcW w:w="1134" w:type="dxa"/>
          </w:tcPr>
          <w:p w:rsidR="00850922" w:rsidRPr="00F7290F" w:rsidRDefault="00486A47" w:rsidP="00D65D2E">
            <w:pPr>
              <w:keepNext/>
              <w:widowControl w:val="0"/>
              <w:spacing w:after="120"/>
              <w:rPr>
                <w:lang w:val="uk-UA"/>
              </w:rPr>
            </w:pPr>
            <w:r w:rsidRPr="00F7290F">
              <w:rPr>
                <w:lang w:val="uk-UA"/>
              </w:rPr>
              <w:t>46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3.15.</w:t>
            </w:r>
          </w:p>
        </w:tc>
        <w:tc>
          <w:tcPr>
            <w:tcW w:w="7513" w:type="dxa"/>
          </w:tcPr>
          <w:p w:rsidR="00850922" w:rsidRPr="00F7290F" w:rsidRDefault="00850922" w:rsidP="00D65D2E">
            <w:pPr>
              <w:keepNext/>
              <w:widowControl w:val="0"/>
              <w:spacing w:after="120"/>
              <w:rPr>
                <w:lang w:val="uk-UA"/>
              </w:rPr>
            </w:pPr>
            <w:r w:rsidRPr="00F7290F">
              <w:rPr>
                <w:lang w:val="uk-UA"/>
              </w:rPr>
              <w:t>Захист населення і територій від надзвичайних ситуацій</w:t>
            </w:r>
          </w:p>
        </w:tc>
        <w:tc>
          <w:tcPr>
            <w:tcW w:w="1134" w:type="dxa"/>
          </w:tcPr>
          <w:p w:rsidR="00850922" w:rsidRPr="00F7290F" w:rsidRDefault="00486A47" w:rsidP="00D65D2E">
            <w:pPr>
              <w:keepNext/>
              <w:widowControl w:val="0"/>
              <w:spacing w:after="120"/>
              <w:rPr>
                <w:lang w:val="uk-UA"/>
              </w:rPr>
            </w:pPr>
            <w:r w:rsidRPr="00F7290F">
              <w:rPr>
                <w:lang w:val="uk-UA"/>
              </w:rPr>
              <w:t>47</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4.</w:t>
            </w:r>
          </w:p>
        </w:tc>
        <w:tc>
          <w:tcPr>
            <w:tcW w:w="7513" w:type="dxa"/>
          </w:tcPr>
          <w:p w:rsidR="00850922" w:rsidRPr="00F7290F" w:rsidRDefault="00850922" w:rsidP="00D65D2E">
            <w:pPr>
              <w:keepNext/>
              <w:widowControl w:val="0"/>
              <w:spacing w:after="120"/>
              <w:rPr>
                <w:b/>
                <w:spacing w:val="-4"/>
                <w:lang w:val="uk-UA"/>
              </w:rPr>
            </w:pPr>
            <w:r w:rsidRPr="00F7290F">
              <w:rPr>
                <w:b/>
                <w:spacing w:val="-4"/>
                <w:lang w:val="uk-UA"/>
              </w:rPr>
              <w:t xml:space="preserve">Створення умов для сталого економічного  розвитку </w:t>
            </w:r>
          </w:p>
        </w:tc>
        <w:tc>
          <w:tcPr>
            <w:tcW w:w="1134" w:type="dxa"/>
          </w:tcPr>
          <w:p w:rsidR="00850922" w:rsidRPr="00F7290F" w:rsidRDefault="00486A47" w:rsidP="00D65D2E">
            <w:pPr>
              <w:keepNext/>
              <w:widowControl w:val="0"/>
              <w:spacing w:after="120"/>
              <w:rPr>
                <w:spacing w:val="-4"/>
                <w:lang w:val="uk-UA"/>
              </w:rPr>
            </w:pPr>
            <w:r w:rsidRPr="00F7290F">
              <w:rPr>
                <w:spacing w:val="-4"/>
                <w:lang w:val="uk-UA"/>
              </w:rPr>
              <w:t>48</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4.1.</w:t>
            </w:r>
          </w:p>
        </w:tc>
        <w:tc>
          <w:tcPr>
            <w:tcW w:w="7513" w:type="dxa"/>
          </w:tcPr>
          <w:p w:rsidR="00850922" w:rsidRPr="00F7290F" w:rsidRDefault="00850922" w:rsidP="00D65D2E">
            <w:pPr>
              <w:keepNext/>
              <w:widowControl w:val="0"/>
              <w:spacing w:after="120"/>
              <w:rPr>
                <w:bCs/>
                <w:lang w:val="uk-UA" w:eastAsia="en-US"/>
              </w:rPr>
            </w:pPr>
            <w:r w:rsidRPr="00F7290F">
              <w:rPr>
                <w:rStyle w:val="af4"/>
                <w:color w:val="auto"/>
                <w:u w:val="none"/>
                <w:lang w:val="uk-UA"/>
              </w:rPr>
              <w:t>Податково-бюджетна діяльність</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48</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4.2.</w:t>
            </w:r>
          </w:p>
        </w:tc>
        <w:tc>
          <w:tcPr>
            <w:tcW w:w="7513" w:type="dxa"/>
          </w:tcPr>
          <w:p w:rsidR="00850922" w:rsidRPr="00F7290F" w:rsidRDefault="00850922" w:rsidP="00D65D2E">
            <w:pPr>
              <w:keepNext/>
              <w:widowControl w:val="0"/>
              <w:spacing w:after="120"/>
              <w:rPr>
                <w:lang w:val="uk-UA"/>
              </w:rPr>
            </w:pPr>
            <w:r w:rsidRPr="00F7290F">
              <w:rPr>
                <w:lang w:val="uk-UA"/>
              </w:rPr>
              <w:t>Діяльність банківської системи</w:t>
            </w:r>
          </w:p>
        </w:tc>
        <w:tc>
          <w:tcPr>
            <w:tcW w:w="1134" w:type="dxa"/>
          </w:tcPr>
          <w:p w:rsidR="00850922" w:rsidRPr="00F7290F" w:rsidRDefault="00486A47" w:rsidP="00D65D2E">
            <w:pPr>
              <w:keepNext/>
              <w:widowControl w:val="0"/>
              <w:spacing w:after="120"/>
              <w:rPr>
                <w:lang w:val="uk-UA"/>
              </w:rPr>
            </w:pPr>
            <w:r w:rsidRPr="00F7290F">
              <w:rPr>
                <w:lang w:val="uk-UA"/>
              </w:rPr>
              <w:t>49</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4.3.</w:t>
            </w:r>
          </w:p>
        </w:tc>
        <w:tc>
          <w:tcPr>
            <w:tcW w:w="7513" w:type="dxa"/>
          </w:tcPr>
          <w:p w:rsidR="00850922" w:rsidRPr="00F7290F" w:rsidRDefault="00850922" w:rsidP="00D65D2E">
            <w:pPr>
              <w:keepNext/>
              <w:widowControl w:val="0"/>
              <w:spacing w:after="120"/>
              <w:rPr>
                <w:lang w:val="uk-UA"/>
              </w:rPr>
            </w:pPr>
            <w:r w:rsidRPr="00F7290F">
              <w:rPr>
                <w:lang w:val="uk-UA"/>
              </w:rPr>
              <w:t>Дерегуляція й розвиток підприємництва</w:t>
            </w:r>
          </w:p>
        </w:tc>
        <w:tc>
          <w:tcPr>
            <w:tcW w:w="1134" w:type="dxa"/>
          </w:tcPr>
          <w:p w:rsidR="00850922" w:rsidRPr="00F7290F" w:rsidRDefault="00486A47" w:rsidP="00D65D2E">
            <w:pPr>
              <w:keepNext/>
              <w:widowControl w:val="0"/>
              <w:spacing w:after="120"/>
              <w:rPr>
                <w:lang w:val="uk-UA"/>
              </w:rPr>
            </w:pPr>
            <w:r w:rsidRPr="00F7290F">
              <w:rPr>
                <w:lang w:val="uk-UA"/>
              </w:rPr>
              <w:t>50</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4.4.</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 xml:space="preserve">Розвиток внутрішньої торгівлі. </w:t>
            </w:r>
            <w:r w:rsidRPr="00F7290F">
              <w:rPr>
                <w:lang w:val="uk-UA"/>
              </w:rPr>
              <w:t>З</w:t>
            </w:r>
            <w:r w:rsidRPr="00F7290F">
              <w:rPr>
                <w:rStyle w:val="af4"/>
                <w:color w:val="auto"/>
                <w:u w:val="none"/>
                <w:lang w:val="uk-UA"/>
              </w:rPr>
              <w:t>ахист прав споживачів</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51</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4.5.</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Інвестиційна діяльність.</w:t>
            </w:r>
            <w:r w:rsidRPr="00F7290F">
              <w:rPr>
                <w:lang w:val="uk-UA"/>
              </w:rPr>
              <w:t xml:space="preserve"> Підтримка власного товаровиробника</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52</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4.6.</w:t>
            </w:r>
          </w:p>
        </w:tc>
        <w:tc>
          <w:tcPr>
            <w:tcW w:w="7513" w:type="dxa"/>
          </w:tcPr>
          <w:p w:rsidR="00850922" w:rsidRPr="00F7290F" w:rsidRDefault="00914A69" w:rsidP="00D65D2E">
            <w:pPr>
              <w:keepNext/>
              <w:widowControl w:val="0"/>
              <w:spacing w:after="120"/>
              <w:rPr>
                <w:lang w:val="uk-UA"/>
              </w:rPr>
            </w:pPr>
            <w:hyperlink r:id="rId12" w:anchor="_Toc130175746" w:history="1">
              <w:r w:rsidR="00850922" w:rsidRPr="00F7290F">
                <w:rPr>
                  <w:rStyle w:val="af4"/>
                  <w:color w:val="auto"/>
                  <w:u w:val="none"/>
                  <w:lang w:val="uk-UA"/>
                </w:rPr>
                <w:t>Науково-технічна та інновацій</w:t>
              </w:r>
            </w:hyperlink>
            <w:r w:rsidR="00850922" w:rsidRPr="00F7290F">
              <w:rPr>
                <w:rStyle w:val="af4"/>
                <w:color w:val="auto"/>
                <w:u w:val="none"/>
                <w:lang w:val="uk-UA"/>
              </w:rPr>
              <w:t>на діяльність</w:t>
            </w:r>
          </w:p>
        </w:tc>
        <w:tc>
          <w:tcPr>
            <w:tcW w:w="1134" w:type="dxa"/>
          </w:tcPr>
          <w:p w:rsidR="00850922" w:rsidRPr="00F7290F" w:rsidRDefault="00486A47" w:rsidP="008900EB">
            <w:pPr>
              <w:keepNext/>
              <w:widowControl w:val="0"/>
              <w:spacing w:after="120"/>
              <w:rPr>
                <w:lang w:val="uk-UA"/>
              </w:rPr>
            </w:pPr>
            <w:r w:rsidRPr="00F7290F">
              <w:rPr>
                <w:lang w:val="uk-UA"/>
              </w:rPr>
              <w:t>5</w:t>
            </w:r>
            <w:r w:rsidR="008900EB">
              <w:rPr>
                <w:lang w:val="uk-UA"/>
              </w:rPr>
              <w:t>3</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4.7.</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Виставково-конгресна діяльність</w:t>
            </w:r>
          </w:p>
        </w:tc>
        <w:tc>
          <w:tcPr>
            <w:tcW w:w="1134" w:type="dxa"/>
          </w:tcPr>
          <w:p w:rsidR="00850922" w:rsidRPr="00F7290F" w:rsidRDefault="00486A47" w:rsidP="008900EB">
            <w:pPr>
              <w:keepNext/>
              <w:widowControl w:val="0"/>
              <w:rPr>
                <w:lang w:val="uk-UA"/>
              </w:rPr>
            </w:pPr>
            <w:r w:rsidRPr="00F7290F">
              <w:rPr>
                <w:lang w:val="uk-UA"/>
              </w:rPr>
              <w:t>5</w:t>
            </w:r>
            <w:r w:rsidR="008900EB">
              <w:rPr>
                <w:lang w:val="uk-UA"/>
              </w:rPr>
              <w:t>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4.8.</w:t>
            </w:r>
          </w:p>
        </w:tc>
        <w:tc>
          <w:tcPr>
            <w:tcW w:w="7513" w:type="dxa"/>
          </w:tcPr>
          <w:p w:rsidR="00850922" w:rsidRPr="00F7290F" w:rsidRDefault="00850922" w:rsidP="00486A47">
            <w:pPr>
              <w:keepNext/>
              <w:widowControl w:val="0"/>
              <w:spacing w:after="120"/>
              <w:rPr>
                <w:rStyle w:val="af4"/>
                <w:color w:val="auto"/>
                <w:u w:val="none"/>
                <w:lang w:val="uk-UA"/>
              </w:rPr>
            </w:pPr>
            <w:r w:rsidRPr="00F7290F">
              <w:rPr>
                <w:lang w:val="uk-UA"/>
              </w:rPr>
              <w:t>Розвиток земельних відносин</w:t>
            </w:r>
          </w:p>
        </w:tc>
        <w:tc>
          <w:tcPr>
            <w:tcW w:w="1134" w:type="dxa"/>
          </w:tcPr>
          <w:p w:rsidR="00850922" w:rsidRPr="00F7290F" w:rsidRDefault="00486A47" w:rsidP="00D65D2E">
            <w:pPr>
              <w:keepNext/>
              <w:widowControl w:val="0"/>
              <w:spacing w:after="120"/>
              <w:rPr>
                <w:lang w:val="uk-UA"/>
              </w:rPr>
            </w:pPr>
            <w:r w:rsidRPr="00F7290F">
              <w:rPr>
                <w:lang w:val="uk-UA"/>
              </w:rPr>
              <w:t>55</w:t>
            </w:r>
          </w:p>
        </w:tc>
      </w:tr>
      <w:tr w:rsidR="00A72E7D" w:rsidRPr="00F7290F" w:rsidTr="00A72E7D">
        <w:tc>
          <w:tcPr>
            <w:tcW w:w="1134" w:type="dxa"/>
          </w:tcPr>
          <w:p w:rsidR="00A72E7D" w:rsidRPr="00F7290F" w:rsidRDefault="00A72E7D" w:rsidP="00D65D2E">
            <w:pPr>
              <w:keepNext/>
              <w:widowControl w:val="0"/>
              <w:rPr>
                <w:b/>
                <w:lang w:val="uk-UA"/>
              </w:rPr>
            </w:pPr>
          </w:p>
        </w:tc>
        <w:tc>
          <w:tcPr>
            <w:tcW w:w="7513" w:type="dxa"/>
          </w:tcPr>
          <w:p w:rsidR="00A72E7D" w:rsidRPr="00F7290F" w:rsidRDefault="00A72E7D" w:rsidP="00D65D2E">
            <w:pPr>
              <w:keepNext/>
              <w:widowControl w:val="0"/>
              <w:spacing w:after="120"/>
              <w:rPr>
                <w:rFonts w:eastAsia="Arial,Bold"/>
                <w:b/>
                <w:bCs/>
                <w:lang w:val="uk-UA"/>
              </w:rPr>
            </w:pPr>
          </w:p>
        </w:tc>
        <w:tc>
          <w:tcPr>
            <w:tcW w:w="1134" w:type="dxa"/>
          </w:tcPr>
          <w:p w:rsidR="00A72E7D" w:rsidRPr="00F7290F" w:rsidRDefault="00A72E7D" w:rsidP="00D65D2E">
            <w:pPr>
              <w:keepNext/>
              <w:widowControl w:val="0"/>
              <w:spacing w:after="120"/>
              <w:rPr>
                <w:rFonts w:eastAsia="Arial,Bold"/>
                <w:bCs/>
                <w:lang w:val="uk-UA"/>
              </w:rPr>
            </w:pPr>
          </w:p>
        </w:tc>
      </w:tr>
      <w:tr w:rsidR="00632339" w:rsidRPr="00F7290F" w:rsidTr="00A72E7D">
        <w:tc>
          <w:tcPr>
            <w:tcW w:w="1134" w:type="dxa"/>
          </w:tcPr>
          <w:p w:rsidR="00632339" w:rsidRPr="00F7290F" w:rsidRDefault="00632339" w:rsidP="00D65D2E">
            <w:pPr>
              <w:keepNext/>
              <w:widowControl w:val="0"/>
              <w:rPr>
                <w:b/>
                <w:lang w:val="uk-UA"/>
              </w:rPr>
            </w:pPr>
          </w:p>
        </w:tc>
        <w:tc>
          <w:tcPr>
            <w:tcW w:w="7513" w:type="dxa"/>
          </w:tcPr>
          <w:p w:rsidR="00632339" w:rsidRPr="00F7290F" w:rsidRDefault="00632339" w:rsidP="00D65D2E">
            <w:pPr>
              <w:keepNext/>
              <w:widowControl w:val="0"/>
              <w:spacing w:after="120"/>
              <w:rPr>
                <w:rFonts w:eastAsia="Arial,Bold"/>
                <w:b/>
                <w:bCs/>
                <w:lang w:val="uk-UA"/>
              </w:rPr>
            </w:pPr>
          </w:p>
        </w:tc>
        <w:tc>
          <w:tcPr>
            <w:tcW w:w="1134" w:type="dxa"/>
          </w:tcPr>
          <w:p w:rsidR="00632339" w:rsidRPr="00F7290F" w:rsidRDefault="00632339" w:rsidP="00D65D2E">
            <w:pPr>
              <w:keepNext/>
              <w:widowControl w:val="0"/>
              <w:spacing w:after="120"/>
              <w:rPr>
                <w:rFonts w:eastAsia="Arial,Bold"/>
                <w:bCs/>
                <w:lang w:val="uk-UA"/>
              </w:rPr>
            </w:pP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lastRenderedPageBreak/>
              <w:t>5.</w:t>
            </w:r>
          </w:p>
        </w:tc>
        <w:tc>
          <w:tcPr>
            <w:tcW w:w="7513" w:type="dxa"/>
          </w:tcPr>
          <w:p w:rsidR="00850922" w:rsidRPr="00F7290F" w:rsidRDefault="00850922" w:rsidP="00D65D2E">
            <w:pPr>
              <w:keepNext/>
              <w:widowControl w:val="0"/>
              <w:spacing w:after="120"/>
              <w:rPr>
                <w:b/>
                <w:lang w:val="uk-UA"/>
              </w:rPr>
            </w:pPr>
            <w:r w:rsidRPr="00F7290F">
              <w:rPr>
                <w:rFonts w:eastAsia="Arial,Bold"/>
                <w:b/>
                <w:bCs/>
                <w:lang w:val="uk-UA"/>
              </w:rPr>
              <w:t>Розвиток галузей матеріального виробництва та інфраструктури</w:t>
            </w:r>
          </w:p>
        </w:tc>
        <w:tc>
          <w:tcPr>
            <w:tcW w:w="1134" w:type="dxa"/>
          </w:tcPr>
          <w:p w:rsidR="00850922" w:rsidRPr="00F7290F" w:rsidRDefault="00486A47" w:rsidP="00D65D2E">
            <w:pPr>
              <w:keepNext/>
              <w:widowControl w:val="0"/>
              <w:spacing w:after="120"/>
              <w:rPr>
                <w:rFonts w:eastAsia="Arial,Bold"/>
                <w:bCs/>
                <w:lang w:val="uk-UA"/>
              </w:rPr>
            </w:pPr>
            <w:r w:rsidRPr="00F7290F">
              <w:rPr>
                <w:rFonts w:eastAsia="Arial,Bold"/>
                <w:bCs/>
                <w:lang w:val="uk-UA"/>
              </w:rPr>
              <w:t>56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5.1.</w:t>
            </w:r>
          </w:p>
        </w:tc>
        <w:tc>
          <w:tcPr>
            <w:tcW w:w="7513" w:type="dxa"/>
          </w:tcPr>
          <w:p w:rsidR="00850922" w:rsidRPr="00F7290F" w:rsidRDefault="00914A69" w:rsidP="00D65D2E">
            <w:pPr>
              <w:keepNext/>
              <w:widowControl w:val="0"/>
              <w:spacing w:after="120"/>
              <w:rPr>
                <w:bCs/>
                <w:lang w:val="uk-UA" w:eastAsia="en-US"/>
              </w:rPr>
            </w:pPr>
            <w:hyperlink w:anchor="_Toc130175747" w:history="1">
              <w:r w:rsidR="00850922" w:rsidRPr="00F7290F">
                <w:rPr>
                  <w:rStyle w:val="af4"/>
                  <w:color w:val="auto"/>
                  <w:u w:val="none"/>
                  <w:lang w:val="uk-UA"/>
                </w:rPr>
                <w:t>Енергозабезпечення</w:t>
              </w:r>
            </w:hyperlink>
          </w:p>
        </w:tc>
        <w:tc>
          <w:tcPr>
            <w:tcW w:w="1134" w:type="dxa"/>
          </w:tcPr>
          <w:p w:rsidR="00850922" w:rsidRPr="00F7290F" w:rsidRDefault="00486A47" w:rsidP="00D65D2E">
            <w:pPr>
              <w:keepNext/>
              <w:widowControl w:val="0"/>
              <w:spacing w:after="120"/>
              <w:rPr>
                <w:lang w:val="uk-UA"/>
              </w:rPr>
            </w:pPr>
            <w:r w:rsidRPr="00F7290F">
              <w:rPr>
                <w:lang w:val="uk-UA"/>
              </w:rPr>
              <w:t>56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5.1.1.</w:t>
            </w:r>
          </w:p>
        </w:tc>
        <w:tc>
          <w:tcPr>
            <w:tcW w:w="7513" w:type="dxa"/>
          </w:tcPr>
          <w:p w:rsidR="00850922" w:rsidRPr="00F7290F" w:rsidRDefault="00850922" w:rsidP="00D65D2E">
            <w:pPr>
              <w:keepNext/>
              <w:widowControl w:val="0"/>
              <w:spacing w:after="120"/>
              <w:rPr>
                <w:rStyle w:val="af4"/>
                <w:i/>
                <w:color w:val="auto"/>
                <w:u w:val="none"/>
                <w:lang w:val="uk-UA"/>
              </w:rPr>
            </w:pPr>
            <w:r w:rsidRPr="00F7290F">
              <w:rPr>
                <w:rStyle w:val="af4"/>
                <w:color w:val="auto"/>
                <w:u w:val="none"/>
                <w:lang w:val="uk-UA"/>
              </w:rPr>
              <w:t>Вугільна промисловість</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56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5.1.2.</w:t>
            </w:r>
          </w:p>
        </w:tc>
        <w:tc>
          <w:tcPr>
            <w:tcW w:w="7513" w:type="dxa"/>
          </w:tcPr>
          <w:p w:rsidR="00850922" w:rsidRPr="00F7290F" w:rsidRDefault="00850922" w:rsidP="00D65D2E">
            <w:pPr>
              <w:keepNext/>
              <w:widowControl w:val="0"/>
              <w:spacing w:after="120"/>
              <w:rPr>
                <w:rStyle w:val="af4"/>
                <w:i/>
                <w:color w:val="auto"/>
                <w:u w:val="none"/>
                <w:lang w:val="uk-UA"/>
              </w:rPr>
            </w:pPr>
            <w:r w:rsidRPr="00F7290F">
              <w:rPr>
                <w:rStyle w:val="af4"/>
                <w:color w:val="auto"/>
                <w:u w:val="none"/>
                <w:lang w:val="uk-UA"/>
              </w:rPr>
              <w:t xml:space="preserve">Електроенергетика </w:t>
            </w:r>
          </w:p>
        </w:tc>
        <w:tc>
          <w:tcPr>
            <w:tcW w:w="1134" w:type="dxa"/>
          </w:tcPr>
          <w:p w:rsidR="00850922" w:rsidRPr="00F7290F" w:rsidRDefault="00486A47" w:rsidP="008900EB">
            <w:pPr>
              <w:keepNext/>
              <w:widowControl w:val="0"/>
              <w:spacing w:after="120"/>
              <w:rPr>
                <w:rStyle w:val="af4"/>
                <w:color w:val="auto"/>
                <w:u w:val="none"/>
                <w:lang w:val="uk-UA"/>
              </w:rPr>
            </w:pPr>
            <w:r w:rsidRPr="00F7290F">
              <w:rPr>
                <w:rStyle w:val="af4"/>
                <w:color w:val="auto"/>
                <w:u w:val="none"/>
                <w:lang w:val="uk-UA"/>
              </w:rPr>
              <w:t>5</w:t>
            </w:r>
            <w:r w:rsidR="008900EB">
              <w:rPr>
                <w:rStyle w:val="af4"/>
                <w:color w:val="auto"/>
                <w:u w:val="none"/>
                <w:lang w:val="uk-UA"/>
              </w:rPr>
              <w:t>7</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5.1.3.</w:t>
            </w:r>
          </w:p>
        </w:tc>
        <w:tc>
          <w:tcPr>
            <w:tcW w:w="7513" w:type="dxa"/>
          </w:tcPr>
          <w:p w:rsidR="00850922" w:rsidRPr="00F7290F" w:rsidRDefault="00914A69" w:rsidP="00D65D2E">
            <w:pPr>
              <w:keepNext/>
              <w:widowControl w:val="0"/>
              <w:spacing w:after="120"/>
              <w:rPr>
                <w:rStyle w:val="af4"/>
                <w:i/>
                <w:color w:val="auto"/>
                <w:u w:val="none"/>
                <w:lang w:val="uk-UA"/>
              </w:rPr>
            </w:pPr>
            <w:hyperlink w:anchor="_Toc130175750" w:history="1">
              <w:r w:rsidR="00850922" w:rsidRPr="00F7290F">
                <w:rPr>
                  <w:rStyle w:val="af4"/>
                  <w:color w:val="auto"/>
                  <w:u w:val="none"/>
                  <w:lang w:val="uk-UA"/>
                </w:rPr>
                <w:t xml:space="preserve">Енергозбереження </w:t>
              </w:r>
            </w:hyperlink>
          </w:p>
        </w:tc>
        <w:tc>
          <w:tcPr>
            <w:tcW w:w="1134" w:type="dxa"/>
          </w:tcPr>
          <w:p w:rsidR="00850922" w:rsidRPr="00F7290F" w:rsidRDefault="00486A47" w:rsidP="008900EB">
            <w:pPr>
              <w:keepNext/>
              <w:widowControl w:val="0"/>
              <w:spacing w:after="120"/>
              <w:rPr>
                <w:lang w:val="uk-UA"/>
              </w:rPr>
            </w:pPr>
            <w:r w:rsidRPr="00F7290F">
              <w:rPr>
                <w:lang w:val="uk-UA"/>
              </w:rPr>
              <w:t>5</w:t>
            </w:r>
            <w:r w:rsidR="008900EB">
              <w:rPr>
                <w:lang w:val="uk-UA"/>
              </w:rPr>
              <w:t>8</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5.2.</w:t>
            </w:r>
          </w:p>
        </w:tc>
        <w:tc>
          <w:tcPr>
            <w:tcW w:w="7513" w:type="dxa"/>
          </w:tcPr>
          <w:p w:rsidR="00850922" w:rsidRPr="00F7290F" w:rsidRDefault="00914A69" w:rsidP="00D65D2E">
            <w:pPr>
              <w:keepNext/>
              <w:widowControl w:val="0"/>
              <w:spacing w:after="120"/>
              <w:rPr>
                <w:bCs/>
                <w:lang w:val="uk-UA" w:eastAsia="en-US"/>
              </w:rPr>
            </w:pPr>
            <w:hyperlink w:anchor="_Toc130175751" w:history="1">
              <w:r w:rsidR="00850922" w:rsidRPr="00F7290F">
                <w:rPr>
                  <w:rStyle w:val="af4"/>
                  <w:color w:val="auto"/>
                  <w:u w:val="none"/>
                  <w:lang w:val="uk-UA"/>
                </w:rPr>
                <w:t>Промисловий комплекс</w:t>
              </w:r>
            </w:hyperlink>
          </w:p>
        </w:tc>
        <w:tc>
          <w:tcPr>
            <w:tcW w:w="1134" w:type="dxa"/>
          </w:tcPr>
          <w:p w:rsidR="00850922" w:rsidRPr="00F7290F" w:rsidRDefault="00486A47" w:rsidP="00D65D2E">
            <w:pPr>
              <w:keepNext/>
              <w:widowControl w:val="0"/>
              <w:spacing w:after="120"/>
              <w:rPr>
                <w:lang w:val="uk-UA"/>
              </w:rPr>
            </w:pPr>
            <w:r w:rsidRPr="00F7290F">
              <w:rPr>
                <w:lang w:val="uk-UA"/>
              </w:rPr>
              <w:t>59</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5.3.</w:t>
            </w:r>
          </w:p>
        </w:tc>
        <w:tc>
          <w:tcPr>
            <w:tcW w:w="7513" w:type="dxa"/>
          </w:tcPr>
          <w:p w:rsidR="00850922" w:rsidRPr="00F7290F" w:rsidRDefault="00914A69" w:rsidP="00D65D2E">
            <w:pPr>
              <w:keepNext/>
              <w:widowControl w:val="0"/>
              <w:spacing w:after="120"/>
              <w:rPr>
                <w:bCs/>
                <w:lang w:val="uk-UA" w:eastAsia="en-US"/>
              </w:rPr>
            </w:pPr>
            <w:hyperlink w:anchor="_Toc130175752" w:history="1">
              <w:r w:rsidR="00850922" w:rsidRPr="00F7290F">
                <w:rPr>
                  <w:rStyle w:val="af4"/>
                  <w:color w:val="auto"/>
                  <w:u w:val="none"/>
                  <w:lang w:val="uk-UA"/>
                </w:rPr>
                <w:t>Агропромисловий комплекс</w:t>
              </w:r>
            </w:hyperlink>
          </w:p>
        </w:tc>
        <w:tc>
          <w:tcPr>
            <w:tcW w:w="1134" w:type="dxa"/>
          </w:tcPr>
          <w:p w:rsidR="00850922" w:rsidRPr="00F7290F" w:rsidRDefault="00486A47" w:rsidP="00D65D2E">
            <w:pPr>
              <w:keepNext/>
              <w:widowControl w:val="0"/>
              <w:spacing w:after="120"/>
              <w:rPr>
                <w:lang w:val="uk-UA"/>
              </w:rPr>
            </w:pPr>
            <w:r w:rsidRPr="00F7290F">
              <w:rPr>
                <w:lang w:val="uk-UA"/>
              </w:rPr>
              <w:t>61</w:t>
            </w:r>
          </w:p>
        </w:tc>
      </w:tr>
      <w:tr w:rsidR="00486A47" w:rsidRPr="00F7290F" w:rsidTr="00A72E7D">
        <w:tc>
          <w:tcPr>
            <w:tcW w:w="1134" w:type="dxa"/>
          </w:tcPr>
          <w:p w:rsidR="00486A47" w:rsidRPr="00F7290F" w:rsidRDefault="00486A47" w:rsidP="00D65D2E">
            <w:pPr>
              <w:keepNext/>
              <w:widowControl w:val="0"/>
              <w:rPr>
                <w:lang w:val="uk-UA"/>
              </w:rPr>
            </w:pPr>
            <w:r w:rsidRPr="00F7290F">
              <w:rPr>
                <w:lang w:val="uk-UA"/>
              </w:rPr>
              <w:t>5.3.1.</w:t>
            </w:r>
          </w:p>
        </w:tc>
        <w:tc>
          <w:tcPr>
            <w:tcW w:w="7513" w:type="dxa"/>
          </w:tcPr>
          <w:p w:rsidR="00486A47" w:rsidRPr="00F7290F" w:rsidRDefault="00486A47" w:rsidP="00D65D2E">
            <w:pPr>
              <w:keepNext/>
              <w:widowControl w:val="0"/>
              <w:spacing w:after="120"/>
              <w:rPr>
                <w:rStyle w:val="af4"/>
                <w:color w:val="auto"/>
                <w:u w:val="none"/>
                <w:lang w:val="uk-UA"/>
              </w:rPr>
            </w:pPr>
            <w:r w:rsidRPr="00F7290F">
              <w:rPr>
                <w:rStyle w:val="af4"/>
                <w:color w:val="auto"/>
                <w:u w:val="none"/>
                <w:lang w:val="uk-UA"/>
              </w:rPr>
              <w:t>Сільське господарство</w:t>
            </w:r>
          </w:p>
        </w:tc>
        <w:tc>
          <w:tcPr>
            <w:tcW w:w="1134" w:type="dxa"/>
          </w:tcPr>
          <w:p w:rsidR="00486A47" w:rsidRPr="00F7290F" w:rsidRDefault="00486A47" w:rsidP="00D65D2E">
            <w:pPr>
              <w:keepNext/>
              <w:widowControl w:val="0"/>
              <w:spacing w:after="120"/>
              <w:rPr>
                <w:rStyle w:val="af4"/>
                <w:color w:val="auto"/>
                <w:u w:val="none"/>
                <w:lang w:val="uk-UA"/>
              </w:rPr>
            </w:pPr>
            <w:r w:rsidRPr="00F7290F">
              <w:rPr>
                <w:rStyle w:val="af4"/>
                <w:color w:val="auto"/>
                <w:u w:val="none"/>
                <w:lang w:val="uk-UA"/>
              </w:rPr>
              <w:t>61</w:t>
            </w:r>
          </w:p>
        </w:tc>
      </w:tr>
      <w:tr w:rsidR="00486A47" w:rsidRPr="00F7290F" w:rsidTr="00A72E7D">
        <w:tc>
          <w:tcPr>
            <w:tcW w:w="1134" w:type="dxa"/>
          </w:tcPr>
          <w:p w:rsidR="00486A47" w:rsidRPr="00F7290F" w:rsidRDefault="00486A47" w:rsidP="00D65D2E">
            <w:pPr>
              <w:keepNext/>
              <w:widowControl w:val="0"/>
              <w:rPr>
                <w:lang w:val="uk-UA"/>
              </w:rPr>
            </w:pPr>
            <w:r w:rsidRPr="00F7290F">
              <w:rPr>
                <w:lang w:val="uk-UA"/>
              </w:rPr>
              <w:t>5.3.2</w:t>
            </w:r>
          </w:p>
        </w:tc>
        <w:tc>
          <w:tcPr>
            <w:tcW w:w="7513" w:type="dxa"/>
          </w:tcPr>
          <w:p w:rsidR="00486A47" w:rsidRPr="00F7290F" w:rsidRDefault="00486A47" w:rsidP="00D65D2E">
            <w:pPr>
              <w:keepNext/>
              <w:widowControl w:val="0"/>
              <w:spacing w:after="120"/>
              <w:rPr>
                <w:rStyle w:val="af4"/>
                <w:color w:val="auto"/>
                <w:u w:val="none"/>
                <w:lang w:val="uk-UA"/>
              </w:rPr>
            </w:pPr>
            <w:r w:rsidRPr="00F7290F">
              <w:rPr>
                <w:rStyle w:val="af4"/>
                <w:color w:val="auto"/>
                <w:u w:val="none"/>
                <w:lang w:val="uk-UA"/>
              </w:rPr>
              <w:t>Харчова промисловість</w:t>
            </w:r>
          </w:p>
        </w:tc>
        <w:tc>
          <w:tcPr>
            <w:tcW w:w="1134" w:type="dxa"/>
          </w:tcPr>
          <w:p w:rsidR="00486A47" w:rsidRPr="00F7290F" w:rsidRDefault="00486A47" w:rsidP="00D65D2E">
            <w:pPr>
              <w:keepNext/>
              <w:widowControl w:val="0"/>
              <w:spacing w:after="120"/>
              <w:rPr>
                <w:rStyle w:val="af4"/>
                <w:color w:val="auto"/>
                <w:u w:val="none"/>
                <w:lang w:val="uk-UA"/>
              </w:rPr>
            </w:pPr>
            <w:r w:rsidRPr="00F7290F">
              <w:rPr>
                <w:rStyle w:val="af4"/>
                <w:color w:val="auto"/>
                <w:u w:val="none"/>
                <w:lang w:val="uk-UA"/>
              </w:rPr>
              <w:t>63</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5.4.</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Розвиток сфери послуг</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64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5.5.</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Транспортно-дорожній комплекс</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65</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5.6.</w:t>
            </w:r>
          </w:p>
        </w:tc>
        <w:tc>
          <w:tcPr>
            <w:tcW w:w="7513" w:type="dxa"/>
          </w:tcPr>
          <w:p w:rsidR="00850922" w:rsidRPr="00F7290F" w:rsidRDefault="00850922" w:rsidP="00D65D2E">
            <w:pPr>
              <w:keepNext/>
              <w:widowControl w:val="0"/>
              <w:spacing w:after="120"/>
              <w:rPr>
                <w:rStyle w:val="af4"/>
                <w:color w:val="auto"/>
                <w:u w:val="none"/>
                <w:lang w:val="uk-UA"/>
              </w:rPr>
            </w:pPr>
            <w:r w:rsidRPr="00F7290F">
              <w:rPr>
                <w:lang w:val="uk-UA"/>
              </w:rPr>
              <w:t>Житлове будівництво</w:t>
            </w:r>
          </w:p>
        </w:tc>
        <w:tc>
          <w:tcPr>
            <w:tcW w:w="1134" w:type="dxa"/>
          </w:tcPr>
          <w:p w:rsidR="00850922" w:rsidRPr="00F7290F" w:rsidRDefault="00486A47" w:rsidP="00D65D2E">
            <w:pPr>
              <w:keepNext/>
              <w:widowControl w:val="0"/>
              <w:spacing w:after="120"/>
              <w:rPr>
                <w:lang w:val="uk-UA"/>
              </w:rPr>
            </w:pPr>
            <w:r w:rsidRPr="00F7290F">
              <w:rPr>
                <w:lang w:val="uk-UA"/>
              </w:rPr>
              <w:t>66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5.7.</w:t>
            </w:r>
          </w:p>
        </w:tc>
        <w:tc>
          <w:tcPr>
            <w:tcW w:w="7513" w:type="dxa"/>
          </w:tcPr>
          <w:p w:rsidR="00850922" w:rsidRPr="00F7290F" w:rsidRDefault="00850922" w:rsidP="00D65D2E">
            <w:pPr>
              <w:keepNext/>
              <w:widowControl w:val="0"/>
              <w:spacing w:after="120"/>
              <w:rPr>
                <w:lang w:val="uk-UA"/>
              </w:rPr>
            </w:pPr>
            <w:r w:rsidRPr="00F7290F">
              <w:rPr>
                <w:lang w:val="uk-UA"/>
              </w:rPr>
              <w:t>Житлово-комунальне господарство</w:t>
            </w:r>
          </w:p>
        </w:tc>
        <w:tc>
          <w:tcPr>
            <w:tcW w:w="1134" w:type="dxa"/>
          </w:tcPr>
          <w:p w:rsidR="00850922" w:rsidRPr="00F7290F" w:rsidRDefault="00486A47" w:rsidP="00D65D2E">
            <w:pPr>
              <w:keepNext/>
              <w:widowControl w:val="0"/>
              <w:spacing w:after="120"/>
              <w:rPr>
                <w:lang w:val="uk-UA"/>
              </w:rPr>
            </w:pPr>
            <w:r w:rsidRPr="00F7290F">
              <w:rPr>
                <w:lang w:val="uk-UA"/>
              </w:rPr>
              <w:t>81</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5.8.</w:t>
            </w:r>
          </w:p>
        </w:tc>
        <w:tc>
          <w:tcPr>
            <w:tcW w:w="7513" w:type="dxa"/>
          </w:tcPr>
          <w:p w:rsidR="00850922" w:rsidRPr="00F7290F" w:rsidRDefault="00850922" w:rsidP="00D65D2E">
            <w:pPr>
              <w:keepNext/>
              <w:widowControl w:val="0"/>
              <w:spacing w:after="120"/>
              <w:rPr>
                <w:bCs/>
                <w:lang w:val="uk-UA" w:eastAsia="en-US"/>
              </w:rPr>
            </w:pPr>
            <w:r w:rsidRPr="00F7290F">
              <w:rPr>
                <w:lang w:val="uk-UA"/>
              </w:rPr>
              <w:t xml:space="preserve">Використання </w:t>
            </w:r>
            <w:hyperlink w:anchor="_Toc130175757" w:history="1">
              <w:r w:rsidRPr="00F7290F">
                <w:rPr>
                  <w:rStyle w:val="af4"/>
                  <w:color w:val="auto"/>
                  <w:u w:val="none"/>
                  <w:lang w:val="uk-UA"/>
                </w:rPr>
                <w:t xml:space="preserve"> мінерально-сировинн</w:t>
              </w:r>
            </w:hyperlink>
            <w:r w:rsidRPr="00F7290F">
              <w:rPr>
                <w:lang w:val="uk-UA"/>
              </w:rPr>
              <w:t>их ресурсів</w:t>
            </w:r>
            <w:hyperlink w:anchor="_Toc130175758" w:history="1">
              <w:r w:rsidRPr="00F7290F">
                <w:rPr>
                  <w:webHidden/>
                  <w:lang w:val="uk-UA"/>
                </w:rPr>
                <w:tab/>
              </w:r>
            </w:hyperlink>
          </w:p>
        </w:tc>
        <w:tc>
          <w:tcPr>
            <w:tcW w:w="1134" w:type="dxa"/>
          </w:tcPr>
          <w:p w:rsidR="00850922" w:rsidRPr="00F7290F" w:rsidRDefault="00486A47" w:rsidP="00D65D2E">
            <w:pPr>
              <w:keepNext/>
              <w:widowControl w:val="0"/>
              <w:spacing w:after="120"/>
              <w:rPr>
                <w:lang w:val="uk-UA"/>
              </w:rPr>
            </w:pPr>
            <w:r w:rsidRPr="00F7290F">
              <w:rPr>
                <w:lang w:val="uk-UA"/>
              </w:rPr>
              <w:t>82</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6.</w:t>
            </w:r>
          </w:p>
        </w:tc>
        <w:tc>
          <w:tcPr>
            <w:tcW w:w="7513" w:type="dxa"/>
          </w:tcPr>
          <w:p w:rsidR="00850922" w:rsidRPr="00F7290F" w:rsidRDefault="00850922" w:rsidP="00D65D2E">
            <w:pPr>
              <w:keepNext/>
              <w:widowControl w:val="0"/>
              <w:spacing w:after="120"/>
              <w:rPr>
                <w:b/>
                <w:lang w:val="uk-UA"/>
              </w:rPr>
            </w:pPr>
            <w:r w:rsidRPr="00F7290F">
              <w:rPr>
                <w:rStyle w:val="af4"/>
                <w:b/>
                <w:color w:val="auto"/>
                <w:u w:val="none"/>
                <w:lang w:val="uk-UA"/>
              </w:rPr>
              <w:t>Розвиток з</w:t>
            </w:r>
            <w:hyperlink r:id="rId13" w:anchor="_Toc130175773" w:history="1">
              <w:r w:rsidRPr="00F7290F">
                <w:rPr>
                  <w:rStyle w:val="af4"/>
                  <w:b/>
                  <w:color w:val="auto"/>
                  <w:u w:val="none"/>
                  <w:lang w:val="uk-UA"/>
                </w:rPr>
                <w:t>овнішньоекономічної діяльност</w:t>
              </w:r>
            </w:hyperlink>
            <w:r w:rsidRPr="00F7290F">
              <w:rPr>
                <w:rStyle w:val="af4"/>
                <w:b/>
                <w:color w:val="auto"/>
                <w:u w:val="none"/>
                <w:lang w:val="uk-UA"/>
              </w:rPr>
              <w:t>і, міжнародної і міжрегіональної співпраці</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83</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7.</w:t>
            </w:r>
          </w:p>
        </w:tc>
        <w:tc>
          <w:tcPr>
            <w:tcW w:w="7513" w:type="dxa"/>
          </w:tcPr>
          <w:p w:rsidR="00850922" w:rsidRPr="00F7290F" w:rsidRDefault="00850922" w:rsidP="00D65D2E">
            <w:pPr>
              <w:keepNext/>
              <w:widowControl w:val="0"/>
              <w:rPr>
                <w:b/>
                <w:lang w:val="uk-UA"/>
              </w:rPr>
            </w:pPr>
            <w:r w:rsidRPr="00F7290F">
              <w:rPr>
                <w:b/>
                <w:lang w:val="uk-UA"/>
              </w:rPr>
              <w:t xml:space="preserve">Розвиток міст і районів області. </w:t>
            </w:r>
          </w:p>
          <w:p w:rsidR="00850922" w:rsidRPr="00F7290F" w:rsidRDefault="00850922" w:rsidP="00D65D2E">
            <w:pPr>
              <w:keepNext/>
              <w:widowControl w:val="0"/>
              <w:spacing w:after="120"/>
              <w:rPr>
                <w:rStyle w:val="af4"/>
                <w:b/>
                <w:color w:val="auto"/>
                <w:u w:val="none"/>
                <w:lang w:val="uk-UA"/>
              </w:rPr>
            </w:pPr>
            <w:r w:rsidRPr="00F7290F">
              <w:rPr>
                <w:b/>
                <w:lang w:val="uk-UA"/>
              </w:rPr>
              <w:t>Впровадження заходів територіального планування</w:t>
            </w:r>
          </w:p>
        </w:tc>
        <w:tc>
          <w:tcPr>
            <w:tcW w:w="1134" w:type="dxa"/>
          </w:tcPr>
          <w:p w:rsidR="00850922" w:rsidRPr="00F7290F" w:rsidRDefault="00486A47" w:rsidP="00D65D2E">
            <w:pPr>
              <w:keepNext/>
              <w:widowControl w:val="0"/>
              <w:rPr>
                <w:lang w:val="uk-UA"/>
              </w:rPr>
            </w:pPr>
            <w:r w:rsidRPr="00F7290F">
              <w:rPr>
                <w:lang w:val="uk-UA"/>
              </w:rPr>
              <w:t>84</w:t>
            </w:r>
          </w:p>
        </w:tc>
      </w:tr>
      <w:tr w:rsidR="008900EB" w:rsidRPr="008900EB" w:rsidTr="00A72E7D">
        <w:tc>
          <w:tcPr>
            <w:tcW w:w="1134" w:type="dxa"/>
          </w:tcPr>
          <w:p w:rsidR="008900EB" w:rsidRPr="008900EB" w:rsidRDefault="008900EB" w:rsidP="00D65D2E">
            <w:pPr>
              <w:keepNext/>
              <w:widowControl w:val="0"/>
              <w:rPr>
                <w:lang w:val="uk-UA"/>
              </w:rPr>
            </w:pPr>
            <w:r w:rsidRPr="008900EB">
              <w:rPr>
                <w:lang w:val="uk-UA"/>
              </w:rPr>
              <w:t>7.1.</w:t>
            </w:r>
          </w:p>
        </w:tc>
        <w:tc>
          <w:tcPr>
            <w:tcW w:w="7513" w:type="dxa"/>
          </w:tcPr>
          <w:p w:rsidR="008900EB" w:rsidRPr="008900EB" w:rsidRDefault="008900EB" w:rsidP="008900EB">
            <w:pPr>
              <w:keepNext/>
              <w:widowControl w:val="0"/>
              <w:rPr>
                <w:lang w:val="uk-UA"/>
              </w:rPr>
            </w:pPr>
            <w:r w:rsidRPr="008900EB">
              <w:rPr>
                <w:lang w:val="uk-UA"/>
              </w:rPr>
              <w:t>Розвиток міст і районів області</w:t>
            </w:r>
          </w:p>
        </w:tc>
        <w:tc>
          <w:tcPr>
            <w:tcW w:w="1134" w:type="dxa"/>
          </w:tcPr>
          <w:p w:rsidR="008900EB" w:rsidRPr="008900EB" w:rsidRDefault="008900EB" w:rsidP="00D65D2E">
            <w:pPr>
              <w:keepNext/>
              <w:widowControl w:val="0"/>
              <w:spacing w:after="120"/>
              <w:rPr>
                <w:lang w:val="uk-UA"/>
              </w:rPr>
            </w:pPr>
            <w:r w:rsidRPr="008900EB">
              <w:rPr>
                <w:lang w:val="uk-UA"/>
              </w:rPr>
              <w:t>84</w:t>
            </w:r>
          </w:p>
        </w:tc>
      </w:tr>
      <w:tr w:rsidR="008900EB" w:rsidRPr="008900EB" w:rsidTr="00A72E7D">
        <w:tc>
          <w:tcPr>
            <w:tcW w:w="1134" w:type="dxa"/>
          </w:tcPr>
          <w:p w:rsidR="008900EB" w:rsidRPr="008900EB" w:rsidRDefault="008900EB" w:rsidP="00D65D2E">
            <w:pPr>
              <w:keepNext/>
              <w:widowControl w:val="0"/>
              <w:rPr>
                <w:lang w:val="uk-UA"/>
              </w:rPr>
            </w:pPr>
            <w:r w:rsidRPr="008900EB">
              <w:rPr>
                <w:lang w:val="uk-UA"/>
              </w:rPr>
              <w:t>7.2.</w:t>
            </w:r>
          </w:p>
        </w:tc>
        <w:tc>
          <w:tcPr>
            <w:tcW w:w="7513" w:type="dxa"/>
          </w:tcPr>
          <w:p w:rsidR="008900EB" w:rsidRPr="008900EB" w:rsidRDefault="008900EB" w:rsidP="00D65D2E">
            <w:pPr>
              <w:keepNext/>
              <w:widowControl w:val="0"/>
              <w:spacing w:after="120"/>
              <w:rPr>
                <w:lang w:val="uk-UA"/>
              </w:rPr>
            </w:pPr>
            <w:r w:rsidRPr="008900EB">
              <w:rPr>
                <w:lang w:val="uk-UA"/>
              </w:rPr>
              <w:t>Впровадження заходів територіального планування</w:t>
            </w:r>
          </w:p>
        </w:tc>
        <w:tc>
          <w:tcPr>
            <w:tcW w:w="1134" w:type="dxa"/>
          </w:tcPr>
          <w:p w:rsidR="008900EB" w:rsidRPr="008900EB" w:rsidRDefault="008900EB" w:rsidP="00D65D2E">
            <w:pPr>
              <w:keepNext/>
              <w:widowControl w:val="0"/>
              <w:spacing w:after="120"/>
              <w:rPr>
                <w:lang w:val="uk-UA"/>
              </w:rPr>
            </w:pPr>
            <w:r w:rsidRPr="008900EB">
              <w:rPr>
                <w:lang w:val="uk-UA"/>
              </w:rPr>
              <w:t>88</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8.</w:t>
            </w:r>
          </w:p>
        </w:tc>
        <w:tc>
          <w:tcPr>
            <w:tcW w:w="7513" w:type="dxa"/>
          </w:tcPr>
          <w:p w:rsidR="00850922" w:rsidRPr="00F7290F" w:rsidRDefault="00850922" w:rsidP="00D65D2E">
            <w:pPr>
              <w:keepNext/>
              <w:widowControl w:val="0"/>
              <w:spacing w:after="120"/>
              <w:rPr>
                <w:b/>
                <w:lang w:val="uk-UA"/>
              </w:rPr>
            </w:pPr>
            <w:r w:rsidRPr="00F7290F">
              <w:rPr>
                <w:b/>
                <w:lang w:val="uk-UA"/>
              </w:rPr>
              <w:t>Організаційне забезпечення виконання Програми</w:t>
            </w:r>
          </w:p>
        </w:tc>
        <w:tc>
          <w:tcPr>
            <w:tcW w:w="1134" w:type="dxa"/>
          </w:tcPr>
          <w:p w:rsidR="00850922" w:rsidRPr="00F7290F" w:rsidRDefault="00486A47" w:rsidP="00D65D2E">
            <w:pPr>
              <w:keepNext/>
              <w:widowControl w:val="0"/>
              <w:spacing w:after="120"/>
              <w:rPr>
                <w:lang w:val="uk-UA"/>
              </w:rPr>
            </w:pPr>
            <w:r w:rsidRPr="00F7290F">
              <w:rPr>
                <w:lang w:val="uk-UA"/>
              </w:rPr>
              <w:t>88</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9.</w:t>
            </w:r>
          </w:p>
        </w:tc>
        <w:tc>
          <w:tcPr>
            <w:tcW w:w="7513" w:type="dxa"/>
          </w:tcPr>
          <w:p w:rsidR="00850922" w:rsidRPr="00F7290F" w:rsidRDefault="00850922" w:rsidP="00D65D2E">
            <w:pPr>
              <w:keepNext/>
              <w:widowControl w:val="0"/>
              <w:spacing w:after="120"/>
              <w:rPr>
                <w:b/>
                <w:lang w:val="uk-UA"/>
              </w:rPr>
            </w:pPr>
            <w:r w:rsidRPr="00F7290F">
              <w:rPr>
                <w:b/>
                <w:lang w:val="uk-UA"/>
              </w:rPr>
              <w:t>Заходи щодо забезпечення виконання завдань Програми</w:t>
            </w:r>
          </w:p>
        </w:tc>
        <w:tc>
          <w:tcPr>
            <w:tcW w:w="1134" w:type="dxa"/>
          </w:tcPr>
          <w:p w:rsidR="00850922" w:rsidRPr="00F7290F" w:rsidRDefault="00486A47" w:rsidP="00D65D2E">
            <w:pPr>
              <w:keepNext/>
              <w:widowControl w:val="0"/>
              <w:spacing w:after="120"/>
              <w:rPr>
                <w:lang w:val="uk-UA"/>
              </w:rPr>
            </w:pPr>
            <w:r w:rsidRPr="00F7290F">
              <w:rPr>
                <w:lang w:val="uk-UA"/>
              </w:rPr>
              <w:t>90</w:t>
            </w:r>
          </w:p>
        </w:tc>
      </w:tr>
      <w:tr w:rsidR="00850922" w:rsidRPr="00F7290F" w:rsidTr="008E4FA0">
        <w:tc>
          <w:tcPr>
            <w:tcW w:w="1134" w:type="dxa"/>
          </w:tcPr>
          <w:p w:rsidR="00850922" w:rsidRPr="00F7290F" w:rsidRDefault="00850922" w:rsidP="00D65D2E">
            <w:pPr>
              <w:keepNext/>
              <w:widowControl w:val="0"/>
              <w:rPr>
                <w:b/>
                <w:lang w:val="uk-UA"/>
              </w:rPr>
            </w:pPr>
            <w:r w:rsidRPr="00F7290F">
              <w:rPr>
                <w:b/>
                <w:lang w:val="uk-UA"/>
              </w:rPr>
              <w:t>10.</w:t>
            </w:r>
          </w:p>
        </w:tc>
        <w:tc>
          <w:tcPr>
            <w:tcW w:w="7513" w:type="dxa"/>
          </w:tcPr>
          <w:p w:rsidR="00850922" w:rsidRPr="00F7290F" w:rsidRDefault="00850922" w:rsidP="00D65D2E">
            <w:pPr>
              <w:keepNext/>
              <w:widowControl w:val="0"/>
              <w:spacing w:after="120"/>
              <w:rPr>
                <w:b/>
                <w:spacing w:val="-6"/>
                <w:lang w:val="uk-UA"/>
              </w:rPr>
            </w:pPr>
            <w:r w:rsidRPr="00F7290F">
              <w:rPr>
                <w:b/>
                <w:spacing w:val="-6"/>
                <w:lang w:val="uk-UA"/>
              </w:rPr>
              <w:t>Основні показники економічного і соціального розвитку області на 2013 рік</w:t>
            </w:r>
          </w:p>
        </w:tc>
        <w:tc>
          <w:tcPr>
            <w:tcW w:w="1134" w:type="dxa"/>
            <w:vAlign w:val="bottom"/>
          </w:tcPr>
          <w:p w:rsidR="00850922" w:rsidRPr="00F7290F" w:rsidRDefault="008E4FA0" w:rsidP="008E4FA0">
            <w:pPr>
              <w:keepNext/>
              <w:widowControl w:val="0"/>
              <w:spacing w:after="120"/>
              <w:rPr>
                <w:spacing w:val="-6"/>
                <w:lang w:val="uk-UA"/>
              </w:rPr>
            </w:pPr>
            <w:r>
              <w:rPr>
                <w:spacing w:val="-6"/>
                <w:lang w:val="uk-UA"/>
              </w:rPr>
              <w:t>241</w:t>
            </w:r>
          </w:p>
        </w:tc>
      </w:tr>
      <w:tr w:rsidR="00850922" w:rsidRPr="00F7290F" w:rsidTr="008E4FA0">
        <w:tc>
          <w:tcPr>
            <w:tcW w:w="1134" w:type="dxa"/>
          </w:tcPr>
          <w:p w:rsidR="00850922" w:rsidRPr="00F7290F" w:rsidRDefault="00850922" w:rsidP="0076024A">
            <w:pPr>
              <w:keepNext/>
              <w:widowControl w:val="0"/>
              <w:rPr>
                <w:b/>
                <w:lang w:val="uk-UA"/>
              </w:rPr>
            </w:pPr>
            <w:r w:rsidRPr="00F7290F">
              <w:rPr>
                <w:b/>
                <w:lang w:val="uk-UA"/>
              </w:rPr>
              <w:t>1</w:t>
            </w:r>
            <w:r w:rsidR="0076024A" w:rsidRPr="00F7290F">
              <w:rPr>
                <w:b/>
                <w:lang w:val="uk-UA"/>
              </w:rPr>
              <w:t>1</w:t>
            </w:r>
            <w:r w:rsidRPr="00F7290F">
              <w:rPr>
                <w:b/>
                <w:lang w:val="uk-UA"/>
              </w:rPr>
              <w:t>.</w:t>
            </w:r>
          </w:p>
        </w:tc>
        <w:tc>
          <w:tcPr>
            <w:tcW w:w="7513" w:type="dxa"/>
          </w:tcPr>
          <w:p w:rsidR="00850922" w:rsidRPr="00F7290F" w:rsidRDefault="00850922" w:rsidP="00D65D2E">
            <w:pPr>
              <w:keepNext/>
              <w:widowControl w:val="0"/>
              <w:spacing w:after="120"/>
              <w:rPr>
                <w:b/>
                <w:spacing w:val="-6"/>
                <w:lang w:val="uk-UA"/>
              </w:rPr>
            </w:pPr>
            <w:r w:rsidRPr="00F7290F">
              <w:rPr>
                <w:b/>
                <w:lang w:val="uk-UA"/>
              </w:rPr>
              <w:t>Фінансове забезпечення заходів Програми</w:t>
            </w:r>
          </w:p>
        </w:tc>
        <w:tc>
          <w:tcPr>
            <w:tcW w:w="1134" w:type="dxa"/>
            <w:vAlign w:val="bottom"/>
          </w:tcPr>
          <w:p w:rsidR="00850922" w:rsidRPr="00F7290F" w:rsidRDefault="008E4FA0" w:rsidP="008E4FA0">
            <w:pPr>
              <w:keepNext/>
              <w:widowControl w:val="0"/>
              <w:spacing w:after="120"/>
              <w:rPr>
                <w:lang w:val="uk-UA"/>
              </w:rPr>
            </w:pPr>
            <w:r>
              <w:rPr>
                <w:lang w:val="uk-UA"/>
              </w:rPr>
              <w:t>249</w:t>
            </w:r>
          </w:p>
        </w:tc>
      </w:tr>
      <w:tr w:rsidR="00850922" w:rsidRPr="00F7290F" w:rsidTr="008E4FA0">
        <w:tc>
          <w:tcPr>
            <w:tcW w:w="1134" w:type="dxa"/>
          </w:tcPr>
          <w:p w:rsidR="00850922" w:rsidRPr="00F7290F" w:rsidRDefault="00850922" w:rsidP="00D65D2E">
            <w:pPr>
              <w:keepNext/>
              <w:widowControl w:val="0"/>
              <w:rPr>
                <w:lang w:val="uk-UA"/>
              </w:rPr>
            </w:pPr>
            <w:r w:rsidRPr="00F7290F">
              <w:rPr>
                <w:lang w:val="uk-UA"/>
              </w:rPr>
              <w:t>Дод. 1</w:t>
            </w:r>
          </w:p>
        </w:tc>
        <w:tc>
          <w:tcPr>
            <w:tcW w:w="7513" w:type="dxa"/>
          </w:tcPr>
          <w:p w:rsidR="00850922" w:rsidRPr="00F7290F" w:rsidRDefault="00850922" w:rsidP="00D65D2E">
            <w:pPr>
              <w:keepNext/>
              <w:widowControl w:val="0"/>
              <w:spacing w:after="120"/>
              <w:jc w:val="both"/>
              <w:rPr>
                <w:lang w:val="uk-UA"/>
              </w:rPr>
            </w:pPr>
            <w:r w:rsidRPr="00F7290F">
              <w:rPr>
                <w:lang w:val="uk-UA"/>
              </w:rPr>
              <w:t xml:space="preserve">Перелік регіональних програм, виконання яких передбачається у </w:t>
            </w:r>
            <w:r w:rsidR="008E4FA0">
              <w:rPr>
                <w:lang w:val="uk-UA"/>
              </w:rPr>
              <w:t xml:space="preserve">            </w:t>
            </w:r>
            <w:r w:rsidRPr="00F7290F">
              <w:rPr>
                <w:lang w:val="uk-UA"/>
              </w:rPr>
              <w:t>2013 році</w:t>
            </w:r>
          </w:p>
        </w:tc>
        <w:tc>
          <w:tcPr>
            <w:tcW w:w="1134" w:type="dxa"/>
            <w:vAlign w:val="bottom"/>
          </w:tcPr>
          <w:p w:rsidR="00850922" w:rsidRPr="00F7290F" w:rsidRDefault="008E4FA0" w:rsidP="008E4FA0">
            <w:pPr>
              <w:keepNext/>
              <w:widowControl w:val="0"/>
              <w:spacing w:after="120"/>
              <w:rPr>
                <w:lang w:val="uk-UA"/>
              </w:rPr>
            </w:pPr>
            <w:r>
              <w:rPr>
                <w:lang w:val="uk-UA"/>
              </w:rPr>
              <w:t>251</w:t>
            </w:r>
          </w:p>
        </w:tc>
      </w:tr>
      <w:tr w:rsidR="00850922" w:rsidRPr="00F7290F" w:rsidTr="008E4FA0">
        <w:tc>
          <w:tcPr>
            <w:tcW w:w="1134" w:type="dxa"/>
          </w:tcPr>
          <w:p w:rsidR="00850922" w:rsidRPr="00F7290F" w:rsidRDefault="00850922" w:rsidP="00D65D2E">
            <w:pPr>
              <w:keepNext/>
              <w:widowControl w:val="0"/>
              <w:rPr>
                <w:lang w:val="uk-UA"/>
              </w:rPr>
            </w:pPr>
            <w:r w:rsidRPr="00F7290F">
              <w:rPr>
                <w:lang w:val="uk-UA"/>
              </w:rPr>
              <w:t>Дод. 2</w:t>
            </w:r>
          </w:p>
        </w:tc>
        <w:tc>
          <w:tcPr>
            <w:tcW w:w="7513" w:type="dxa"/>
          </w:tcPr>
          <w:p w:rsidR="00850922" w:rsidRPr="00F7290F" w:rsidRDefault="00850922" w:rsidP="00D65D2E">
            <w:pPr>
              <w:keepNext/>
              <w:widowControl w:val="0"/>
              <w:spacing w:after="120"/>
              <w:jc w:val="both"/>
              <w:rPr>
                <w:lang w:val="uk-UA"/>
              </w:rPr>
            </w:pPr>
            <w:r w:rsidRPr="00F7290F">
              <w:rPr>
                <w:lang w:val="uk-UA"/>
              </w:rPr>
              <w:t>Перелік проектів, які реалізуються на прикордонних територіях                              області в межах Єврорегіону «Донбас»</w:t>
            </w:r>
          </w:p>
        </w:tc>
        <w:tc>
          <w:tcPr>
            <w:tcW w:w="1134" w:type="dxa"/>
            <w:vAlign w:val="bottom"/>
          </w:tcPr>
          <w:p w:rsidR="00850922" w:rsidRPr="00F7290F" w:rsidRDefault="008E4FA0" w:rsidP="008E4FA0">
            <w:pPr>
              <w:keepNext/>
              <w:widowControl w:val="0"/>
              <w:spacing w:after="120"/>
              <w:rPr>
                <w:lang w:val="uk-UA"/>
              </w:rPr>
            </w:pPr>
            <w:r>
              <w:rPr>
                <w:lang w:val="uk-UA"/>
              </w:rPr>
              <w:t>253</w:t>
            </w:r>
          </w:p>
        </w:tc>
      </w:tr>
      <w:tr w:rsidR="00850922" w:rsidRPr="00F7290F" w:rsidTr="008E4FA0">
        <w:tc>
          <w:tcPr>
            <w:tcW w:w="1134" w:type="dxa"/>
          </w:tcPr>
          <w:p w:rsidR="00850922" w:rsidRPr="00F7290F" w:rsidRDefault="00850922" w:rsidP="00D65D2E">
            <w:pPr>
              <w:keepNext/>
              <w:widowControl w:val="0"/>
              <w:rPr>
                <w:lang w:val="uk-UA"/>
              </w:rPr>
            </w:pPr>
            <w:r w:rsidRPr="00F7290F">
              <w:rPr>
                <w:lang w:val="uk-UA"/>
              </w:rPr>
              <w:t>Дод. 3</w:t>
            </w:r>
          </w:p>
        </w:tc>
        <w:tc>
          <w:tcPr>
            <w:tcW w:w="7513" w:type="dxa"/>
          </w:tcPr>
          <w:p w:rsidR="00850922" w:rsidRPr="00F7290F" w:rsidRDefault="00850922" w:rsidP="00D65D2E">
            <w:pPr>
              <w:keepNext/>
              <w:widowControl w:val="0"/>
              <w:spacing w:after="120"/>
              <w:jc w:val="both"/>
              <w:rPr>
                <w:lang w:val="uk-UA"/>
              </w:rPr>
            </w:pPr>
            <w:r w:rsidRPr="00F7290F">
              <w:rPr>
                <w:lang w:val="uk-UA"/>
              </w:rPr>
              <w:t>Перелік Угод про економічне, науково-технічне і культурне співробітництво Донецької області з регіонами України</w:t>
            </w:r>
          </w:p>
        </w:tc>
        <w:tc>
          <w:tcPr>
            <w:tcW w:w="1134" w:type="dxa"/>
            <w:vAlign w:val="bottom"/>
          </w:tcPr>
          <w:p w:rsidR="00850922" w:rsidRPr="00F7290F" w:rsidRDefault="008E4FA0" w:rsidP="008E4FA0">
            <w:pPr>
              <w:keepNext/>
              <w:widowControl w:val="0"/>
              <w:spacing w:after="120"/>
              <w:rPr>
                <w:lang w:val="uk-UA"/>
              </w:rPr>
            </w:pPr>
            <w:r>
              <w:rPr>
                <w:lang w:val="uk-UA"/>
              </w:rPr>
              <w:t>257</w:t>
            </w:r>
          </w:p>
        </w:tc>
      </w:tr>
      <w:tr w:rsidR="00850922" w:rsidRPr="00F7290F" w:rsidTr="008E4FA0">
        <w:tc>
          <w:tcPr>
            <w:tcW w:w="1134" w:type="dxa"/>
          </w:tcPr>
          <w:p w:rsidR="00850922" w:rsidRPr="00F7290F" w:rsidRDefault="00850922" w:rsidP="00D65D2E">
            <w:pPr>
              <w:keepNext/>
              <w:widowControl w:val="0"/>
              <w:rPr>
                <w:lang w:val="uk-UA"/>
              </w:rPr>
            </w:pPr>
            <w:r w:rsidRPr="00F7290F">
              <w:rPr>
                <w:lang w:val="uk-UA"/>
              </w:rPr>
              <w:t>Дод. 4</w:t>
            </w:r>
          </w:p>
        </w:tc>
        <w:tc>
          <w:tcPr>
            <w:tcW w:w="7513" w:type="dxa"/>
          </w:tcPr>
          <w:p w:rsidR="00850922" w:rsidRPr="00F7290F" w:rsidRDefault="00850922" w:rsidP="00D65D2E">
            <w:pPr>
              <w:keepNext/>
              <w:widowControl w:val="0"/>
              <w:spacing w:after="120"/>
              <w:jc w:val="both"/>
              <w:rPr>
                <w:lang w:val="uk-UA"/>
              </w:rPr>
            </w:pPr>
            <w:r w:rsidRPr="00F7290F">
              <w:rPr>
                <w:lang w:val="uk-UA"/>
              </w:rPr>
              <w:t>Перелік Угод про торговельно-економічне, науково-технічне і культурне співробітництво, укладених між Донецькою областю і регіонами зарубіжних країн</w:t>
            </w:r>
          </w:p>
        </w:tc>
        <w:tc>
          <w:tcPr>
            <w:tcW w:w="1134" w:type="dxa"/>
            <w:vAlign w:val="bottom"/>
          </w:tcPr>
          <w:p w:rsidR="00850922" w:rsidRPr="00F7290F" w:rsidRDefault="008E4FA0" w:rsidP="008E4FA0">
            <w:pPr>
              <w:keepNext/>
              <w:widowControl w:val="0"/>
              <w:spacing w:after="120"/>
              <w:rPr>
                <w:lang w:val="uk-UA"/>
              </w:rPr>
            </w:pPr>
            <w:r>
              <w:rPr>
                <w:lang w:val="uk-UA"/>
              </w:rPr>
              <w:t>258</w:t>
            </w:r>
          </w:p>
        </w:tc>
      </w:tr>
      <w:tr w:rsidR="0076024A" w:rsidRPr="00F7290F" w:rsidTr="008E4FA0">
        <w:tc>
          <w:tcPr>
            <w:tcW w:w="1134" w:type="dxa"/>
          </w:tcPr>
          <w:p w:rsidR="0076024A" w:rsidRPr="00F7290F" w:rsidRDefault="0076024A" w:rsidP="0076024A">
            <w:pPr>
              <w:keepNext/>
              <w:widowControl w:val="0"/>
              <w:rPr>
                <w:lang w:val="uk-UA"/>
              </w:rPr>
            </w:pPr>
            <w:r w:rsidRPr="00F7290F">
              <w:rPr>
                <w:lang w:val="uk-UA"/>
              </w:rPr>
              <w:t>Дод. 5</w:t>
            </w:r>
          </w:p>
        </w:tc>
        <w:tc>
          <w:tcPr>
            <w:tcW w:w="7513" w:type="dxa"/>
          </w:tcPr>
          <w:p w:rsidR="0076024A" w:rsidRPr="00F7290F" w:rsidRDefault="0076024A" w:rsidP="00D65D2E">
            <w:pPr>
              <w:keepNext/>
              <w:widowControl w:val="0"/>
              <w:spacing w:after="120"/>
              <w:jc w:val="both"/>
              <w:rPr>
                <w:lang w:val="uk-UA"/>
              </w:rPr>
            </w:pPr>
            <w:r w:rsidRPr="00F7290F">
              <w:rPr>
                <w:lang w:val="uk-UA"/>
              </w:rPr>
              <w:t>Перелік інвестиційних проектів за пріоритетними напрямками соціально-економічного розвитку Донецької області на 2013 рік</w:t>
            </w:r>
          </w:p>
        </w:tc>
        <w:tc>
          <w:tcPr>
            <w:tcW w:w="1134" w:type="dxa"/>
            <w:vAlign w:val="bottom"/>
          </w:tcPr>
          <w:p w:rsidR="0076024A" w:rsidRPr="00F7290F" w:rsidRDefault="008E4FA0" w:rsidP="008E4FA0">
            <w:pPr>
              <w:keepNext/>
              <w:widowControl w:val="0"/>
              <w:spacing w:after="120"/>
              <w:rPr>
                <w:lang w:val="uk-UA"/>
              </w:rPr>
            </w:pPr>
            <w:r>
              <w:rPr>
                <w:lang w:val="uk-UA"/>
              </w:rPr>
              <w:t>261</w:t>
            </w:r>
          </w:p>
        </w:tc>
      </w:tr>
    </w:tbl>
    <w:p w:rsidR="003C53BC" w:rsidRPr="00F7290F" w:rsidRDefault="003C53BC" w:rsidP="00D65D2E">
      <w:pPr>
        <w:keepNext/>
        <w:widowControl w:val="0"/>
        <w:jc w:val="center"/>
        <w:rPr>
          <w:b/>
          <w:color w:val="FF0000"/>
          <w:lang w:val="uk-UA"/>
        </w:rPr>
      </w:pPr>
    </w:p>
    <w:p w:rsidR="00E60C2F" w:rsidRPr="00F7290F" w:rsidRDefault="00E60C2F" w:rsidP="00D65D2E">
      <w:pPr>
        <w:keepNext/>
        <w:widowControl w:val="0"/>
        <w:rPr>
          <w:b/>
          <w:color w:val="FF0000"/>
          <w:sz w:val="28"/>
          <w:szCs w:val="28"/>
          <w:lang w:val="uk-UA"/>
        </w:rPr>
      </w:pPr>
      <w:r w:rsidRPr="00F7290F">
        <w:rPr>
          <w:b/>
          <w:color w:val="FF0000"/>
          <w:sz w:val="28"/>
          <w:szCs w:val="28"/>
          <w:lang w:val="uk-UA"/>
        </w:rPr>
        <w:br w:type="page"/>
      </w:r>
    </w:p>
    <w:p w:rsidR="006A6689" w:rsidRPr="00F7290F" w:rsidRDefault="006A6689" w:rsidP="00D65D2E">
      <w:pPr>
        <w:keepNext/>
        <w:widowControl w:val="0"/>
        <w:tabs>
          <w:tab w:val="left" w:pos="959"/>
        </w:tabs>
        <w:spacing w:after="120"/>
        <w:ind w:left="108"/>
        <w:jc w:val="center"/>
        <w:rPr>
          <w:b/>
          <w:color w:val="000000" w:themeColor="text1"/>
          <w:sz w:val="28"/>
          <w:szCs w:val="28"/>
          <w:lang w:val="uk-UA"/>
        </w:rPr>
      </w:pPr>
      <w:r w:rsidRPr="00F7290F">
        <w:rPr>
          <w:b/>
          <w:color w:val="000000" w:themeColor="text1"/>
          <w:sz w:val="28"/>
          <w:szCs w:val="28"/>
          <w:lang w:val="uk-UA"/>
        </w:rPr>
        <w:lastRenderedPageBreak/>
        <w:t>Вступ</w:t>
      </w:r>
    </w:p>
    <w:p w:rsidR="006A6689" w:rsidRPr="00F7290F" w:rsidRDefault="006A6689" w:rsidP="00D65D2E">
      <w:pPr>
        <w:pStyle w:val="23"/>
        <w:keepNext/>
        <w:widowControl w:val="0"/>
        <w:tabs>
          <w:tab w:val="left" w:pos="1260"/>
        </w:tabs>
        <w:ind w:firstLine="709"/>
        <w:rPr>
          <w:color w:val="000000" w:themeColor="text1"/>
          <w:spacing w:val="-4"/>
        </w:rPr>
      </w:pPr>
      <w:r w:rsidRPr="00F7290F">
        <w:rPr>
          <w:color w:val="000000" w:themeColor="text1"/>
        </w:rPr>
        <w:t>Проект Програми економічного і соціального розвитку Донецької області на  2013 рік (далі - Програма)</w:t>
      </w:r>
      <w:r w:rsidRPr="00F7290F">
        <w:rPr>
          <w:color w:val="000000" w:themeColor="text1"/>
          <w:spacing w:val="-4"/>
        </w:rPr>
        <w:t xml:space="preserve"> розроблений головним управлінням економіки облдержадміністрації за участю управлінь облдержадміністрації, територіальних органів міністерств та інших центральних органів виконавчої влади, виконавчих органів міських рад, райдержадміністрацій на виконання розпорядження голови облдержадміністрації від 02.10.2012 № 719 </w:t>
      </w:r>
      <w:r w:rsidR="007768BF" w:rsidRPr="00F7290F">
        <w:rPr>
          <w:color w:val="000000" w:themeColor="text1"/>
          <w:spacing w:val="-4"/>
        </w:rPr>
        <w:t>«</w:t>
      </w:r>
      <w:r w:rsidRPr="00F7290F">
        <w:rPr>
          <w:color w:val="000000" w:themeColor="text1"/>
          <w:spacing w:val="-4"/>
        </w:rPr>
        <w:t>Про розробку проекту Програми економічного і соціального розвитку Донецької області на 2013 рік</w:t>
      </w:r>
      <w:r w:rsidR="007768BF" w:rsidRPr="00F7290F">
        <w:rPr>
          <w:color w:val="000000" w:themeColor="text1"/>
          <w:spacing w:val="-4"/>
        </w:rPr>
        <w:t>»</w:t>
      </w:r>
      <w:r w:rsidRPr="00F7290F">
        <w:rPr>
          <w:color w:val="000000" w:themeColor="text1"/>
          <w:spacing w:val="-4"/>
        </w:rPr>
        <w:t>.</w:t>
      </w:r>
    </w:p>
    <w:p w:rsidR="006A6689" w:rsidRPr="00F7290F" w:rsidRDefault="006A6689" w:rsidP="00D65D2E">
      <w:pPr>
        <w:pStyle w:val="23"/>
        <w:keepNext/>
        <w:widowControl w:val="0"/>
        <w:tabs>
          <w:tab w:val="left" w:pos="1260"/>
        </w:tabs>
        <w:ind w:firstLine="709"/>
        <w:rPr>
          <w:color w:val="000000" w:themeColor="text1"/>
        </w:rPr>
      </w:pPr>
      <w:r w:rsidRPr="00F7290F">
        <w:rPr>
          <w:color w:val="000000" w:themeColor="text1"/>
        </w:rPr>
        <w:t xml:space="preserve">Законодавчою основою для розроблення Програми є Закон України від 23.03.2000  №1602-ІІІ </w:t>
      </w:r>
      <w:r w:rsidR="007768BF" w:rsidRPr="00F7290F">
        <w:rPr>
          <w:color w:val="000000" w:themeColor="text1"/>
        </w:rPr>
        <w:t>«</w:t>
      </w:r>
      <w:r w:rsidRPr="00F7290F">
        <w:rPr>
          <w:color w:val="000000" w:themeColor="text1"/>
        </w:rPr>
        <w:t>Про державне прогнозування та розроблення програм економічного і соціального розвитку України</w:t>
      </w:r>
      <w:r w:rsidR="007768BF" w:rsidRPr="00F7290F">
        <w:rPr>
          <w:color w:val="000000" w:themeColor="text1"/>
        </w:rPr>
        <w:t>»</w:t>
      </w:r>
      <w:r w:rsidRPr="00F7290F">
        <w:rPr>
          <w:color w:val="000000" w:themeColor="text1"/>
        </w:rPr>
        <w:t xml:space="preserve"> та постанова Кабінету Міністрів України від 26.04.2003 №621 </w:t>
      </w:r>
      <w:r w:rsidR="00F236D8" w:rsidRPr="00F236D8">
        <w:rPr>
          <w:color w:val="000000" w:themeColor="text1"/>
        </w:rPr>
        <w:t xml:space="preserve">                     </w:t>
      </w:r>
      <w:r w:rsidR="007768BF" w:rsidRPr="00F7290F">
        <w:rPr>
          <w:color w:val="000000" w:themeColor="text1"/>
        </w:rPr>
        <w:t>«</w:t>
      </w:r>
      <w:r w:rsidRPr="00F7290F">
        <w:rPr>
          <w:color w:val="000000" w:themeColor="text1"/>
        </w:rPr>
        <w:t>Про розроблення прогнозних і програмних документів економічного і соціального розвитку та складання проекту державного бюджету</w:t>
      </w:r>
      <w:r w:rsidR="007768BF" w:rsidRPr="00F7290F">
        <w:rPr>
          <w:color w:val="000000" w:themeColor="text1"/>
        </w:rPr>
        <w:t>»</w:t>
      </w:r>
      <w:r w:rsidRPr="00F7290F">
        <w:rPr>
          <w:color w:val="000000" w:themeColor="text1"/>
        </w:rPr>
        <w:t xml:space="preserve">. </w:t>
      </w:r>
    </w:p>
    <w:p w:rsidR="006A6689" w:rsidRPr="00F7290F" w:rsidRDefault="006A6689" w:rsidP="00D65D2E">
      <w:pPr>
        <w:pStyle w:val="23"/>
        <w:keepNext/>
        <w:widowControl w:val="0"/>
        <w:tabs>
          <w:tab w:val="left" w:pos="900"/>
        </w:tabs>
        <w:ind w:firstLine="709"/>
        <w:rPr>
          <w:color w:val="000000" w:themeColor="text1"/>
        </w:rPr>
      </w:pPr>
      <w:r w:rsidRPr="00F7290F">
        <w:rPr>
          <w:color w:val="000000" w:themeColor="text1"/>
        </w:rPr>
        <w:t>Програму розроблено з урахуванням завдань і положень:</w:t>
      </w:r>
    </w:p>
    <w:p w:rsidR="006A6689" w:rsidRPr="00F7290F" w:rsidRDefault="006A6689" w:rsidP="00D65D2E">
      <w:pPr>
        <w:pStyle w:val="23"/>
        <w:keepNext/>
        <w:widowControl w:val="0"/>
        <w:numPr>
          <w:ilvl w:val="0"/>
          <w:numId w:val="1"/>
        </w:numPr>
        <w:rPr>
          <w:color w:val="000000" w:themeColor="text1"/>
        </w:rPr>
      </w:pPr>
      <w:r w:rsidRPr="00F7290F">
        <w:rPr>
          <w:color w:val="000000" w:themeColor="text1"/>
        </w:rPr>
        <w:t>Державної стратегії регіонального розвитку на період до 2015 року;</w:t>
      </w:r>
    </w:p>
    <w:p w:rsidR="006A6689" w:rsidRPr="00F7290F" w:rsidRDefault="006A6689" w:rsidP="00D65D2E">
      <w:pPr>
        <w:pStyle w:val="23"/>
        <w:keepNext/>
        <w:widowControl w:val="0"/>
        <w:numPr>
          <w:ilvl w:val="0"/>
          <w:numId w:val="1"/>
        </w:numPr>
        <w:rPr>
          <w:color w:val="000000" w:themeColor="text1"/>
        </w:rPr>
      </w:pPr>
      <w:r w:rsidRPr="00F7290F">
        <w:rPr>
          <w:color w:val="000000" w:themeColor="text1"/>
        </w:rPr>
        <w:t xml:space="preserve">Програми економічних реформ на 2010-2014 роки </w:t>
      </w:r>
      <w:r w:rsidR="007768BF" w:rsidRPr="00F7290F">
        <w:rPr>
          <w:color w:val="000000" w:themeColor="text1"/>
        </w:rPr>
        <w:t>«</w:t>
      </w:r>
      <w:r w:rsidRPr="00F7290F">
        <w:rPr>
          <w:color w:val="000000" w:themeColor="text1"/>
        </w:rPr>
        <w:t>Заможне суспільство, конкурентоспроможна економіка, ефективна держава</w:t>
      </w:r>
      <w:r w:rsidR="007768BF" w:rsidRPr="00F7290F">
        <w:rPr>
          <w:color w:val="000000" w:themeColor="text1"/>
        </w:rPr>
        <w:t>»</w:t>
      </w:r>
      <w:r w:rsidRPr="00F7290F">
        <w:rPr>
          <w:color w:val="000000" w:themeColor="text1"/>
        </w:rPr>
        <w:t xml:space="preserve"> та соціальних ініціатив Президента; </w:t>
      </w:r>
    </w:p>
    <w:p w:rsidR="006A6689" w:rsidRPr="00F7290F" w:rsidRDefault="006A6689" w:rsidP="00D65D2E">
      <w:pPr>
        <w:pStyle w:val="23"/>
        <w:keepNext/>
        <w:widowControl w:val="0"/>
        <w:numPr>
          <w:ilvl w:val="0"/>
          <w:numId w:val="1"/>
        </w:numPr>
        <w:rPr>
          <w:color w:val="000000" w:themeColor="text1"/>
        </w:rPr>
      </w:pPr>
      <w:r w:rsidRPr="00F7290F">
        <w:rPr>
          <w:color w:val="000000" w:themeColor="text1"/>
        </w:rPr>
        <w:t xml:space="preserve">Стратегії економічного і соціального розвитку Донецької області на період до </w:t>
      </w:r>
      <w:r w:rsidR="00F236D8">
        <w:rPr>
          <w:color w:val="000000" w:themeColor="text1"/>
          <w:lang w:val="ru-RU"/>
        </w:rPr>
        <w:t xml:space="preserve">                </w:t>
      </w:r>
      <w:r w:rsidRPr="00F7290F">
        <w:rPr>
          <w:color w:val="000000" w:themeColor="text1"/>
        </w:rPr>
        <w:t xml:space="preserve">2015 року; </w:t>
      </w:r>
    </w:p>
    <w:p w:rsidR="006A6689" w:rsidRPr="00F7290F" w:rsidRDefault="006A6689" w:rsidP="00D65D2E">
      <w:pPr>
        <w:pStyle w:val="23"/>
        <w:keepNext/>
        <w:widowControl w:val="0"/>
        <w:numPr>
          <w:ilvl w:val="0"/>
          <w:numId w:val="1"/>
        </w:numPr>
        <w:rPr>
          <w:color w:val="000000" w:themeColor="text1"/>
        </w:rPr>
      </w:pPr>
      <w:r w:rsidRPr="00F7290F">
        <w:rPr>
          <w:color w:val="000000" w:themeColor="text1"/>
        </w:rPr>
        <w:t>щорічного Послання Президента України В.Ф. Януковича до Верховної Ради України.</w:t>
      </w:r>
    </w:p>
    <w:p w:rsidR="006A6689" w:rsidRPr="00F7290F" w:rsidRDefault="006A6689" w:rsidP="00D65D2E">
      <w:pPr>
        <w:keepNext/>
        <w:widowControl w:val="0"/>
        <w:spacing w:after="120"/>
        <w:ind w:firstLine="709"/>
        <w:jc w:val="both"/>
        <w:rPr>
          <w:color w:val="000000" w:themeColor="text1"/>
          <w:lang w:val="uk-UA" w:eastAsia="uk-UA"/>
        </w:rPr>
      </w:pPr>
      <w:r w:rsidRPr="00F7290F">
        <w:rPr>
          <w:color w:val="000000" w:themeColor="text1"/>
          <w:spacing w:val="-2"/>
          <w:lang w:val="uk-UA" w:eastAsia="en-US"/>
        </w:rPr>
        <w:t>Програмою визначені мета Програми, а</w:t>
      </w:r>
      <w:r w:rsidRPr="00F7290F">
        <w:rPr>
          <w:color w:val="000000" w:themeColor="text1"/>
          <w:lang w:val="uk-UA"/>
        </w:rPr>
        <w:t>ктуальні проблеми соціально-економічного розвитку, розроблені основні напрями розвитку,</w:t>
      </w:r>
      <w:r w:rsidRPr="00F7290F">
        <w:rPr>
          <w:color w:val="000000" w:themeColor="text1"/>
          <w:spacing w:val="-2"/>
          <w:lang w:val="uk-UA" w:eastAsia="en-US"/>
        </w:rPr>
        <w:t xml:space="preserve"> завдання,  </w:t>
      </w:r>
      <w:r w:rsidRPr="00F7290F">
        <w:rPr>
          <w:color w:val="000000" w:themeColor="text1"/>
          <w:lang w:val="uk-UA"/>
        </w:rPr>
        <w:t>сформовані</w:t>
      </w:r>
      <w:r w:rsidRPr="00F7290F">
        <w:rPr>
          <w:color w:val="000000" w:themeColor="text1"/>
          <w:spacing w:val="-2"/>
          <w:lang w:val="uk-UA" w:eastAsia="en-US"/>
        </w:rPr>
        <w:t xml:space="preserve"> </w:t>
      </w:r>
      <w:r w:rsidRPr="00F7290F">
        <w:rPr>
          <w:color w:val="000000" w:themeColor="text1"/>
          <w:lang w:val="uk-UA"/>
        </w:rPr>
        <w:t>заходи, спрямовані на</w:t>
      </w:r>
      <w:r w:rsidRPr="00F7290F">
        <w:rPr>
          <w:color w:val="000000" w:themeColor="text1"/>
          <w:spacing w:val="-2"/>
          <w:lang w:val="uk-UA" w:eastAsia="en-US"/>
        </w:rPr>
        <w:t xml:space="preserve"> </w:t>
      </w:r>
      <w:r w:rsidRPr="00F7290F">
        <w:rPr>
          <w:color w:val="000000" w:themeColor="text1"/>
          <w:lang w:val="uk-UA"/>
        </w:rPr>
        <w:t xml:space="preserve">структурні зміни в економіці, підвищення конкурентоспроможності, вирішення соціально-економічних проблем в усіх сферах діяльності, та </w:t>
      </w:r>
      <w:r w:rsidR="00A87421" w:rsidRPr="00F7290F">
        <w:rPr>
          <w:color w:val="000000" w:themeColor="text1"/>
          <w:lang w:val="uk-UA"/>
        </w:rPr>
        <w:t>перелік інвестиційних проектів за пріоритетними напрямками соціально-економічного розвитку регіону на 2013 рік</w:t>
      </w:r>
      <w:r w:rsidRPr="00F7290F">
        <w:rPr>
          <w:color w:val="000000" w:themeColor="text1"/>
          <w:lang w:val="uk-UA"/>
        </w:rPr>
        <w:t>.</w:t>
      </w:r>
    </w:p>
    <w:p w:rsidR="006A6689" w:rsidRPr="00F7290F" w:rsidRDefault="006A6689" w:rsidP="00D65D2E">
      <w:pPr>
        <w:keepNext/>
        <w:widowControl w:val="0"/>
        <w:tabs>
          <w:tab w:val="left" w:pos="1260"/>
          <w:tab w:val="left" w:pos="4253"/>
        </w:tabs>
        <w:spacing w:after="120"/>
        <w:ind w:firstLine="709"/>
        <w:jc w:val="both"/>
        <w:rPr>
          <w:color w:val="000000" w:themeColor="text1"/>
          <w:lang w:val="uk-UA" w:eastAsia="en-US"/>
        </w:rPr>
      </w:pPr>
      <w:r w:rsidRPr="00F7290F">
        <w:rPr>
          <w:color w:val="000000" w:themeColor="text1"/>
          <w:lang w:val="uk-UA" w:eastAsia="en-US"/>
        </w:rPr>
        <w:t xml:space="preserve">В Програмі враховані показники і заходи програм економічного і соціального розвитку на 2013 рік 28 міст обласного значення та 17 районів. </w:t>
      </w:r>
    </w:p>
    <w:p w:rsidR="006A6689" w:rsidRPr="00F7290F" w:rsidRDefault="006A6689" w:rsidP="00D65D2E">
      <w:pPr>
        <w:keepNext/>
        <w:widowControl w:val="0"/>
        <w:tabs>
          <w:tab w:val="left" w:pos="1260"/>
          <w:tab w:val="left" w:pos="4253"/>
        </w:tabs>
        <w:spacing w:after="120"/>
        <w:ind w:firstLine="709"/>
        <w:jc w:val="both"/>
        <w:rPr>
          <w:color w:val="000000" w:themeColor="text1"/>
          <w:lang w:val="uk-UA" w:eastAsia="en-US"/>
        </w:rPr>
      </w:pPr>
      <w:r w:rsidRPr="00F7290F">
        <w:rPr>
          <w:color w:val="000000" w:themeColor="text1"/>
          <w:lang w:val="uk-UA" w:eastAsia="en-US"/>
        </w:rPr>
        <w:t>Фінансування заходів, передбачених в Програмі, буде здійснюватися за рахунок коштів підприємств, місцевих бюджетів, інвесторів, коштів державного бюджету, що спрямовуються на реалізацію заходів державних цільових програм.</w:t>
      </w:r>
    </w:p>
    <w:p w:rsidR="003C53BC" w:rsidRPr="00F7290F" w:rsidRDefault="003C53BC" w:rsidP="00D65D2E">
      <w:pPr>
        <w:keepNext/>
        <w:widowControl w:val="0"/>
        <w:rPr>
          <w:color w:val="000000" w:themeColor="text1"/>
          <w:lang w:val="uk-UA"/>
        </w:rPr>
      </w:pPr>
    </w:p>
    <w:p w:rsidR="00E60C2F" w:rsidRPr="00F7290F" w:rsidRDefault="00E60C2F" w:rsidP="00D65D2E">
      <w:pPr>
        <w:keepNext/>
        <w:widowControl w:val="0"/>
        <w:rPr>
          <w:color w:val="000000" w:themeColor="text1"/>
          <w:lang w:val="uk-UA"/>
        </w:rPr>
      </w:pPr>
      <w:r w:rsidRPr="00F7290F">
        <w:rPr>
          <w:color w:val="000000" w:themeColor="text1"/>
          <w:lang w:val="uk-UA"/>
        </w:rPr>
        <w:br w:type="page"/>
      </w:r>
    </w:p>
    <w:p w:rsidR="004968B0" w:rsidRPr="00F7290F" w:rsidRDefault="004968B0" w:rsidP="00D65D2E">
      <w:pPr>
        <w:pStyle w:val="ab"/>
        <w:keepNext/>
        <w:widowControl w:val="0"/>
        <w:numPr>
          <w:ilvl w:val="0"/>
          <w:numId w:val="17"/>
        </w:numPr>
        <w:tabs>
          <w:tab w:val="left" w:pos="959"/>
        </w:tabs>
        <w:spacing w:after="120"/>
        <w:ind w:hanging="357"/>
        <w:jc w:val="center"/>
        <w:rPr>
          <w:b/>
          <w:color w:val="000000" w:themeColor="text1"/>
          <w:sz w:val="28"/>
          <w:szCs w:val="28"/>
          <w:lang w:val="uk-UA"/>
        </w:rPr>
      </w:pPr>
      <w:r w:rsidRPr="00F7290F">
        <w:rPr>
          <w:b/>
          <w:color w:val="000000" w:themeColor="text1"/>
          <w:sz w:val="28"/>
          <w:szCs w:val="28"/>
          <w:lang w:val="uk-UA"/>
        </w:rPr>
        <w:lastRenderedPageBreak/>
        <w:t>Соціально-економічна ситуація в області</w:t>
      </w:r>
    </w:p>
    <w:p w:rsidR="004968B0" w:rsidRPr="00F7290F" w:rsidRDefault="004968B0" w:rsidP="00D65D2E">
      <w:pPr>
        <w:pStyle w:val="ab"/>
        <w:keepNext/>
        <w:widowControl w:val="0"/>
        <w:numPr>
          <w:ilvl w:val="1"/>
          <w:numId w:val="17"/>
        </w:numPr>
        <w:tabs>
          <w:tab w:val="left" w:pos="959"/>
        </w:tabs>
        <w:spacing w:after="120"/>
        <w:ind w:hanging="357"/>
        <w:jc w:val="center"/>
        <w:rPr>
          <w:b/>
          <w:color w:val="000000" w:themeColor="text1"/>
          <w:lang w:val="uk-UA"/>
        </w:rPr>
      </w:pPr>
      <w:r w:rsidRPr="00F7290F">
        <w:rPr>
          <w:b/>
          <w:color w:val="000000" w:themeColor="text1"/>
          <w:lang w:val="uk-UA"/>
        </w:rPr>
        <w:t>Загальна характеристика області</w:t>
      </w:r>
    </w:p>
    <w:p w:rsidR="004968B0" w:rsidRPr="00F7290F" w:rsidRDefault="004968B0" w:rsidP="00D65D2E">
      <w:pPr>
        <w:keepNext/>
        <w:widowControl w:val="0"/>
        <w:jc w:val="center"/>
        <w:rPr>
          <w:color w:val="000000" w:themeColor="text1"/>
          <w:sz w:val="10"/>
          <w:szCs w:val="10"/>
          <w:lang w:val="uk-UA"/>
        </w:rPr>
      </w:pPr>
    </w:p>
    <w:tbl>
      <w:tblPr>
        <w:tblW w:w="10031" w:type="dxa"/>
        <w:tblLayout w:type="fixed"/>
        <w:tblLook w:val="0000"/>
      </w:tblPr>
      <w:tblGrid>
        <w:gridCol w:w="2802"/>
        <w:gridCol w:w="425"/>
        <w:gridCol w:w="283"/>
        <w:gridCol w:w="709"/>
        <w:gridCol w:w="142"/>
        <w:gridCol w:w="34"/>
        <w:gridCol w:w="108"/>
        <w:gridCol w:w="283"/>
        <w:gridCol w:w="107"/>
        <w:gridCol w:w="885"/>
        <w:gridCol w:w="567"/>
        <w:gridCol w:w="3686"/>
      </w:tblGrid>
      <w:tr w:rsidR="004968B0" w:rsidRPr="00F7290F" w:rsidTr="004968B0">
        <w:tc>
          <w:tcPr>
            <w:tcW w:w="2802" w:type="dxa"/>
            <w:vMerge w:val="restart"/>
          </w:tcPr>
          <w:p w:rsidR="004968B0" w:rsidRPr="00F7290F" w:rsidRDefault="004968B0" w:rsidP="00D65D2E">
            <w:pPr>
              <w:pStyle w:val="aff2"/>
              <w:keepNext/>
              <w:widowControl w:val="0"/>
              <w:spacing w:after="60"/>
              <w:jc w:val="center"/>
              <w:rPr>
                <w:b/>
                <w:i/>
                <w:color w:val="000000" w:themeColor="text1"/>
                <w:lang w:val="uk-UA"/>
              </w:rPr>
            </w:pPr>
          </w:p>
          <w:p w:rsidR="004968B0" w:rsidRPr="00F7290F" w:rsidRDefault="004968B0" w:rsidP="00D65D2E">
            <w:pPr>
              <w:pStyle w:val="aff2"/>
              <w:keepNext/>
              <w:widowControl w:val="0"/>
              <w:spacing w:after="60"/>
              <w:jc w:val="center"/>
              <w:rPr>
                <w:b/>
                <w:i/>
                <w:color w:val="000000" w:themeColor="text1"/>
                <w:lang w:val="uk-UA"/>
              </w:rPr>
            </w:pPr>
          </w:p>
          <w:p w:rsidR="004968B0" w:rsidRPr="00F7290F" w:rsidRDefault="004968B0" w:rsidP="00D65D2E">
            <w:pPr>
              <w:pStyle w:val="aff2"/>
              <w:keepNext/>
              <w:widowControl w:val="0"/>
              <w:spacing w:after="60"/>
              <w:jc w:val="center"/>
              <w:rPr>
                <w:b/>
                <w:i/>
                <w:color w:val="000000" w:themeColor="text1"/>
                <w:lang w:val="uk-UA"/>
              </w:rPr>
            </w:pPr>
            <w:r w:rsidRPr="00F7290F">
              <w:rPr>
                <w:b/>
                <w:i/>
                <w:noProof/>
                <w:color w:val="000000" w:themeColor="text1"/>
              </w:rPr>
              <w:drawing>
                <wp:inline distT="0" distB="0" distL="0" distR="0">
                  <wp:extent cx="1658620" cy="2232660"/>
                  <wp:effectExtent l="19050" t="0" r="0" b="0"/>
                  <wp:docPr id="138" name="Рисунок 2" descr="24_9_radm_20627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_9_radm_206272614"/>
                          <pic:cNvPicPr>
                            <a:picLocks noChangeAspect="1" noChangeArrowheads="1"/>
                          </pic:cNvPicPr>
                        </pic:nvPicPr>
                        <pic:blipFill>
                          <a:blip r:embed="rId14"/>
                          <a:srcRect/>
                          <a:stretch>
                            <a:fillRect/>
                          </a:stretch>
                        </pic:blipFill>
                        <pic:spPr bwMode="auto">
                          <a:xfrm>
                            <a:off x="0" y="0"/>
                            <a:ext cx="1658620" cy="2232660"/>
                          </a:xfrm>
                          <a:prstGeom prst="rect">
                            <a:avLst/>
                          </a:prstGeom>
                          <a:noFill/>
                          <a:ln w="9525">
                            <a:noFill/>
                            <a:miter lim="800000"/>
                            <a:headEnd/>
                            <a:tailEnd/>
                          </a:ln>
                        </pic:spPr>
                      </pic:pic>
                    </a:graphicData>
                  </a:graphic>
                </wp:inline>
              </w:drawing>
            </w:r>
          </w:p>
        </w:tc>
        <w:tc>
          <w:tcPr>
            <w:tcW w:w="7229" w:type="dxa"/>
            <w:gridSpan w:val="11"/>
          </w:tcPr>
          <w:p w:rsidR="004968B0" w:rsidRPr="00F7290F" w:rsidRDefault="004968B0" w:rsidP="00D65D2E">
            <w:pPr>
              <w:keepNext/>
              <w:widowControl w:val="0"/>
              <w:ind w:firstLine="709"/>
              <w:jc w:val="both"/>
              <w:rPr>
                <w:b/>
                <w:color w:val="000000" w:themeColor="text1"/>
                <w:lang w:val="uk-UA"/>
              </w:rPr>
            </w:pPr>
            <w:r w:rsidRPr="00F7290F">
              <w:rPr>
                <w:b/>
                <w:color w:val="000000" w:themeColor="text1"/>
                <w:lang w:val="uk-UA"/>
              </w:rPr>
              <w:t xml:space="preserve">Донецька область </w:t>
            </w:r>
            <w:r w:rsidRPr="00F7290F">
              <w:rPr>
                <w:color w:val="000000" w:themeColor="text1"/>
                <w:lang w:val="uk-UA"/>
              </w:rPr>
              <w:t>утворена 2 липня 1932 року.</w:t>
            </w:r>
            <w:r w:rsidRPr="00F7290F">
              <w:rPr>
                <w:b/>
                <w:color w:val="000000" w:themeColor="text1"/>
                <w:lang w:val="uk-UA"/>
              </w:rPr>
              <w:t xml:space="preserve"> </w:t>
            </w:r>
          </w:p>
          <w:p w:rsidR="004968B0" w:rsidRPr="00F7290F" w:rsidRDefault="004968B0" w:rsidP="00D65D2E">
            <w:pPr>
              <w:pStyle w:val="aff2"/>
              <w:keepNext/>
              <w:widowControl w:val="0"/>
              <w:spacing w:after="0"/>
              <w:ind w:left="0" w:firstLine="709"/>
              <w:jc w:val="both"/>
              <w:rPr>
                <w:color w:val="000000" w:themeColor="text1"/>
                <w:highlight w:val="yellow"/>
                <w:lang w:val="uk-UA"/>
              </w:rPr>
            </w:pPr>
            <w:r w:rsidRPr="00F7290F">
              <w:rPr>
                <w:color w:val="000000" w:themeColor="text1"/>
                <w:lang w:val="uk-UA"/>
              </w:rPr>
              <w:t>В адміністративно-територіальному устрої області 52 міста, з них 28 – обласного значення, 17 сільських районів, 131 селищ міського типу, 253 сільські ради  і 1118 сільських населених пунктів.</w:t>
            </w:r>
          </w:p>
        </w:tc>
      </w:tr>
      <w:tr w:rsidR="004968B0" w:rsidRPr="008E4FA0" w:rsidTr="004968B0">
        <w:trPr>
          <w:trHeight w:val="3478"/>
        </w:trPr>
        <w:tc>
          <w:tcPr>
            <w:tcW w:w="2802" w:type="dxa"/>
            <w:vMerge/>
          </w:tcPr>
          <w:p w:rsidR="004968B0" w:rsidRPr="00F7290F" w:rsidRDefault="004968B0" w:rsidP="00D65D2E">
            <w:pPr>
              <w:pStyle w:val="aff2"/>
              <w:keepNext/>
              <w:widowControl w:val="0"/>
              <w:spacing w:after="60"/>
              <w:rPr>
                <w:b/>
                <w:i/>
                <w:color w:val="000000" w:themeColor="text1"/>
                <w:highlight w:val="yellow"/>
                <w:lang w:val="uk-UA"/>
              </w:rPr>
            </w:pPr>
          </w:p>
        </w:tc>
        <w:tc>
          <w:tcPr>
            <w:tcW w:w="7229" w:type="dxa"/>
            <w:gridSpan w:val="11"/>
          </w:tcPr>
          <w:p w:rsidR="004968B0" w:rsidRPr="00F7290F" w:rsidRDefault="004968B0" w:rsidP="00D65D2E">
            <w:pPr>
              <w:pStyle w:val="aff2"/>
              <w:keepNext/>
              <w:widowControl w:val="0"/>
              <w:spacing w:after="0"/>
              <w:ind w:left="0" w:firstLine="709"/>
              <w:jc w:val="both"/>
              <w:rPr>
                <w:color w:val="000000" w:themeColor="text1"/>
                <w:lang w:val="uk-UA"/>
              </w:rPr>
            </w:pPr>
            <w:r w:rsidRPr="00F7290F">
              <w:rPr>
                <w:b/>
                <w:i/>
                <w:color w:val="000000" w:themeColor="text1"/>
                <w:lang w:val="uk-UA"/>
              </w:rPr>
              <w:t>Природний потенціал</w:t>
            </w:r>
          </w:p>
          <w:p w:rsidR="004968B0" w:rsidRPr="00F7290F" w:rsidRDefault="004968B0" w:rsidP="00D65D2E">
            <w:pPr>
              <w:pStyle w:val="aff2"/>
              <w:keepNext/>
              <w:widowControl w:val="0"/>
              <w:spacing w:after="0"/>
              <w:ind w:left="0" w:firstLine="709"/>
              <w:jc w:val="both"/>
              <w:rPr>
                <w:color w:val="000000" w:themeColor="text1"/>
                <w:lang w:val="uk-UA"/>
              </w:rPr>
            </w:pPr>
            <w:r w:rsidRPr="00F7290F">
              <w:rPr>
                <w:color w:val="000000" w:themeColor="text1"/>
                <w:lang w:val="uk-UA"/>
              </w:rPr>
              <w:t xml:space="preserve">Донецька область розміщена в південно-східній частині України. На сході її кордони частково співпадають з державними кордонами України і Російської Федерації. На півдні область має вихід до морів Середземноморського басейну. Протяжність області з півночі на південь – </w:t>
            </w:r>
            <w:smartTag w:uri="urn:schemas-microsoft-com:office:smarttags" w:element="metricconverter">
              <w:smartTagPr>
                <w:attr w:name="ProductID" w:val="240 км"/>
              </w:smartTagPr>
              <w:r w:rsidRPr="00F7290F">
                <w:rPr>
                  <w:color w:val="000000" w:themeColor="text1"/>
                  <w:lang w:val="uk-UA"/>
                </w:rPr>
                <w:t>240 км</w:t>
              </w:r>
            </w:smartTag>
            <w:r w:rsidRPr="00F7290F">
              <w:rPr>
                <w:color w:val="000000" w:themeColor="text1"/>
                <w:lang w:val="uk-UA"/>
              </w:rPr>
              <w:t xml:space="preserve">, з заходу на схід – </w:t>
            </w:r>
            <w:smartTag w:uri="urn:schemas-microsoft-com:office:smarttags" w:element="metricconverter">
              <w:smartTagPr>
                <w:attr w:name="ProductID" w:val="170 км"/>
              </w:smartTagPr>
              <w:r w:rsidRPr="00F7290F">
                <w:rPr>
                  <w:color w:val="000000" w:themeColor="text1"/>
                  <w:lang w:val="uk-UA"/>
                </w:rPr>
                <w:t>170 км</w:t>
              </w:r>
            </w:smartTag>
            <w:r w:rsidRPr="00F7290F">
              <w:rPr>
                <w:color w:val="000000" w:themeColor="text1"/>
                <w:lang w:val="uk-UA"/>
              </w:rPr>
              <w:t>. Площа –      26,5 тис. кв. км, або 4,4 % території країни.</w:t>
            </w:r>
          </w:p>
          <w:p w:rsidR="004968B0" w:rsidRPr="00F7290F" w:rsidRDefault="004968B0" w:rsidP="00D65D2E">
            <w:pPr>
              <w:pStyle w:val="aff2"/>
              <w:keepNext/>
              <w:widowControl w:val="0"/>
              <w:spacing w:after="0"/>
              <w:ind w:left="0" w:firstLine="709"/>
              <w:jc w:val="both"/>
              <w:rPr>
                <w:color w:val="000000" w:themeColor="text1"/>
                <w:lang w:val="uk-UA"/>
              </w:rPr>
            </w:pPr>
            <w:r w:rsidRPr="00F7290F">
              <w:rPr>
                <w:color w:val="000000" w:themeColor="text1"/>
                <w:lang w:val="uk-UA"/>
              </w:rPr>
              <w:t>Донецька область є найбільшою з областей України за чисельністю населення. Тут проживає 4,4 млн.чол.,                                 130 національностей (9,7% населення країни). Щільність населення складає 165 чол. на 1 кв.км, 90,9% населення мешкає в містах.</w:t>
            </w:r>
          </w:p>
          <w:p w:rsidR="004968B0" w:rsidRPr="00F7290F" w:rsidRDefault="004968B0" w:rsidP="00D65D2E">
            <w:pPr>
              <w:keepNext/>
              <w:widowControl w:val="0"/>
              <w:ind w:firstLine="709"/>
              <w:jc w:val="both"/>
              <w:rPr>
                <w:color w:val="000000" w:themeColor="text1"/>
                <w:lang w:val="uk-UA"/>
              </w:rPr>
            </w:pPr>
            <w:r w:rsidRPr="00F7290F">
              <w:rPr>
                <w:color w:val="000000" w:themeColor="text1"/>
                <w:lang w:val="uk-UA"/>
              </w:rPr>
              <w:t>Найбільші міста: Донецьк (959,9 тис.чол.), Маріуполь              (481,0 тис.чол.), Макіївка (391,2 тис.чол.), Горлівка (275,5 тис.чол.), Краматорськ (197,8 тис.чол.), Слов’янськ (134,0 тис.чол.).</w:t>
            </w:r>
          </w:p>
        </w:tc>
      </w:tr>
      <w:tr w:rsidR="004968B0" w:rsidRPr="00F7290F" w:rsidTr="004968B0">
        <w:trPr>
          <w:trHeight w:val="3729"/>
        </w:trPr>
        <w:tc>
          <w:tcPr>
            <w:tcW w:w="4786" w:type="dxa"/>
            <w:gridSpan w:val="8"/>
          </w:tcPr>
          <w:p w:rsidR="004968B0" w:rsidRPr="00F7290F" w:rsidRDefault="004968B0" w:rsidP="00D65D2E">
            <w:pPr>
              <w:pStyle w:val="aff2"/>
              <w:keepNext/>
              <w:widowControl w:val="0"/>
              <w:spacing w:after="60"/>
              <w:ind w:left="0"/>
              <w:rPr>
                <w:noProof/>
                <w:color w:val="000000" w:themeColor="text1"/>
                <w:lang w:val="uk-UA" w:eastAsia="ja-JP"/>
              </w:rPr>
            </w:pPr>
            <w:r w:rsidRPr="00F7290F">
              <w:rPr>
                <w:noProof/>
                <w:color w:val="000000" w:themeColor="text1"/>
              </w:rPr>
              <w:drawing>
                <wp:inline distT="0" distB="0" distL="0" distR="0">
                  <wp:extent cx="3094355" cy="2339340"/>
                  <wp:effectExtent l="19050" t="0" r="0" b="0"/>
                  <wp:docPr id="139" name="Рисунок 3" descr="00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_0"/>
                          <pic:cNvPicPr>
                            <a:picLocks noChangeAspect="1" noChangeArrowheads="1"/>
                          </pic:cNvPicPr>
                        </pic:nvPicPr>
                        <pic:blipFill>
                          <a:blip r:embed="rId15"/>
                          <a:srcRect/>
                          <a:stretch>
                            <a:fillRect/>
                          </a:stretch>
                        </pic:blipFill>
                        <pic:spPr bwMode="auto">
                          <a:xfrm>
                            <a:off x="0" y="0"/>
                            <a:ext cx="3094355" cy="2339340"/>
                          </a:xfrm>
                          <a:prstGeom prst="rect">
                            <a:avLst/>
                          </a:prstGeom>
                          <a:noFill/>
                          <a:ln w="9525">
                            <a:noFill/>
                            <a:miter lim="800000"/>
                            <a:headEnd/>
                            <a:tailEnd/>
                          </a:ln>
                        </pic:spPr>
                      </pic:pic>
                    </a:graphicData>
                  </a:graphic>
                </wp:inline>
              </w:drawing>
            </w:r>
          </w:p>
        </w:tc>
        <w:tc>
          <w:tcPr>
            <w:tcW w:w="5245" w:type="dxa"/>
            <w:gridSpan w:val="4"/>
          </w:tcPr>
          <w:p w:rsidR="004968B0" w:rsidRPr="00F7290F" w:rsidRDefault="004968B0" w:rsidP="00D65D2E">
            <w:pPr>
              <w:pStyle w:val="23"/>
              <w:keepNext/>
              <w:widowControl w:val="0"/>
              <w:spacing w:after="0"/>
              <w:ind w:firstLine="567"/>
              <w:rPr>
                <w:color w:val="000000" w:themeColor="text1"/>
              </w:rPr>
            </w:pPr>
            <w:r w:rsidRPr="00F7290F">
              <w:rPr>
                <w:color w:val="000000" w:themeColor="text1"/>
              </w:rPr>
              <w:t xml:space="preserve">Область характеризується помірно-континентальним кліматом з недостатнім зволоженням. Її територія знаходиться під постійним впливом Атлантичного океану і континентальних просторів Азіатського материка. Істотний вплив роблять прориви холодного арктичного і теплого, вологого середземноморського повітря. </w:t>
            </w:r>
          </w:p>
          <w:p w:rsidR="004968B0" w:rsidRPr="00F7290F" w:rsidRDefault="004968B0" w:rsidP="00D65D2E">
            <w:pPr>
              <w:pStyle w:val="23"/>
              <w:keepNext/>
              <w:widowControl w:val="0"/>
              <w:spacing w:after="0"/>
              <w:ind w:firstLine="567"/>
              <w:rPr>
                <w:noProof/>
                <w:color w:val="000000" w:themeColor="text1"/>
                <w:lang w:eastAsia="ja-JP"/>
              </w:rPr>
            </w:pPr>
            <w:r w:rsidRPr="00F7290F">
              <w:rPr>
                <w:color w:val="000000" w:themeColor="text1"/>
              </w:rPr>
              <w:t>Найбільша кількість опадів випадає на підвищенні у західній частині Донецького кряжу, найменша – у приморських районах. Влітку випадає до 50% річного обсягу. Сума опадів за рік складає  400-</w:t>
            </w:r>
            <w:smartTag w:uri="urn:schemas-microsoft-com:office:smarttags" w:element="metricconverter">
              <w:smartTagPr>
                <w:attr w:name="ProductID" w:val="540 мм"/>
              </w:smartTagPr>
              <w:r w:rsidRPr="00F7290F">
                <w:rPr>
                  <w:color w:val="000000" w:themeColor="text1"/>
                </w:rPr>
                <w:t>540 мм</w:t>
              </w:r>
            </w:smartTag>
            <w:r w:rsidRPr="00F7290F">
              <w:rPr>
                <w:color w:val="000000" w:themeColor="text1"/>
              </w:rPr>
              <w:t>.</w:t>
            </w:r>
          </w:p>
        </w:tc>
      </w:tr>
      <w:tr w:rsidR="004968B0" w:rsidRPr="00F7290F" w:rsidTr="004968B0">
        <w:trPr>
          <w:trHeight w:val="2088"/>
        </w:trPr>
        <w:tc>
          <w:tcPr>
            <w:tcW w:w="5778" w:type="dxa"/>
            <w:gridSpan w:val="10"/>
          </w:tcPr>
          <w:p w:rsidR="004968B0" w:rsidRPr="00F7290F" w:rsidRDefault="004968B0" w:rsidP="00D65D2E">
            <w:pPr>
              <w:pStyle w:val="aff2"/>
              <w:keepNext/>
              <w:widowControl w:val="0"/>
              <w:spacing w:after="60"/>
              <w:ind w:left="0" w:firstLine="709"/>
              <w:jc w:val="both"/>
              <w:rPr>
                <w:color w:val="000000" w:themeColor="text1"/>
                <w:spacing w:val="-6"/>
                <w:lang w:val="uk-UA"/>
              </w:rPr>
            </w:pPr>
            <w:r w:rsidRPr="00F7290F">
              <w:rPr>
                <w:color w:val="000000" w:themeColor="text1"/>
                <w:spacing w:val="-6"/>
                <w:lang w:val="uk-UA"/>
              </w:rPr>
              <w:t>Область розташована  у лісостеповій фізико-географічній зоні. Рельєф області різноманітний, з характерною сильною ерозією ґрунтів. За рельєфом можна виділити декілька основних районів: на півночі – Донецький кряж, на півдні – Приазовська височина.</w:t>
            </w:r>
          </w:p>
          <w:p w:rsidR="004968B0" w:rsidRPr="00F7290F" w:rsidRDefault="004968B0" w:rsidP="00D65D2E">
            <w:pPr>
              <w:pStyle w:val="aff2"/>
              <w:keepNext/>
              <w:widowControl w:val="0"/>
              <w:spacing w:after="60"/>
              <w:ind w:left="0" w:firstLine="709"/>
              <w:jc w:val="both"/>
              <w:rPr>
                <w:color w:val="000000" w:themeColor="text1"/>
                <w:lang w:val="uk-UA"/>
              </w:rPr>
            </w:pPr>
            <w:r w:rsidRPr="00F7290F">
              <w:rPr>
                <w:color w:val="000000" w:themeColor="text1"/>
                <w:lang w:val="uk-UA"/>
              </w:rPr>
              <w:t xml:space="preserve">В області є дивовижні місця та цілющі родовища. Бальнеологічне значення мають Слов’янські солоні озера та джерела мінеральних вод. Унікальні природні лікувальні властивості має соляна шахта в м. Солідарі, де створено спелеологічний санаторій. </w:t>
            </w:r>
          </w:p>
        </w:tc>
        <w:tc>
          <w:tcPr>
            <w:tcW w:w="4253" w:type="dxa"/>
            <w:gridSpan w:val="2"/>
          </w:tcPr>
          <w:p w:rsidR="004968B0" w:rsidRPr="00F7290F" w:rsidRDefault="004968B0" w:rsidP="00D65D2E">
            <w:pPr>
              <w:keepNext/>
              <w:widowControl w:val="0"/>
              <w:spacing w:after="60"/>
              <w:jc w:val="center"/>
              <w:rPr>
                <w:color w:val="000000" w:themeColor="text1"/>
                <w:lang w:val="uk-UA"/>
              </w:rPr>
            </w:pPr>
            <w:r w:rsidRPr="00F7290F">
              <w:rPr>
                <w:noProof/>
                <w:color w:val="000000" w:themeColor="text1"/>
              </w:rPr>
              <w:drawing>
                <wp:inline distT="0" distB="0" distL="0" distR="0">
                  <wp:extent cx="2637155" cy="1977390"/>
                  <wp:effectExtent l="19050" t="0" r="0" b="0"/>
                  <wp:docPr id="141" name="Рисунок 4" descr="slavya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vyansk"/>
                          <pic:cNvPicPr>
                            <a:picLocks noChangeAspect="1" noChangeArrowheads="1"/>
                          </pic:cNvPicPr>
                        </pic:nvPicPr>
                        <pic:blipFill>
                          <a:blip r:embed="rId16"/>
                          <a:srcRect/>
                          <a:stretch>
                            <a:fillRect/>
                          </a:stretch>
                        </pic:blipFill>
                        <pic:spPr bwMode="auto">
                          <a:xfrm>
                            <a:off x="0" y="0"/>
                            <a:ext cx="2637155" cy="1977390"/>
                          </a:xfrm>
                          <a:prstGeom prst="rect">
                            <a:avLst/>
                          </a:prstGeom>
                          <a:noFill/>
                          <a:ln w="9525">
                            <a:noFill/>
                            <a:miter lim="800000"/>
                            <a:headEnd/>
                            <a:tailEnd/>
                          </a:ln>
                        </pic:spPr>
                      </pic:pic>
                    </a:graphicData>
                  </a:graphic>
                </wp:inline>
              </w:drawing>
            </w:r>
          </w:p>
          <w:p w:rsidR="004968B0" w:rsidRPr="00F7290F" w:rsidRDefault="004968B0" w:rsidP="00D65D2E">
            <w:pPr>
              <w:keepNext/>
              <w:widowControl w:val="0"/>
              <w:spacing w:after="60"/>
              <w:jc w:val="center"/>
              <w:rPr>
                <w:b/>
                <w:i/>
                <w:color w:val="000000" w:themeColor="text1"/>
                <w:sz w:val="2"/>
                <w:szCs w:val="2"/>
                <w:lang w:val="uk-UA"/>
              </w:rPr>
            </w:pPr>
          </w:p>
        </w:tc>
      </w:tr>
      <w:tr w:rsidR="004968B0" w:rsidRPr="008E4FA0" w:rsidTr="004968B0">
        <w:trPr>
          <w:trHeight w:val="338"/>
        </w:trPr>
        <w:tc>
          <w:tcPr>
            <w:tcW w:w="10031" w:type="dxa"/>
            <w:gridSpan w:val="12"/>
          </w:tcPr>
          <w:p w:rsidR="002304A0" w:rsidRPr="00F7290F" w:rsidRDefault="002304A0" w:rsidP="002304A0">
            <w:pPr>
              <w:keepNext/>
              <w:widowControl w:val="0"/>
              <w:spacing w:after="60"/>
              <w:ind w:firstLine="567"/>
              <w:jc w:val="both"/>
              <w:rPr>
                <w:lang w:val="uk-UA"/>
              </w:rPr>
            </w:pPr>
            <w:r w:rsidRPr="00F7290F">
              <w:rPr>
                <w:lang w:val="uk-UA"/>
              </w:rPr>
              <w:t xml:space="preserve">Неперевершеною за своїм оздоровлюючим ефектом є Азовське узбережжя. </w:t>
            </w:r>
          </w:p>
          <w:p w:rsidR="004968B0" w:rsidRPr="00F7290F" w:rsidRDefault="002304A0" w:rsidP="002304A0">
            <w:pPr>
              <w:keepNext/>
              <w:widowControl w:val="0"/>
              <w:spacing w:after="60"/>
              <w:ind w:firstLine="567"/>
              <w:jc w:val="both"/>
              <w:rPr>
                <w:b/>
                <w:i/>
                <w:color w:val="000000" w:themeColor="text1"/>
                <w:spacing w:val="-6"/>
                <w:lang w:val="uk-UA"/>
              </w:rPr>
            </w:pPr>
            <w:r w:rsidRPr="00F7290F">
              <w:rPr>
                <w:spacing w:val="-6"/>
                <w:lang w:val="uk-UA"/>
              </w:rPr>
              <w:t>Область багата родючими чорноземами. Вона має багату мінерально-сировинну базу. Головними корисними копалинами є кам'яне вугілля, кам'яна</w:t>
            </w:r>
            <w:r w:rsidRPr="00F7290F">
              <w:rPr>
                <w:color w:val="FF0000"/>
                <w:spacing w:val="-6"/>
                <w:lang w:val="uk-UA"/>
              </w:rPr>
              <w:t xml:space="preserve"> </w:t>
            </w:r>
            <w:r w:rsidRPr="00F7290F">
              <w:rPr>
                <w:spacing w:val="-6"/>
                <w:lang w:val="uk-UA"/>
              </w:rPr>
              <w:t>сіль, вапняки, вогнетривкі глини, цементна сировина, крейда, гіпс, інші – усього майже 50 видів.</w:t>
            </w:r>
          </w:p>
        </w:tc>
      </w:tr>
      <w:tr w:rsidR="004968B0" w:rsidRPr="00F7290F" w:rsidTr="004968B0">
        <w:trPr>
          <w:trHeight w:val="338"/>
        </w:trPr>
        <w:tc>
          <w:tcPr>
            <w:tcW w:w="10031" w:type="dxa"/>
            <w:gridSpan w:val="12"/>
          </w:tcPr>
          <w:p w:rsidR="004968B0" w:rsidRPr="00F7290F" w:rsidRDefault="004968B0" w:rsidP="00D65D2E">
            <w:pPr>
              <w:keepNext/>
              <w:widowControl w:val="0"/>
              <w:spacing w:after="60"/>
              <w:ind w:firstLine="567"/>
              <w:jc w:val="center"/>
              <w:rPr>
                <w:color w:val="000000" w:themeColor="text1"/>
                <w:lang w:val="uk-UA"/>
              </w:rPr>
            </w:pPr>
            <w:r w:rsidRPr="00F7290F">
              <w:rPr>
                <w:b/>
                <w:i/>
                <w:color w:val="000000" w:themeColor="text1"/>
                <w:lang w:val="uk-UA"/>
              </w:rPr>
              <w:lastRenderedPageBreak/>
              <w:t>Економічний потенціал</w:t>
            </w:r>
          </w:p>
        </w:tc>
      </w:tr>
      <w:tr w:rsidR="002304A0" w:rsidRPr="008E4FA0" w:rsidTr="004968B0">
        <w:trPr>
          <w:trHeight w:val="2088"/>
        </w:trPr>
        <w:tc>
          <w:tcPr>
            <w:tcW w:w="3227" w:type="dxa"/>
            <w:gridSpan w:val="2"/>
            <w:vMerge w:val="restart"/>
          </w:tcPr>
          <w:p w:rsidR="002304A0" w:rsidRPr="00F7290F" w:rsidRDefault="002304A0" w:rsidP="00D65D2E">
            <w:pPr>
              <w:pStyle w:val="aff2"/>
              <w:keepNext/>
              <w:widowControl w:val="0"/>
              <w:spacing w:after="60"/>
              <w:ind w:left="0"/>
              <w:jc w:val="center"/>
              <w:rPr>
                <w:color w:val="000000" w:themeColor="text1"/>
                <w:lang w:val="uk-UA"/>
              </w:rPr>
            </w:pPr>
            <w:r w:rsidRPr="00F7290F">
              <w:rPr>
                <w:noProof/>
                <w:color w:val="000000" w:themeColor="text1"/>
              </w:rPr>
              <w:drawing>
                <wp:inline distT="0" distB="0" distL="0" distR="0">
                  <wp:extent cx="1945640" cy="1552575"/>
                  <wp:effectExtent l="19050" t="0" r="0" b="0"/>
                  <wp:docPr id="59" name="Рисунок 5" descr="407532_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7532_3_0"/>
                          <pic:cNvPicPr>
                            <a:picLocks noChangeAspect="1" noChangeArrowheads="1"/>
                          </pic:cNvPicPr>
                        </pic:nvPicPr>
                        <pic:blipFill>
                          <a:blip r:embed="rId17"/>
                          <a:srcRect/>
                          <a:stretch>
                            <a:fillRect/>
                          </a:stretch>
                        </pic:blipFill>
                        <pic:spPr bwMode="auto">
                          <a:xfrm>
                            <a:off x="0" y="0"/>
                            <a:ext cx="1945640" cy="1552575"/>
                          </a:xfrm>
                          <a:prstGeom prst="rect">
                            <a:avLst/>
                          </a:prstGeom>
                          <a:noFill/>
                          <a:ln w="9525">
                            <a:noFill/>
                            <a:miter lim="800000"/>
                            <a:headEnd/>
                            <a:tailEnd/>
                          </a:ln>
                        </pic:spPr>
                      </pic:pic>
                    </a:graphicData>
                  </a:graphic>
                </wp:inline>
              </w:drawing>
            </w:r>
          </w:p>
          <w:p w:rsidR="002304A0" w:rsidRPr="00F7290F" w:rsidRDefault="002304A0" w:rsidP="00D65D2E">
            <w:pPr>
              <w:pStyle w:val="aff2"/>
              <w:keepNext/>
              <w:widowControl w:val="0"/>
              <w:spacing w:after="60"/>
              <w:ind w:left="0"/>
              <w:jc w:val="center"/>
              <w:rPr>
                <w:color w:val="000000" w:themeColor="text1"/>
                <w:lang w:val="uk-UA"/>
              </w:rPr>
            </w:pPr>
            <w:r w:rsidRPr="00F7290F">
              <w:rPr>
                <w:noProof/>
                <w:color w:val="000000" w:themeColor="text1"/>
              </w:rPr>
              <w:drawing>
                <wp:inline distT="0" distB="0" distL="0" distR="0">
                  <wp:extent cx="1520190" cy="1530985"/>
                  <wp:effectExtent l="19050" t="0" r="3810" b="0"/>
                  <wp:docPr id="136" name="Рисунок 6" descr="335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58_0"/>
                          <pic:cNvPicPr>
                            <a:picLocks noChangeAspect="1" noChangeArrowheads="1"/>
                          </pic:cNvPicPr>
                        </pic:nvPicPr>
                        <pic:blipFill>
                          <a:blip r:embed="rId18" cstate="print"/>
                          <a:srcRect/>
                          <a:stretch>
                            <a:fillRect/>
                          </a:stretch>
                        </pic:blipFill>
                        <pic:spPr bwMode="auto">
                          <a:xfrm>
                            <a:off x="0" y="0"/>
                            <a:ext cx="1520190" cy="1530985"/>
                          </a:xfrm>
                          <a:prstGeom prst="rect">
                            <a:avLst/>
                          </a:prstGeom>
                          <a:noFill/>
                          <a:ln w="9525">
                            <a:noFill/>
                            <a:miter lim="800000"/>
                            <a:headEnd/>
                            <a:tailEnd/>
                          </a:ln>
                        </pic:spPr>
                      </pic:pic>
                    </a:graphicData>
                  </a:graphic>
                </wp:inline>
              </w:drawing>
            </w:r>
          </w:p>
          <w:p w:rsidR="002304A0" w:rsidRPr="00F7290F" w:rsidRDefault="002304A0" w:rsidP="00D65D2E">
            <w:pPr>
              <w:pStyle w:val="aff2"/>
              <w:keepNext/>
              <w:widowControl w:val="0"/>
              <w:spacing w:after="60"/>
              <w:ind w:left="0"/>
              <w:jc w:val="center"/>
              <w:rPr>
                <w:color w:val="000000" w:themeColor="text1"/>
                <w:sz w:val="4"/>
                <w:szCs w:val="4"/>
                <w:lang w:val="uk-UA"/>
              </w:rPr>
            </w:pPr>
          </w:p>
        </w:tc>
        <w:tc>
          <w:tcPr>
            <w:tcW w:w="6804" w:type="dxa"/>
            <w:gridSpan w:val="10"/>
          </w:tcPr>
          <w:p w:rsidR="002304A0" w:rsidRPr="00F7290F" w:rsidRDefault="002304A0" w:rsidP="002304A0">
            <w:pPr>
              <w:keepNext/>
              <w:widowControl w:val="0"/>
              <w:spacing w:after="60"/>
              <w:ind w:firstLine="567"/>
              <w:jc w:val="both"/>
              <w:rPr>
                <w:lang w:val="uk-UA"/>
              </w:rPr>
            </w:pPr>
            <w:r w:rsidRPr="00F7290F">
              <w:rPr>
                <w:lang w:val="uk-UA"/>
              </w:rPr>
              <w:t>Наявність в області власних паливно-енергетичних і мінерально-сировинних ресурсів, близькість залізорудних родовищ Криворізького басейну, вихід до моря</w:t>
            </w:r>
            <w:r w:rsidRPr="00F7290F">
              <w:rPr>
                <w:b/>
                <w:lang w:val="uk-UA"/>
              </w:rPr>
              <w:t xml:space="preserve"> </w:t>
            </w:r>
            <w:r w:rsidRPr="00F7290F">
              <w:rPr>
                <w:lang w:val="uk-UA"/>
              </w:rPr>
              <w:t>зумовили формування потужного промислового комплексу з високою концентрацією галузей</w:t>
            </w:r>
            <w:r w:rsidRPr="00F7290F">
              <w:rPr>
                <w:b/>
                <w:lang w:val="uk-UA"/>
              </w:rPr>
              <w:t xml:space="preserve"> </w:t>
            </w:r>
            <w:r w:rsidRPr="00F7290F">
              <w:rPr>
                <w:lang w:val="uk-UA"/>
              </w:rPr>
              <w:t>важкої промисловості, створення достатньо розвиненої виробничої, наукової і соціальної інфраструктури, високий ступінь урбанізації.</w:t>
            </w:r>
          </w:p>
        </w:tc>
      </w:tr>
      <w:tr w:rsidR="002304A0" w:rsidRPr="008E4FA0" w:rsidTr="004968B0">
        <w:tc>
          <w:tcPr>
            <w:tcW w:w="3227" w:type="dxa"/>
            <w:gridSpan w:val="2"/>
            <w:vMerge/>
          </w:tcPr>
          <w:p w:rsidR="002304A0" w:rsidRPr="00F7290F" w:rsidRDefault="002304A0" w:rsidP="00D65D2E">
            <w:pPr>
              <w:pStyle w:val="aff2"/>
              <w:keepNext/>
              <w:widowControl w:val="0"/>
              <w:spacing w:after="60"/>
              <w:rPr>
                <w:b/>
                <w:i/>
                <w:color w:val="000000" w:themeColor="text1"/>
                <w:lang w:val="uk-UA"/>
              </w:rPr>
            </w:pPr>
          </w:p>
        </w:tc>
        <w:tc>
          <w:tcPr>
            <w:tcW w:w="6804" w:type="dxa"/>
            <w:gridSpan w:val="10"/>
          </w:tcPr>
          <w:p w:rsidR="002304A0" w:rsidRPr="00F7290F" w:rsidRDefault="002304A0" w:rsidP="002304A0">
            <w:pPr>
              <w:pStyle w:val="23"/>
              <w:keepNext/>
              <w:widowControl w:val="0"/>
              <w:spacing w:after="60"/>
              <w:ind w:firstLine="567"/>
              <w:rPr>
                <w:b/>
                <w:i/>
              </w:rPr>
            </w:pPr>
          </w:p>
          <w:p w:rsidR="002304A0" w:rsidRPr="00F7290F" w:rsidRDefault="002304A0" w:rsidP="002304A0">
            <w:pPr>
              <w:pStyle w:val="23"/>
              <w:keepNext/>
              <w:widowControl w:val="0"/>
              <w:spacing w:after="60"/>
              <w:ind w:firstLine="567"/>
            </w:pPr>
            <w:r w:rsidRPr="00F7290F">
              <w:rPr>
                <w:b/>
                <w:i/>
              </w:rPr>
              <w:t>Промисловість</w:t>
            </w:r>
          </w:p>
          <w:p w:rsidR="002304A0" w:rsidRPr="00F7290F" w:rsidRDefault="002304A0" w:rsidP="002304A0">
            <w:pPr>
              <w:pStyle w:val="23"/>
              <w:keepNext/>
              <w:widowControl w:val="0"/>
              <w:spacing w:after="60"/>
              <w:ind w:firstLine="567"/>
            </w:pPr>
            <w:r w:rsidRPr="00F7290F">
              <w:t>Промисловий потенціал області складає основу господарського комплексу регіону і займає важливе місце в економіці України. Область володіє майже шостою частиною основних промислово-виробничих фондів України, забезпечує понад 20% загальнодержавного обсягу реалізованої промислової продукції, займає перші та провідні місця по випуску багатьох видів промислової та сільськогосподарської продукції.</w:t>
            </w:r>
          </w:p>
        </w:tc>
      </w:tr>
      <w:tr w:rsidR="004968B0" w:rsidRPr="008E4FA0" w:rsidTr="004968B0">
        <w:tc>
          <w:tcPr>
            <w:tcW w:w="3227" w:type="dxa"/>
            <w:gridSpan w:val="2"/>
          </w:tcPr>
          <w:p w:rsidR="004968B0" w:rsidRPr="00F7290F" w:rsidRDefault="004968B0" w:rsidP="00D65D2E">
            <w:pPr>
              <w:pStyle w:val="aff2"/>
              <w:keepNext/>
              <w:widowControl w:val="0"/>
              <w:spacing w:after="60"/>
              <w:rPr>
                <w:b/>
                <w:i/>
                <w:color w:val="000000" w:themeColor="text1"/>
                <w:highlight w:val="yellow"/>
                <w:lang w:val="uk-UA"/>
              </w:rPr>
            </w:pPr>
          </w:p>
        </w:tc>
        <w:tc>
          <w:tcPr>
            <w:tcW w:w="6804" w:type="dxa"/>
            <w:gridSpan w:val="10"/>
          </w:tcPr>
          <w:p w:rsidR="004968B0" w:rsidRPr="00F7290F" w:rsidRDefault="004968B0" w:rsidP="00D65D2E">
            <w:pPr>
              <w:pStyle w:val="23"/>
              <w:keepNext/>
              <w:widowControl w:val="0"/>
              <w:spacing w:after="60"/>
              <w:ind w:firstLine="567"/>
              <w:rPr>
                <w:b/>
                <w:color w:val="000000" w:themeColor="text1"/>
              </w:rPr>
            </w:pPr>
          </w:p>
        </w:tc>
      </w:tr>
      <w:tr w:rsidR="004968B0" w:rsidRPr="00F7290F" w:rsidTr="004968B0">
        <w:tc>
          <w:tcPr>
            <w:tcW w:w="10031" w:type="dxa"/>
            <w:gridSpan w:val="12"/>
          </w:tcPr>
          <w:p w:rsidR="004968B0" w:rsidRPr="00F7290F" w:rsidRDefault="002304A0" w:rsidP="00D65D2E">
            <w:pPr>
              <w:pStyle w:val="23"/>
              <w:keepNext/>
              <w:widowControl w:val="0"/>
              <w:spacing w:after="240"/>
              <w:ind w:firstLine="567"/>
              <w:rPr>
                <w:color w:val="000000" w:themeColor="text1"/>
              </w:rPr>
            </w:pPr>
            <w:r w:rsidRPr="00F7290F">
              <w:rPr>
                <w:b/>
              </w:rPr>
              <w:t>Вугільну промисловість</w:t>
            </w:r>
            <w:r w:rsidRPr="00F7290F">
              <w:t xml:space="preserve"> представляють 108 вугледобувних підприємств (з них 51 – недержавної форми власності) та 28 діючих збагачувальних фабрик.</w:t>
            </w:r>
          </w:p>
        </w:tc>
      </w:tr>
      <w:tr w:rsidR="004968B0" w:rsidRPr="00F7290F" w:rsidTr="004968B0">
        <w:tc>
          <w:tcPr>
            <w:tcW w:w="3227" w:type="dxa"/>
            <w:gridSpan w:val="2"/>
          </w:tcPr>
          <w:p w:rsidR="004968B0" w:rsidRPr="00F7290F" w:rsidRDefault="004968B0" w:rsidP="00D65D2E">
            <w:pPr>
              <w:pStyle w:val="aff2"/>
              <w:keepNext/>
              <w:widowControl w:val="0"/>
              <w:spacing w:after="60"/>
              <w:ind w:left="0"/>
              <w:jc w:val="center"/>
              <w:rPr>
                <w:b/>
                <w:i/>
                <w:color w:val="000000" w:themeColor="text1"/>
                <w:highlight w:val="yellow"/>
                <w:lang w:val="uk-UA"/>
              </w:rPr>
            </w:pPr>
          </w:p>
          <w:p w:rsidR="004968B0" w:rsidRPr="00F7290F" w:rsidRDefault="004968B0" w:rsidP="00D65D2E">
            <w:pPr>
              <w:pStyle w:val="aff2"/>
              <w:keepNext/>
              <w:widowControl w:val="0"/>
              <w:spacing w:after="60"/>
              <w:ind w:left="0"/>
              <w:jc w:val="center"/>
              <w:rPr>
                <w:b/>
                <w:i/>
                <w:color w:val="000000" w:themeColor="text1"/>
                <w:highlight w:val="yellow"/>
                <w:lang w:val="uk-UA"/>
              </w:rPr>
            </w:pPr>
          </w:p>
          <w:p w:rsidR="004968B0" w:rsidRPr="00F7290F" w:rsidRDefault="004968B0" w:rsidP="00D65D2E">
            <w:pPr>
              <w:pStyle w:val="aff2"/>
              <w:keepNext/>
              <w:widowControl w:val="0"/>
              <w:spacing w:after="60"/>
              <w:ind w:left="0"/>
              <w:jc w:val="both"/>
              <w:rPr>
                <w:b/>
                <w:i/>
                <w:color w:val="000000" w:themeColor="text1"/>
                <w:highlight w:val="yellow"/>
                <w:lang w:val="uk-UA"/>
              </w:rPr>
            </w:pPr>
            <w:r w:rsidRPr="00F7290F">
              <w:rPr>
                <w:noProof/>
                <w:color w:val="000000" w:themeColor="text1"/>
              </w:rPr>
              <w:drawing>
                <wp:inline distT="0" distB="0" distL="0" distR="0">
                  <wp:extent cx="1967230" cy="1350645"/>
                  <wp:effectExtent l="19050" t="0" r="0" b="0"/>
                  <wp:docPr id="133" name="Рисунок 7" descr="IMG_3406CD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406CD020"/>
                          <pic:cNvPicPr>
                            <a:picLocks noChangeAspect="1" noChangeArrowheads="1"/>
                          </pic:cNvPicPr>
                        </pic:nvPicPr>
                        <pic:blipFill>
                          <a:blip r:embed="rId19" cstate="print"/>
                          <a:srcRect/>
                          <a:stretch>
                            <a:fillRect/>
                          </a:stretch>
                        </pic:blipFill>
                        <pic:spPr bwMode="auto">
                          <a:xfrm>
                            <a:off x="0" y="0"/>
                            <a:ext cx="1967230" cy="1350645"/>
                          </a:xfrm>
                          <a:prstGeom prst="rect">
                            <a:avLst/>
                          </a:prstGeom>
                          <a:noFill/>
                          <a:ln w="9525">
                            <a:noFill/>
                            <a:miter lim="800000"/>
                            <a:headEnd/>
                            <a:tailEnd/>
                          </a:ln>
                        </pic:spPr>
                      </pic:pic>
                    </a:graphicData>
                  </a:graphic>
                </wp:inline>
              </w:drawing>
            </w:r>
          </w:p>
        </w:tc>
        <w:tc>
          <w:tcPr>
            <w:tcW w:w="6804" w:type="dxa"/>
            <w:gridSpan w:val="10"/>
          </w:tcPr>
          <w:p w:rsidR="002304A0" w:rsidRPr="00F7290F" w:rsidRDefault="002304A0" w:rsidP="002304A0">
            <w:pPr>
              <w:pStyle w:val="23"/>
              <w:keepNext/>
              <w:widowControl w:val="0"/>
              <w:spacing w:after="60"/>
              <w:ind w:firstLine="567"/>
            </w:pPr>
            <w:r w:rsidRPr="00F7290F">
              <w:t>Найбільш потужні підприємства галузі:                                            ПАТ «Ш/у «Покровське», ПАТ «Шахта ім.О.Ф.Засядька», ПАТ «ДТЕК «Шахта «Комсомолець Донбасу»,  ПАТ «Ш/у «Донбас», ДП «Ш/у «Південно</w:t>
            </w:r>
            <w:r w:rsidRPr="00F7290F">
              <w:softHyphen/>
            </w:r>
            <w:r w:rsidRPr="00F7290F">
              <w:softHyphen/>
              <w:t>донбаське №1», ДП ВК «Краснолиманська», ТОВ «ДТЕК «Добропілля</w:t>
            </w:r>
            <w:r w:rsidRPr="00F7290F">
              <w:softHyphen/>
              <w:t>вугілля», ПАТ ОП «Шахта «Жданівська».</w:t>
            </w:r>
          </w:p>
          <w:p w:rsidR="002304A0" w:rsidRPr="00F7290F" w:rsidRDefault="002304A0" w:rsidP="002304A0">
            <w:pPr>
              <w:pStyle w:val="23"/>
              <w:keepNext/>
              <w:widowControl w:val="0"/>
              <w:spacing w:after="60"/>
              <w:ind w:firstLine="567"/>
            </w:pPr>
            <w:r w:rsidRPr="00F7290F">
              <w:t>Виробнича потужність вугледобувних підприємств складає 40 млн.т вугілля на рік. Балансові промислові запаси вугілля – 14 млрд.т. На виконання заходів програми реструктуризації вугільної галузі в області здійснюється закриття неперспективних</w:t>
            </w:r>
            <w:r w:rsidRPr="00F7290F">
              <w:rPr>
                <w:b/>
              </w:rPr>
              <w:t xml:space="preserve"> </w:t>
            </w:r>
            <w:r w:rsidRPr="00F7290F">
              <w:t>шахт</w:t>
            </w:r>
            <w:r w:rsidRPr="00F7290F">
              <w:rPr>
                <w:b/>
              </w:rPr>
              <w:t>.</w:t>
            </w:r>
            <w:r w:rsidRPr="00F7290F">
              <w:t xml:space="preserve"> В стадії ліквідації знаходяться  46 шахт і 1 збагачувальна фабрика.</w:t>
            </w:r>
          </w:p>
          <w:p w:rsidR="004968B0" w:rsidRPr="00F7290F" w:rsidRDefault="004968B0" w:rsidP="00D65D2E">
            <w:pPr>
              <w:pStyle w:val="23"/>
              <w:keepNext/>
              <w:widowControl w:val="0"/>
              <w:spacing w:after="60"/>
              <w:ind w:firstLine="567"/>
              <w:rPr>
                <w:color w:val="000000" w:themeColor="text1"/>
              </w:rPr>
            </w:pPr>
          </w:p>
        </w:tc>
      </w:tr>
      <w:tr w:rsidR="004968B0" w:rsidRPr="00F7290F" w:rsidTr="004968B0">
        <w:tc>
          <w:tcPr>
            <w:tcW w:w="10031" w:type="dxa"/>
            <w:gridSpan w:val="12"/>
          </w:tcPr>
          <w:p w:rsidR="004968B0" w:rsidRPr="00F7290F" w:rsidRDefault="008E6081" w:rsidP="00D65D2E">
            <w:pPr>
              <w:pStyle w:val="23"/>
              <w:keepNext/>
              <w:widowControl w:val="0"/>
              <w:spacing w:after="60"/>
              <w:ind w:firstLine="567"/>
              <w:rPr>
                <w:color w:val="000000" w:themeColor="text1"/>
              </w:rPr>
            </w:pPr>
            <w:r w:rsidRPr="00F7290F">
              <w:rPr>
                <w:b/>
              </w:rPr>
              <w:t>Електроенергетика</w:t>
            </w:r>
            <w:r w:rsidRPr="00F7290F">
              <w:t xml:space="preserve"> представлена єдиним комплексом генеруючих та енергопостачальних підприємств.</w:t>
            </w:r>
          </w:p>
        </w:tc>
      </w:tr>
      <w:tr w:rsidR="004968B0" w:rsidRPr="00F7290F" w:rsidTr="004968B0">
        <w:tc>
          <w:tcPr>
            <w:tcW w:w="4219" w:type="dxa"/>
            <w:gridSpan w:val="4"/>
          </w:tcPr>
          <w:p w:rsidR="004968B0" w:rsidRPr="00F7290F" w:rsidRDefault="004968B0" w:rsidP="00D65D2E">
            <w:pPr>
              <w:pStyle w:val="aff2"/>
              <w:keepNext/>
              <w:widowControl w:val="0"/>
              <w:spacing w:after="60"/>
              <w:ind w:left="0"/>
              <w:rPr>
                <w:b/>
                <w:i/>
                <w:color w:val="000000" w:themeColor="text1"/>
                <w:highlight w:val="yellow"/>
                <w:lang w:val="uk-UA"/>
              </w:rPr>
            </w:pPr>
            <w:r w:rsidRPr="00F7290F">
              <w:rPr>
                <w:noProof/>
                <w:color w:val="000000" w:themeColor="text1"/>
              </w:rPr>
              <w:drawing>
                <wp:inline distT="0" distB="0" distL="0" distR="0">
                  <wp:extent cx="2749016" cy="1924493"/>
                  <wp:effectExtent l="19050" t="0" r="0" b="0"/>
                  <wp:docPr id="132" name="Рисунок 8" descr="D1C1C3D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C1C3D0_0"/>
                          <pic:cNvPicPr>
                            <a:picLocks noChangeAspect="1" noChangeArrowheads="1"/>
                          </pic:cNvPicPr>
                        </pic:nvPicPr>
                        <pic:blipFill>
                          <a:blip r:embed="rId20"/>
                          <a:srcRect/>
                          <a:stretch>
                            <a:fillRect/>
                          </a:stretch>
                        </pic:blipFill>
                        <pic:spPr bwMode="auto">
                          <a:xfrm>
                            <a:off x="0" y="0"/>
                            <a:ext cx="2756004" cy="1929385"/>
                          </a:xfrm>
                          <a:prstGeom prst="rect">
                            <a:avLst/>
                          </a:prstGeom>
                          <a:noFill/>
                          <a:ln w="9525">
                            <a:noFill/>
                            <a:miter lim="800000"/>
                            <a:headEnd/>
                            <a:tailEnd/>
                          </a:ln>
                        </pic:spPr>
                      </pic:pic>
                    </a:graphicData>
                  </a:graphic>
                </wp:inline>
              </w:drawing>
            </w:r>
          </w:p>
        </w:tc>
        <w:tc>
          <w:tcPr>
            <w:tcW w:w="5812" w:type="dxa"/>
            <w:gridSpan w:val="8"/>
          </w:tcPr>
          <w:p w:rsidR="008E6081" w:rsidRPr="00F7290F" w:rsidRDefault="008E6081" w:rsidP="008E6081">
            <w:pPr>
              <w:pStyle w:val="23"/>
              <w:keepNext/>
              <w:widowControl w:val="0"/>
              <w:spacing w:after="60"/>
              <w:ind w:firstLine="567"/>
            </w:pPr>
            <w:r w:rsidRPr="00F7290F">
              <w:t xml:space="preserve">Основні генеруючі підприємства галузі – ПАТ «Донбасенерго» у складі Старобешівської і Слов’янської ТЕС, ТОВ «ДТЕК Східенерго» (Курахівська і Зуївська ТЕС), Вуглегірська ТЕС ПАТ «Центренерго». </w:t>
            </w:r>
          </w:p>
          <w:p w:rsidR="008E6081" w:rsidRPr="00F7290F" w:rsidRDefault="008E6081" w:rsidP="008E6081">
            <w:pPr>
              <w:pStyle w:val="23"/>
              <w:keepNext/>
              <w:widowControl w:val="0"/>
              <w:spacing w:after="60"/>
              <w:ind w:firstLine="567"/>
            </w:pPr>
            <w:r w:rsidRPr="00F7290F">
              <w:t>Встановлена потужність електростанцій                        (10,0 тис.МВт) здатна повністю забезпечити обласні потреби і постачання електроенергії за межі регіону.</w:t>
            </w:r>
          </w:p>
          <w:p w:rsidR="00930040" w:rsidRPr="00F7290F" w:rsidRDefault="00930040" w:rsidP="00D65D2E">
            <w:pPr>
              <w:pStyle w:val="23"/>
              <w:keepNext/>
              <w:widowControl w:val="0"/>
              <w:spacing w:after="60"/>
              <w:ind w:firstLine="567"/>
              <w:rPr>
                <w:color w:val="000000" w:themeColor="text1"/>
              </w:rPr>
            </w:pPr>
          </w:p>
          <w:p w:rsidR="00930040" w:rsidRPr="00F7290F" w:rsidRDefault="00930040" w:rsidP="00D65D2E">
            <w:pPr>
              <w:pStyle w:val="23"/>
              <w:keepNext/>
              <w:widowControl w:val="0"/>
              <w:spacing w:after="60"/>
              <w:ind w:firstLine="567"/>
              <w:rPr>
                <w:color w:val="000000" w:themeColor="text1"/>
                <w:highlight w:val="yellow"/>
              </w:rPr>
            </w:pPr>
          </w:p>
        </w:tc>
      </w:tr>
      <w:tr w:rsidR="004968B0" w:rsidRPr="00F7290F" w:rsidTr="004968B0">
        <w:tc>
          <w:tcPr>
            <w:tcW w:w="4219" w:type="dxa"/>
            <w:gridSpan w:val="4"/>
          </w:tcPr>
          <w:p w:rsidR="004968B0" w:rsidRPr="00F7290F" w:rsidRDefault="004968B0" w:rsidP="00D65D2E">
            <w:pPr>
              <w:pStyle w:val="aff2"/>
              <w:keepNext/>
              <w:widowControl w:val="0"/>
              <w:spacing w:after="60"/>
              <w:rPr>
                <w:color w:val="000000" w:themeColor="text1"/>
                <w:sz w:val="4"/>
                <w:szCs w:val="4"/>
                <w:lang w:val="uk-UA"/>
              </w:rPr>
            </w:pPr>
          </w:p>
        </w:tc>
        <w:tc>
          <w:tcPr>
            <w:tcW w:w="5812" w:type="dxa"/>
            <w:gridSpan w:val="8"/>
          </w:tcPr>
          <w:p w:rsidR="004968B0" w:rsidRPr="00F7290F" w:rsidRDefault="004968B0" w:rsidP="00D65D2E">
            <w:pPr>
              <w:pStyle w:val="23"/>
              <w:keepNext/>
              <w:widowControl w:val="0"/>
              <w:spacing w:after="60"/>
              <w:ind w:firstLine="567"/>
              <w:rPr>
                <w:color w:val="000000" w:themeColor="text1"/>
                <w:sz w:val="4"/>
                <w:szCs w:val="4"/>
              </w:rPr>
            </w:pPr>
          </w:p>
          <w:p w:rsidR="00930040" w:rsidRPr="00F7290F" w:rsidRDefault="00930040" w:rsidP="00D65D2E">
            <w:pPr>
              <w:pStyle w:val="23"/>
              <w:keepNext/>
              <w:widowControl w:val="0"/>
              <w:spacing w:after="60"/>
              <w:ind w:firstLine="567"/>
              <w:rPr>
                <w:color w:val="000000" w:themeColor="text1"/>
                <w:sz w:val="4"/>
                <w:szCs w:val="4"/>
              </w:rPr>
            </w:pPr>
          </w:p>
        </w:tc>
      </w:tr>
      <w:tr w:rsidR="004968B0" w:rsidRPr="008E4FA0" w:rsidTr="004968B0">
        <w:tc>
          <w:tcPr>
            <w:tcW w:w="10031" w:type="dxa"/>
            <w:gridSpan w:val="12"/>
          </w:tcPr>
          <w:p w:rsidR="004968B0" w:rsidRPr="00F7290F" w:rsidRDefault="008E6081" w:rsidP="00D65D2E">
            <w:pPr>
              <w:pStyle w:val="23"/>
              <w:keepNext/>
              <w:widowControl w:val="0"/>
              <w:ind w:firstLine="567"/>
              <w:rPr>
                <w:color w:val="000000" w:themeColor="text1"/>
              </w:rPr>
            </w:pPr>
            <w:r w:rsidRPr="00F7290F">
              <w:rPr>
                <w:b/>
              </w:rPr>
              <w:lastRenderedPageBreak/>
              <w:t xml:space="preserve">Чорна металургія області </w:t>
            </w:r>
            <w:r w:rsidRPr="00F7290F">
              <w:t>представлена 14 металургійними підприємствами та                            5 підприємствами з виробництва труб. В єдиному процесі виробництва металопродукції працюють 7 коксохімічних виробництв, 3 флюсовидобувних і  6 вогнетривких підприємств.</w:t>
            </w:r>
          </w:p>
        </w:tc>
      </w:tr>
      <w:tr w:rsidR="008E6081" w:rsidRPr="00F7290F" w:rsidTr="004968B0">
        <w:tc>
          <w:tcPr>
            <w:tcW w:w="3227" w:type="dxa"/>
            <w:gridSpan w:val="2"/>
          </w:tcPr>
          <w:p w:rsidR="008E6081" w:rsidRPr="00F7290F" w:rsidRDefault="008E6081" w:rsidP="00D65D2E">
            <w:pPr>
              <w:pStyle w:val="aff2"/>
              <w:keepNext/>
              <w:widowControl w:val="0"/>
              <w:spacing w:after="60"/>
              <w:ind w:left="0"/>
              <w:jc w:val="center"/>
              <w:rPr>
                <w:color w:val="000000" w:themeColor="text1"/>
                <w:sz w:val="10"/>
                <w:szCs w:val="10"/>
                <w:lang w:val="uk-UA"/>
              </w:rPr>
            </w:pPr>
          </w:p>
          <w:p w:rsidR="008E6081" w:rsidRPr="00F7290F" w:rsidRDefault="008E6081" w:rsidP="00D65D2E">
            <w:pPr>
              <w:pStyle w:val="aff2"/>
              <w:keepNext/>
              <w:widowControl w:val="0"/>
              <w:spacing w:after="60"/>
              <w:ind w:left="0"/>
              <w:jc w:val="center"/>
              <w:rPr>
                <w:b/>
                <w:i/>
                <w:color w:val="000000" w:themeColor="text1"/>
                <w:highlight w:val="yellow"/>
                <w:lang w:val="uk-UA"/>
              </w:rPr>
            </w:pPr>
            <w:r w:rsidRPr="00F7290F">
              <w:rPr>
                <w:noProof/>
                <w:color w:val="000000" w:themeColor="text1"/>
              </w:rPr>
              <w:drawing>
                <wp:inline distT="0" distB="0" distL="0" distR="0">
                  <wp:extent cx="1775460" cy="1190625"/>
                  <wp:effectExtent l="19050" t="0" r="0" b="0"/>
                  <wp:docPr id="137" name="Рисунок 9" descr="4гл_ХарцТруб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гл_ХарцТрубний"/>
                          <pic:cNvPicPr>
                            <a:picLocks noChangeAspect="1" noChangeArrowheads="1"/>
                          </pic:cNvPicPr>
                        </pic:nvPicPr>
                        <pic:blipFill>
                          <a:blip r:embed="rId21" cstate="print"/>
                          <a:srcRect/>
                          <a:stretch>
                            <a:fillRect/>
                          </a:stretch>
                        </pic:blipFill>
                        <pic:spPr bwMode="auto">
                          <a:xfrm>
                            <a:off x="0" y="0"/>
                            <a:ext cx="1775460" cy="1190625"/>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8E6081">
            <w:pPr>
              <w:pStyle w:val="23"/>
              <w:keepNext/>
              <w:widowControl w:val="0"/>
              <w:spacing w:after="60"/>
              <w:ind w:firstLine="567"/>
            </w:pPr>
            <w:r w:rsidRPr="00F7290F">
              <w:t>ПАТ «Маріупольський металургійний комбінат ім.Ілліча» і ПАТ «Металургійний комбінат «Азовсталь» виробляють майже 70% металопродукції області.</w:t>
            </w:r>
          </w:p>
          <w:p w:rsidR="008E6081" w:rsidRPr="00F7290F" w:rsidRDefault="008E6081" w:rsidP="008E6081">
            <w:pPr>
              <w:pStyle w:val="23"/>
              <w:keepNext/>
              <w:widowControl w:val="0"/>
              <w:spacing w:after="60"/>
              <w:ind w:firstLine="567"/>
            </w:pPr>
            <w:r w:rsidRPr="00F7290F">
              <w:t>ПАТ «Харцизький трубний завод» забезпечує п’яту частину виробництва труб в Україні.</w:t>
            </w:r>
          </w:p>
          <w:p w:rsidR="008E6081" w:rsidRPr="00F7290F" w:rsidRDefault="008E6081" w:rsidP="008E6081">
            <w:pPr>
              <w:pStyle w:val="23"/>
              <w:keepNext/>
              <w:widowControl w:val="0"/>
              <w:spacing w:after="60"/>
              <w:ind w:firstLine="567"/>
            </w:pPr>
            <w:r w:rsidRPr="00F7290F">
              <w:t>Основна номенклатура металургійної продукції: ливарний та переробний чавун, сталева заготівка, прокат різноманітних профілів, труби, сталеві канати та інше.</w:t>
            </w:r>
          </w:p>
        </w:tc>
      </w:tr>
      <w:tr w:rsidR="008E6081" w:rsidRPr="00F7290F" w:rsidTr="004968B0">
        <w:tc>
          <w:tcPr>
            <w:tcW w:w="3227" w:type="dxa"/>
            <w:gridSpan w:val="2"/>
          </w:tcPr>
          <w:p w:rsidR="008E6081" w:rsidRPr="00F7290F" w:rsidRDefault="008E6081" w:rsidP="00D65D2E">
            <w:pPr>
              <w:pStyle w:val="aff2"/>
              <w:keepNext/>
              <w:widowControl w:val="0"/>
              <w:spacing w:after="60"/>
              <w:ind w:left="0"/>
              <w:jc w:val="center"/>
              <w:rPr>
                <w:b/>
                <w:i/>
                <w:color w:val="000000" w:themeColor="text1"/>
                <w:highlight w:val="yellow"/>
                <w:lang w:val="uk-UA"/>
              </w:rPr>
            </w:pPr>
            <w:r w:rsidRPr="00F7290F">
              <w:rPr>
                <w:noProof/>
                <w:color w:val="000000" w:themeColor="text1"/>
              </w:rPr>
              <w:drawing>
                <wp:inline distT="0" distB="0" distL="0" distR="0">
                  <wp:extent cx="1488440" cy="1180465"/>
                  <wp:effectExtent l="19050" t="0" r="0" b="0"/>
                  <wp:docPr id="140" name="Рисунок 10" descr="shema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ma_s"/>
                          <pic:cNvPicPr>
                            <a:picLocks noChangeAspect="1" noChangeArrowheads="1"/>
                          </pic:cNvPicPr>
                        </pic:nvPicPr>
                        <pic:blipFill>
                          <a:blip r:embed="rId22"/>
                          <a:srcRect/>
                          <a:stretch>
                            <a:fillRect/>
                          </a:stretch>
                        </pic:blipFill>
                        <pic:spPr bwMode="auto">
                          <a:xfrm>
                            <a:off x="0" y="0"/>
                            <a:ext cx="1488440" cy="1180465"/>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DE5557">
            <w:pPr>
              <w:pStyle w:val="23"/>
              <w:keepNext/>
              <w:widowControl w:val="0"/>
              <w:spacing w:after="60"/>
              <w:ind w:firstLine="567"/>
              <w:rPr>
                <w:highlight w:val="yellow"/>
              </w:rPr>
            </w:pPr>
            <w:r w:rsidRPr="00F7290F">
              <w:rPr>
                <w:b/>
              </w:rPr>
              <w:t>Кольорову металургію області</w:t>
            </w:r>
            <w:r w:rsidRPr="00F7290F">
              <w:t xml:space="preserve">  представляють підприємства з виробництва свинцю (ПрАТ «Свинець»), прокату кольорових металів та сплавів на основі міді                               (ПАТ «Артемівський завод з обробки кольорових металів»), ртуті  (ТОВ «Микитртуть»).</w:t>
            </w:r>
          </w:p>
        </w:tc>
      </w:tr>
      <w:tr w:rsidR="008E6081" w:rsidRPr="00F7290F" w:rsidTr="004968B0">
        <w:tc>
          <w:tcPr>
            <w:tcW w:w="3227" w:type="dxa"/>
            <w:gridSpan w:val="2"/>
          </w:tcPr>
          <w:p w:rsidR="008E6081" w:rsidRPr="00F7290F" w:rsidRDefault="008E6081" w:rsidP="00D65D2E">
            <w:pPr>
              <w:pStyle w:val="aff2"/>
              <w:keepNext/>
              <w:widowControl w:val="0"/>
              <w:spacing w:after="60"/>
              <w:ind w:left="0"/>
              <w:jc w:val="center"/>
              <w:rPr>
                <w:b/>
                <w:i/>
                <w:color w:val="000000" w:themeColor="text1"/>
                <w:highlight w:val="yellow"/>
                <w:lang w:val="uk-UA"/>
              </w:rPr>
            </w:pPr>
            <w:r w:rsidRPr="00F7290F">
              <w:rPr>
                <w:noProof/>
                <w:color w:val="000000" w:themeColor="text1"/>
              </w:rPr>
              <w:drawing>
                <wp:inline distT="0" distB="0" distL="0" distR="0">
                  <wp:extent cx="1754505" cy="1169670"/>
                  <wp:effectExtent l="19050" t="0" r="0" b="0"/>
                  <wp:docPr id="142" name="Рисунок 11" descr="images_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_i_0"/>
                          <pic:cNvPicPr>
                            <a:picLocks noChangeAspect="1" noChangeArrowheads="1"/>
                          </pic:cNvPicPr>
                        </pic:nvPicPr>
                        <pic:blipFill>
                          <a:blip r:embed="rId23" cstate="print"/>
                          <a:srcRect/>
                          <a:stretch>
                            <a:fillRect/>
                          </a:stretch>
                        </pic:blipFill>
                        <pic:spPr bwMode="auto">
                          <a:xfrm>
                            <a:off x="0" y="0"/>
                            <a:ext cx="1754505" cy="1169670"/>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DE5557">
            <w:pPr>
              <w:pStyle w:val="23"/>
              <w:keepNext/>
              <w:widowControl w:val="0"/>
              <w:spacing w:after="60"/>
              <w:ind w:firstLine="567"/>
            </w:pPr>
            <w:r w:rsidRPr="00F7290F">
              <w:rPr>
                <w:b/>
              </w:rPr>
              <w:t>Підприємствами</w:t>
            </w:r>
            <w:r w:rsidRPr="00F7290F">
              <w:t xml:space="preserve"> </w:t>
            </w:r>
            <w:r w:rsidRPr="00F7290F">
              <w:rPr>
                <w:b/>
              </w:rPr>
              <w:t>хімічної промисловості</w:t>
            </w:r>
            <w:r w:rsidRPr="00F7290F">
              <w:t xml:space="preserve">                             (30 підприємств) виробляється широкий асортимент продукції: мінеральні добрива, аміак, полістирол, кислоти, товари побутової хімії, фармацевтичні вироби та інше.</w:t>
            </w:r>
          </w:p>
          <w:p w:rsidR="008E6081" w:rsidRPr="00F7290F" w:rsidRDefault="008E6081" w:rsidP="00DE5557">
            <w:pPr>
              <w:pStyle w:val="23"/>
              <w:keepNext/>
              <w:widowControl w:val="0"/>
              <w:spacing w:after="60"/>
              <w:ind w:firstLine="567"/>
              <w:rPr>
                <w:highlight w:val="yellow"/>
              </w:rPr>
            </w:pPr>
            <w:r w:rsidRPr="00F7290F">
              <w:t>Основним підприємством галузі є ПАТ «Концерн  Стирол», на який приходиться 40% хімічного виробництва області.</w:t>
            </w:r>
          </w:p>
        </w:tc>
      </w:tr>
      <w:tr w:rsidR="008E6081" w:rsidRPr="00F7290F" w:rsidTr="004968B0">
        <w:tc>
          <w:tcPr>
            <w:tcW w:w="3227" w:type="dxa"/>
            <w:gridSpan w:val="2"/>
          </w:tcPr>
          <w:p w:rsidR="008E6081" w:rsidRPr="00F7290F" w:rsidRDefault="008E6081" w:rsidP="00D65D2E">
            <w:pPr>
              <w:pStyle w:val="aff2"/>
              <w:keepNext/>
              <w:widowControl w:val="0"/>
              <w:spacing w:after="60"/>
              <w:ind w:left="0"/>
              <w:jc w:val="center"/>
              <w:rPr>
                <w:b/>
                <w:color w:val="000000" w:themeColor="text1"/>
                <w:highlight w:val="yellow"/>
                <w:lang w:val="uk-UA"/>
              </w:rPr>
            </w:pPr>
            <w:r w:rsidRPr="00F7290F">
              <w:rPr>
                <w:noProof/>
                <w:color w:val="000000" w:themeColor="text1"/>
              </w:rPr>
              <w:drawing>
                <wp:inline distT="0" distB="0" distL="0" distR="0">
                  <wp:extent cx="1722755" cy="1456690"/>
                  <wp:effectExtent l="19050" t="0" r="0" b="0"/>
                  <wp:docPr id="145" name="Рисунок 12" descr="108464_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8464_2_0"/>
                          <pic:cNvPicPr>
                            <a:picLocks noChangeAspect="1" noChangeArrowheads="1"/>
                          </pic:cNvPicPr>
                        </pic:nvPicPr>
                        <pic:blipFill>
                          <a:blip r:embed="rId24"/>
                          <a:srcRect/>
                          <a:stretch>
                            <a:fillRect/>
                          </a:stretch>
                        </pic:blipFill>
                        <pic:spPr bwMode="auto">
                          <a:xfrm>
                            <a:off x="0" y="0"/>
                            <a:ext cx="1722755" cy="1456690"/>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DE5557">
            <w:pPr>
              <w:pStyle w:val="23"/>
              <w:keepNext/>
              <w:widowControl w:val="0"/>
              <w:spacing w:after="60"/>
              <w:ind w:firstLine="567"/>
            </w:pPr>
            <w:r w:rsidRPr="00F7290F">
              <w:rPr>
                <w:b/>
              </w:rPr>
              <w:t xml:space="preserve">Машинобудівний комплекс </w:t>
            </w:r>
            <w:r w:rsidRPr="00F7290F">
              <w:t>представляють                               156 підприємств. Вони повністю забезпечують потребу держави в гірничопрохідницькому обладнанні, виробляють майже весь випуск вітчизняного виробництва побутових холодильників, 36% – вантажних вагонів, 15% – пральних машин.</w:t>
            </w:r>
          </w:p>
          <w:p w:rsidR="008E6081" w:rsidRPr="00F7290F" w:rsidRDefault="008E6081" w:rsidP="00DE5557">
            <w:pPr>
              <w:pStyle w:val="23"/>
              <w:keepNext/>
              <w:widowControl w:val="0"/>
              <w:spacing w:after="60"/>
              <w:ind w:firstLine="567"/>
              <w:rPr>
                <w:highlight w:val="yellow"/>
              </w:rPr>
            </w:pPr>
            <w:r w:rsidRPr="00F7290F">
              <w:t>ПАТ «Азовмаш» і ПАТ «Новокраматорський машинобудівний завод» забезпечують 50% обсягу реалізованої продукції галузі.</w:t>
            </w:r>
          </w:p>
        </w:tc>
      </w:tr>
      <w:tr w:rsidR="008E6081" w:rsidRPr="008E4FA0" w:rsidTr="004968B0">
        <w:tc>
          <w:tcPr>
            <w:tcW w:w="3227" w:type="dxa"/>
            <w:gridSpan w:val="2"/>
          </w:tcPr>
          <w:p w:rsidR="008E6081" w:rsidRPr="00F7290F" w:rsidRDefault="008E6081" w:rsidP="00D65D2E">
            <w:pPr>
              <w:pStyle w:val="aff2"/>
              <w:keepNext/>
              <w:widowControl w:val="0"/>
              <w:spacing w:after="60"/>
              <w:ind w:left="0"/>
              <w:jc w:val="center"/>
              <w:rPr>
                <w:b/>
                <w:i/>
                <w:color w:val="000000" w:themeColor="text1"/>
                <w:highlight w:val="yellow"/>
                <w:lang w:val="uk-UA"/>
              </w:rPr>
            </w:pPr>
            <w:r w:rsidRPr="00F7290F">
              <w:rPr>
                <w:noProof/>
                <w:color w:val="000000" w:themeColor="text1"/>
              </w:rPr>
              <w:drawing>
                <wp:inline distT="0" distB="0" distL="0" distR="0">
                  <wp:extent cx="1701165" cy="1127125"/>
                  <wp:effectExtent l="19050" t="0" r="0" b="0"/>
                  <wp:docPr id="146" name="Рисунок 13" descr="4гл_Хле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гл_Хлеб3"/>
                          <pic:cNvPicPr>
                            <a:picLocks noChangeAspect="1" noChangeArrowheads="1"/>
                          </pic:cNvPicPr>
                        </pic:nvPicPr>
                        <pic:blipFill>
                          <a:blip r:embed="rId25" cstate="print"/>
                          <a:srcRect/>
                          <a:stretch>
                            <a:fillRect/>
                          </a:stretch>
                        </pic:blipFill>
                        <pic:spPr bwMode="auto">
                          <a:xfrm>
                            <a:off x="0" y="0"/>
                            <a:ext cx="1701165" cy="1127125"/>
                          </a:xfrm>
                          <a:prstGeom prst="rect">
                            <a:avLst/>
                          </a:prstGeom>
                          <a:noFill/>
                          <a:ln w="9525">
                            <a:noFill/>
                            <a:miter lim="800000"/>
                            <a:headEnd/>
                            <a:tailEnd/>
                          </a:ln>
                        </pic:spPr>
                      </pic:pic>
                    </a:graphicData>
                  </a:graphic>
                </wp:inline>
              </w:drawing>
            </w:r>
          </w:p>
        </w:tc>
        <w:tc>
          <w:tcPr>
            <w:tcW w:w="6804" w:type="dxa"/>
            <w:gridSpan w:val="10"/>
          </w:tcPr>
          <w:p w:rsidR="008E6081" w:rsidRPr="00F7290F" w:rsidRDefault="00DE5557" w:rsidP="00DE5557">
            <w:pPr>
              <w:pStyle w:val="23"/>
              <w:keepNext/>
              <w:widowControl w:val="0"/>
              <w:spacing w:after="60"/>
              <w:ind w:firstLine="600"/>
            </w:pPr>
            <w:r w:rsidRPr="00F7290F">
              <w:rPr>
                <w:b/>
              </w:rPr>
              <w:t>Харчова промисловість</w:t>
            </w:r>
            <w:r w:rsidRPr="00F7290F">
              <w:t xml:space="preserve"> (109 підприємств) спеціалізується на випуску м'ясної, молочної, хлібопекарної, борошномельно-круп’яної, кондитерської, макаронної, олієжирової, рибної,  плодоовочевої, лікеро-горілчаної, виноробної, пиво-безалкогольної продукції.</w:t>
            </w:r>
          </w:p>
        </w:tc>
      </w:tr>
      <w:tr w:rsidR="008E6081" w:rsidRPr="008E4FA0" w:rsidTr="004968B0">
        <w:tc>
          <w:tcPr>
            <w:tcW w:w="3227" w:type="dxa"/>
            <w:gridSpan w:val="2"/>
          </w:tcPr>
          <w:p w:rsidR="008E6081" w:rsidRPr="00F7290F" w:rsidRDefault="008E6081" w:rsidP="00D65D2E">
            <w:pPr>
              <w:pStyle w:val="aff2"/>
              <w:keepNext/>
              <w:widowControl w:val="0"/>
              <w:spacing w:after="60"/>
              <w:ind w:left="0"/>
              <w:rPr>
                <w:color w:val="000000" w:themeColor="text1"/>
                <w:sz w:val="20"/>
                <w:lang w:val="uk-UA"/>
              </w:rPr>
            </w:pPr>
          </w:p>
          <w:p w:rsidR="008E6081" w:rsidRPr="00F7290F" w:rsidRDefault="008E6081" w:rsidP="00D65D2E">
            <w:pPr>
              <w:pStyle w:val="aff2"/>
              <w:keepNext/>
              <w:widowControl w:val="0"/>
              <w:spacing w:after="60"/>
              <w:ind w:left="0"/>
              <w:jc w:val="center"/>
              <w:rPr>
                <w:b/>
                <w:color w:val="000000" w:themeColor="text1"/>
                <w:highlight w:val="yellow"/>
                <w:lang w:val="uk-UA"/>
              </w:rPr>
            </w:pPr>
            <w:r w:rsidRPr="00F7290F">
              <w:rPr>
                <w:noProof/>
                <w:color w:val="000000" w:themeColor="text1"/>
              </w:rPr>
              <w:drawing>
                <wp:inline distT="0" distB="0" distL="0" distR="0">
                  <wp:extent cx="1961038" cy="1470953"/>
                  <wp:effectExtent l="19050" t="0" r="1112" b="0"/>
                  <wp:docPr id="147" name="Рисунок 14" descr="нор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рд1"/>
                          <pic:cNvPicPr>
                            <a:picLocks noChangeAspect="1" noChangeArrowheads="1"/>
                          </pic:cNvPicPr>
                        </pic:nvPicPr>
                        <pic:blipFill>
                          <a:blip r:embed="rId26"/>
                          <a:srcRect/>
                          <a:stretch>
                            <a:fillRect/>
                          </a:stretch>
                        </pic:blipFill>
                        <pic:spPr bwMode="auto">
                          <a:xfrm>
                            <a:off x="0" y="0"/>
                            <a:ext cx="1963473" cy="1472779"/>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DE5557">
            <w:pPr>
              <w:keepNext/>
              <w:widowControl w:val="0"/>
              <w:spacing w:after="60"/>
              <w:ind w:firstLine="567"/>
              <w:jc w:val="both"/>
              <w:rPr>
                <w:lang w:val="uk-UA"/>
              </w:rPr>
            </w:pPr>
            <w:r w:rsidRPr="00F7290F">
              <w:rPr>
                <w:b/>
                <w:lang w:val="uk-UA"/>
              </w:rPr>
              <w:t>Виробництво непродовольчих товарів для населення</w:t>
            </w:r>
            <w:r w:rsidRPr="00F7290F">
              <w:rPr>
                <w:lang w:val="uk-UA"/>
              </w:rPr>
              <w:t xml:space="preserve"> в області здійснюють промислові підприємства, які випускають меблі, холодильники, газові плити, пральні машини, посуд, текстильні, швейні і трикотажні вироби, взуття та інше.</w:t>
            </w:r>
          </w:p>
          <w:p w:rsidR="008E6081" w:rsidRPr="00F7290F" w:rsidRDefault="008E6081" w:rsidP="00DE5557">
            <w:pPr>
              <w:keepNext/>
              <w:widowControl w:val="0"/>
              <w:spacing w:after="60"/>
              <w:ind w:firstLine="567"/>
              <w:jc w:val="both"/>
              <w:rPr>
                <w:spacing w:val="-8"/>
                <w:lang w:val="uk-UA"/>
              </w:rPr>
            </w:pPr>
            <w:r w:rsidRPr="00F7290F">
              <w:rPr>
                <w:spacing w:val="-8"/>
                <w:lang w:val="uk-UA"/>
              </w:rPr>
              <w:t>Провідні підприємства – ПАТ «Норд» (побутові холодильники), ПАТ «Грета» (плити побутові), ТОВ «Ірен», СП ТОВ «Донбас-Ліберті» (меблі), ВП «ТК-Донбас» ТОВ «Текстиль-Контакт» (тканини бавовняні), ПАТ «Швея» (швейні вироби), Макіївське ВП «Взуттєва фабрика «Аспект» (шкіряне взуття) тощо.</w:t>
            </w:r>
          </w:p>
        </w:tc>
      </w:tr>
      <w:tr w:rsidR="00DE5557" w:rsidRPr="00F7290F" w:rsidTr="004968B0">
        <w:tc>
          <w:tcPr>
            <w:tcW w:w="3227" w:type="dxa"/>
            <w:gridSpan w:val="2"/>
            <w:vMerge w:val="restart"/>
          </w:tcPr>
          <w:p w:rsidR="00DE5557" w:rsidRPr="00F7290F" w:rsidRDefault="00DE5557" w:rsidP="00D65D2E">
            <w:pPr>
              <w:pStyle w:val="aff2"/>
              <w:keepNext/>
              <w:widowControl w:val="0"/>
              <w:spacing w:after="60"/>
              <w:jc w:val="center"/>
              <w:rPr>
                <w:b/>
                <w:i/>
                <w:color w:val="000000" w:themeColor="text1"/>
                <w:lang w:val="uk-UA"/>
              </w:rPr>
            </w:pPr>
            <w:r w:rsidRPr="00F7290F">
              <w:rPr>
                <w:noProof/>
                <w:color w:val="000000" w:themeColor="text1"/>
              </w:rPr>
              <w:lastRenderedPageBreak/>
              <w:drawing>
                <wp:inline distT="0" distB="0" distL="0" distR="0">
                  <wp:extent cx="1467537" cy="1520456"/>
                  <wp:effectExtent l="19050" t="0" r="0" b="0"/>
                  <wp:docPr id="92" name="Рисунок 15" descr="Агропромышленное машиностроение набирает обороты-2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гропромышленное машиностроение набирает обороты-2 K"/>
                          <pic:cNvPicPr>
                            <a:picLocks noChangeAspect="1" noChangeArrowheads="1"/>
                          </pic:cNvPicPr>
                        </pic:nvPicPr>
                        <pic:blipFill>
                          <a:blip r:embed="rId27" cstate="print"/>
                          <a:srcRect/>
                          <a:stretch>
                            <a:fillRect/>
                          </a:stretch>
                        </pic:blipFill>
                        <pic:spPr bwMode="auto">
                          <a:xfrm>
                            <a:off x="0" y="0"/>
                            <a:ext cx="1467485" cy="1520402"/>
                          </a:xfrm>
                          <a:prstGeom prst="rect">
                            <a:avLst/>
                          </a:prstGeom>
                          <a:noFill/>
                          <a:ln w="9525">
                            <a:noFill/>
                            <a:miter lim="800000"/>
                            <a:headEnd/>
                            <a:tailEnd/>
                          </a:ln>
                        </pic:spPr>
                      </pic:pic>
                    </a:graphicData>
                  </a:graphic>
                </wp:inline>
              </w:drawing>
            </w:r>
          </w:p>
        </w:tc>
        <w:tc>
          <w:tcPr>
            <w:tcW w:w="6804" w:type="dxa"/>
            <w:gridSpan w:val="10"/>
          </w:tcPr>
          <w:p w:rsidR="00DE5557" w:rsidRPr="00F7290F" w:rsidRDefault="00DE5557" w:rsidP="00DE5557">
            <w:pPr>
              <w:keepNext/>
              <w:widowControl w:val="0"/>
              <w:spacing w:after="60"/>
              <w:ind w:firstLine="709"/>
              <w:jc w:val="both"/>
              <w:rPr>
                <w:lang w:val="uk-UA"/>
              </w:rPr>
            </w:pPr>
            <w:r w:rsidRPr="00F7290F">
              <w:rPr>
                <w:b/>
                <w:i/>
                <w:lang w:val="uk-UA"/>
              </w:rPr>
              <w:t>Агропромисловий комплекс</w:t>
            </w:r>
          </w:p>
        </w:tc>
      </w:tr>
      <w:tr w:rsidR="00DE5557" w:rsidRPr="00F7290F" w:rsidTr="004968B0">
        <w:tc>
          <w:tcPr>
            <w:tcW w:w="3227" w:type="dxa"/>
            <w:gridSpan w:val="2"/>
            <w:vMerge/>
          </w:tcPr>
          <w:p w:rsidR="00DE5557" w:rsidRPr="00F7290F" w:rsidRDefault="00DE5557" w:rsidP="00D65D2E">
            <w:pPr>
              <w:pStyle w:val="aff2"/>
              <w:keepNext/>
              <w:widowControl w:val="0"/>
              <w:spacing w:after="60"/>
              <w:rPr>
                <w:b/>
                <w:i/>
                <w:color w:val="000000" w:themeColor="text1"/>
                <w:lang w:val="uk-UA"/>
              </w:rPr>
            </w:pPr>
          </w:p>
        </w:tc>
        <w:tc>
          <w:tcPr>
            <w:tcW w:w="6804" w:type="dxa"/>
            <w:gridSpan w:val="10"/>
          </w:tcPr>
          <w:p w:rsidR="00DE5557" w:rsidRPr="00F7290F" w:rsidRDefault="00DE5557" w:rsidP="00DE5557">
            <w:pPr>
              <w:keepNext/>
              <w:widowControl w:val="0"/>
              <w:spacing w:after="60"/>
              <w:ind w:firstLine="709"/>
              <w:jc w:val="both"/>
              <w:rPr>
                <w:lang w:val="uk-UA"/>
              </w:rPr>
            </w:pPr>
            <w:r w:rsidRPr="00F7290F">
              <w:rPr>
                <w:lang w:val="uk-UA"/>
              </w:rPr>
              <w:t>Сільське господарство області має в користуванні понад                       2 млн.га сільськогосподарських угідь, з них 1,7 млн.га ріллі. В  області налічується 530 діючих сільськогосподарських підприємства та 1,6 тис. фермерських господарств. Господарства спеціалізуються на вирощуванні зернових, олійних, овоче-баштанних культур, виробництві молока, м’яса та продукції птахівництва.</w:t>
            </w:r>
          </w:p>
        </w:tc>
      </w:tr>
      <w:tr w:rsidR="004968B0" w:rsidRPr="00F7290F" w:rsidTr="004968B0">
        <w:tc>
          <w:tcPr>
            <w:tcW w:w="3227" w:type="dxa"/>
            <w:gridSpan w:val="2"/>
          </w:tcPr>
          <w:p w:rsidR="004968B0" w:rsidRPr="00F7290F" w:rsidRDefault="004968B0" w:rsidP="00D65D2E">
            <w:pPr>
              <w:pStyle w:val="aff2"/>
              <w:keepNext/>
              <w:widowControl w:val="0"/>
              <w:spacing w:after="60"/>
              <w:jc w:val="center"/>
              <w:rPr>
                <w:color w:val="000000" w:themeColor="text1"/>
                <w:sz w:val="4"/>
                <w:szCs w:val="4"/>
                <w:lang w:val="uk-UA"/>
              </w:rPr>
            </w:pPr>
          </w:p>
          <w:p w:rsidR="004968B0" w:rsidRPr="00F7290F" w:rsidRDefault="004968B0" w:rsidP="00D65D2E">
            <w:pPr>
              <w:pStyle w:val="aff2"/>
              <w:keepNext/>
              <w:widowControl w:val="0"/>
              <w:spacing w:after="60"/>
              <w:jc w:val="center"/>
              <w:rPr>
                <w:b/>
                <w:i/>
                <w:color w:val="000000" w:themeColor="text1"/>
                <w:highlight w:val="yellow"/>
                <w:lang w:val="uk-UA"/>
              </w:rPr>
            </w:pPr>
            <w:r w:rsidRPr="00F7290F">
              <w:rPr>
                <w:noProof/>
                <w:color w:val="000000" w:themeColor="text1"/>
                <w:sz w:val="22"/>
                <w:szCs w:val="22"/>
              </w:rPr>
              <w:drawing>
                <wp:inline distT="0" distB="0" distL="0" distR="0">
                  <wp:extent cx="1595120" cy="1190625"/>
                  <wp:effectExtent l="19050" t="0" r="5080" b="0"/>
                  <wp:docPr id="90" name="Рисунок 16" descr="38e61ba6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8e61ba6_0"/>
                          <pic:cNvPicPr>
                            <a:picLocks noChangeAspect="1" noChangeArrowheads="1"/>
                          </pic:cNvPicPr>
                        </pic:nvPicPr>
                        <pic:blipFill>
                          <a:blip r:embed="rId28"/>
                          <a:srcRect/>
                          <a:stretch>
                            <a:fillRect/>
                          </a:stretch>
                        </pic:blipFill>
                        <pic:spPr bwMode="auto">
                          <a:xfrm>
                            <a:off x="0" y="0"/>
                            <a:ext cx="1595120" cy="1190625"/>
                          </a:xfrm>
                          <a:prstGeom prst="rect">
                            <a:avLst/>
                          </a:prstGeom>
                          <a:noFill/>
                          <a:ln w="9525">
                            <a:noFill/>
                            <a:miter lim="800000"/>
                            <a:headEnd/>
                            <a:tailEnd/>
                          </a:ln>
                        </pic:spPr>
                      </pic:pic>
                    </a:graphicData>
                  </a:graphic>
                </wp:inline>
              </w:drawing>
            </w:r>
          </w:p>
        </w:tc>
        <w:tc>
          <w:tcPr>
            <w:tcW w:w="6804" w:type="dxa"/>
            <w:gridSpan w:val="10"/>
          </w:tcPr>
          <w:p w:rsidR="004968B0" w:rsidRPr="00F7290F" w:rsidRDefault="004968B0" w:rsidP="00D65D2E">
            <w:pPr>
              <w:pStyle w:val="aff2"/>
              <w:keepNext/>
              <w:widowControl w:val="0"/>
              <w:spacing w:after="60"/>
              <w:ind w:left="0" w:firstLine="709"/>
              <w:jc w:val="both"/>
              <w:rPr>
                <w:b/>
                <w:i/>
                <w:color w:val="000000" w:themeColor="text1"/>
                <w:lang w:val="uk-UA"/>
              </w:rPr>
            </w:pPr>
            <w:r w:rsidRPr="00F7290F">
              <w:rPr>
                <w:b/>
                <w:i/>
                <w:color w:val="000000" w:themeColor="text1"/>
                <w:lang w:val="uk-UA"/>
              </w:rPr>
              <w:t>Мале підприємництво</w:t>
            </w:r>
          </w:p>
          <w:p w:rsidR="004968B0" w:rsidRPr="00F7290F" w:rsidRDefault="004968B0" w:rsidP="00D65D2E">
            <w:pPr>
              <w:keepNext/>
              <w:widowControl w:val="0"/>
              <w:spacing w:after="60"/>
              <w:ind w:firstLine="709"/>
              <w:jc w:val="both"/>
              <w:rPr>
                <w:b/>
                <w:color w:val="000000" w:themeColor="text1"/>
                <w:highlight w:val="yellow"/>
                <w:lang w:val="uk-UA"/>
              </w:rPr>
            </w:pPr>
            <w:r w:rsidRPr="00F7290F">
              <w:rPr>
                <w:color w:val="000000" w:themeColor="text1"/>
                <w:lang w:val="uk-UA"/>
              </w:rPr>
              <w:t>В області діє 54 малих підприємств на 10 тис. осіб наявного населення. На малих підприємствах працює 16,4% загальної чисельності зайнятих в економіці області. У 2011 році підприємствами малого бізнесу було реалізовано продукції (робіт, послуг) на суму 40,0 млрд.грн., що складає 5,8% від загального обсягу реалізації по області.</w:t>
            </w:r>
          </w:p>
        </w:tc>
      </w:tr>
      <w:tr w:rsidR="004968B0" w:rsidRPr="00F7290F" w:rsidTr="004968B0">
        <w:tc>
          <w:tcPr>
            <w:tcW w:w="3227" w:type="dxa"/>
            <w:gridSpan w:val="2"/>
          </w:tcPr>
          <w:p w:rsidR="004968B0" w:rsidRPr="00F7290F" w:rsidRDefault="004968B0" w:rsidP="00D65D2E">
            <w:pPr>
              <w:pStyle w:val="aff2"/>
              <w:keepNext/>
              <w:widowControl w:val="0"/>
              <w:spacing w:after="60"/>
              <w:rPr>
                <w:b/>
                <w:i/>
                <w:color w:val="000000" w:themeColor="text1"/>
                <w:sz w:val="10"/>
                <w:szCs w:val="10"/>
                <w:lang w:val="uk-UA"/>
              </w:rPr>
            </w:pPr>
          </w:p>
          <w:p w:rsidR="004968B0" w:rsidRPr="00F7290F" w:rsidRDefault="004968B0" w:rsidP="00D65D2E">
            <w:pPr>
              <w:pStyle w:val="aff2"/>
              <w:keepNext/>
              <w:widowControl w:val="0"/>
              <w:spacing w:after="60"/>
              <w:jc w:val="center"/>
              <w:rPr>
                <w:b/>
                <w:i/>
                <w:color w:val="000000" w:themeColor="text1"/>
                <w:highlight w:val="yellow"/>
                <w:lang w:val="uk-UA"/>
              </w:rPr>
            </w:pPr>
            <w:r w:rsidRPr="00F7290F">
              <w:rPr>
                <w:noProof/>
                <w:color w:val="000000" w:themeColor="text1"/>
              </w:rPr>
              <w:drawing>
                <wp:inline distT="0" distB="0" distL="0" distR="0">
                  <wp:extent cx="1807845" cy="1223010"/>
                  <wp:effectExtent l="19050" t="0" r="1905" b="0"/>
                  <wp:docPr id="89" name="Рисунок 17" descr="в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д"/>
                          <pic:cNvPicPr>
                            <a:picLocks noChangeAspect="1" noChangeArrowheads="1"/>
                          </pic:cNvPicPr>
                        </pic:nvPicPr>
                        <pic:blipFill>
                          <a:blip r:embed="rId29"/>
                          <a:srcRect/>
                          <a:stretch>
                            <a:fillRect/>
                          </a:stretch>
                        </pic:blipFill>
                        <pic:spPr bwMode="auto">
                          <a:xfrm>
                            <a:off x="0" y="0"/>
                            <a:ext cx="1807845" cy="1223010"/>
                          </a:xfrm>
                          <a:prstGeom prst="rect">
                            <a:avLst/>
                          </a:prstGeom>
                          <a:noFill/>
                          <a:ln w="9525">
                            <a:noFill/>
                            <a:miter lim="800000"/>
                            <a:headEnd/>
                            <a:tailEnd/>
                          </a:ln>
                        </pic:spPr>
                      </pic:pic>
                    </a:graphicData>
                  </a:graphic>
                </wp:inline>
              </w:drawing>
            </w:r>
          </w:p>
        </w:tc>
        <w:tc>
          <w:tcPr>
            <w:tcW w:w="6804" w:type="dxa"/>
            <w:gridSpan w:val="10"/>
          </w:tcPr>
          <w:p w:rsidR="00F474AC" w:rsidRPr="00F7290F" w:rsidRDefault="00F474AC" w:rsidP="00F474AC">
            <w:pPr>
              <w:pStyle w:val="aff2"/>
              <w:keepNext/>
              <w:widowControl w:val="0"/>
              <w:spacing w:after="60"/>
              <w:ind w:left="0" w:firstLine="709"/>
              <w:jc w:val="both"/>
              <w:rPr>
                <w:b/>
                <w:i/>
                <w:lang w:val="uk-UA"/>
              </w:rPr>
            </w:pPr>
            <w:r w:rsidRPr="00F7290F">
              <w:rPr>
                <w:b/>
                <w:i/>
                <w:lang w:val="uk-UA"/>
              </w:rPr>
              <w:t>Зовнішньоекономічна діяльність</w:t>
            </w:r>
          </w:p>
          <w:p w:rsidR="00F474AC" w:rsidRPr="00F7290F" w:rsidRDefault="00F474AC" w:rsidP="00F474AC">
            <w:pPr>
              <w:pStyle w:val="aff2"/>
              <w:keepNext/>
              <w:widowControl w:val="0"/>
              <w:spacing w:after="60"/>
              <w:ind w:left="0" w:firstLine="709"/>
              <w:jc w:val="both"/>
              <w:rPr>
                <w:bCs/>
                <w:lang w:val="uk-UA"/>
              </w:rPr>
            </w:pPr>
            <w:r w:rsidRPr="00F7290F">
              <w:rPr>
                <w:bCs/>
                <w:lang w:val="uk-UA"/>
              </w:rPr>
              <w:t>На зовнішньому ринку реалізується більше половини виробленої в області промислової  продукції. Область підтримує зв'язки з партнерами 161 країн світу. Зовнішньоторговельний оборот товарами за 2012 рік –                    19,4 млрд.дол.США (очікуване).</w:t>
            </w:r>
          </w:p>
          <w:p w:rsidR="004968B0" w:rsidRPr="00F7290F" w:rsidRDefault="00F474AC" w:rsidP="00F474AC">
            <w:pPr>
              <w:pStyle w:val="aff2"/>
              <w:keepNext/>
              <w:widowControl w:val="0"/>
              <w:spacing w:after="60"/>
              <w:ind w:left="0" w:firstLine="709"/>
              <w:jc w:val="both"/>
              <w:rPr>
                <w:bCs/>
                <w:color w:val="000000" w:themeColor="text1"/>
                <w:lang w:val="uk-UA"/>
              </w:rPr>
            </w:pPr>
            <w:r w:rsidRPr="00F7290F">
              <w:rPr>
                <w:bCs/>
                <w:lang w:val="uk-UA"/>
              </w:rPr>
              <w:t>Експорт товарів здійснюється до 138 країн світу.</w:t>
            </w:r>
          </w:p>
        </w:tc>
      </w:tr>
      <w:tr w:rsidR="004968B0" w:rsidRPr="008E4FA0" w:rsidTr="004968B0">
        <w:tc>
          <w:tcPr>
            <w:tcW w:w="10031" w:type="dxa"/>
            <w:gridSpan w:val="12"/>
          </w:tcPr>
          <w:p w:rsidR="001043CE" w:rsidRPr="00F7290F" w:rsidRDefault="00F474AC" w:rsidP="001043CE">
            <w:pPr>
              <w:pStyle w:val="aff2"/>
              <w:keepNext/>
              <w:widowControl w:val="0"/>
              <w:spacing w:after="60"/>
              <w:ind w:left="0" w:firstLine="709"/>
              <w:jc w:val="both"/>
              <w:rPr>
                <w:bCs/>
                <w:lang w:val="uk-UA"/>
              </w:rPr>
            </w:pPr>
            <w:r w:rsidRPr="00F7290F">
              <w:rPr>
                <w:bCs/>
                <w:lang w:val="uk-UA"/>
              </w:rPr>
              <w:t xml:space="preserve">Провідні підприємства-експортери </w:t>
            </w:r>
            <w:r w:rsidRPr="00F7290F">
              <w:rPr>
                <w:lang w:val="uk-UA"/>
              </w:rPr>
              <w:t>–</w:t>
            </w:r>
            <w:r w:rsidRPr="00F7290F">
              <w:rPr>
                <w:bCs/>
                <w:lang w:val="uk-UA"/>
              </w:rPr>
              <w:t xml:space="preserve"> ПАТ “Маріупольський металургійний комбінат  ім. Ілліча”, ПАТ “Металургійний комбінат “Азовсталь”, ПАТ “Єнакієвський металургійний завод”, ПАТ “Харцизький трубний завод”, ПАТ “Концерн “Стирол”, ПАТ “Азовмаш”, ПрАТ “Донецьксталь”-металургійний завод”, ПАТ “НКМЗ”, АТ (приватне) “Донецький електрометалургійний завод” забезпечують три чверті обласного обсягу експорту. Імпортні операції здійснювались з партнерами із 106 країн світу.</w:t>
            </w:r>
          </w:p>
          <w:p w:rsidR="004968B0" w:rsidRPr="00F7290F" w:rsidRDefault="00F474AC" w:rsidP="001043CE">
            <w:pPr>
              <w:pStyle w:val="aff2"/>
              <w:keepNext/>
              <w:widowControl w:val="0"/>
              <w:spacing w:after="60"/>
              <w:ind w:left="0" w:firstLine="709"/>
              <w:jc w:val="both"/>
              <w:rPr>
                <w:bCs/>
                <w:color w:val="000000" w:themeColor="text1"/>
                <w:spacing w:val="-4"/>
                <w:lang w:val="uk-UA"/>
              </w:rPr>
            </w:pPr>
            <w:r w:rsidRPr="00F7290F">
              <w:rPr>
                <w:bCs/>
                <w:spacing w:val="-4"/>
                <w:lang w:val="uk-UA"/>
              </w:rPr>
              <w:t>Головними зовнішньоторговельними партнерами області є Російська Федерація (29% від загального обсягу), Ліван, Туреччина, Італія, Казахстан, США (від 4% до 7%).</w:t>
            </w:r>
          </w:p>
        </w:tc>
      </w:tr>
      <w:tr w:rsidR="001043CE" w:rsidRPr="00F7290F" w:rsidTr="004968B0">
        <w:tc>
          <w:tcPr>
            <w:tcW w:w="10031" w:type="dxa"/>
            <w:gridSpan w:val="12"/>
          </w:tcPr>
          <w:p w:rsidR="001043CE" w:rsidRPr="00F7290F" w:rsidRDefault="001043CE" w:rsidP="003D3542">
            <w:pPr>
              <w:keepNext/>
              <w:widowControl w:val="0"/>
              <w:shd w:val="clear" w:color="auto" w:fill="FFFFFF"/>
              <w:spacing w:after="60" w:line="274" w:lineRule="exact"/>
              <w:ind w:firstLine="742"/>
              <w:jc w:val="center"/>
              <w:rPr>
                <w:b/>
                <w:lang w:val="uk-UA"/>
              </w:rPr>
            </w:pPr>
            <w:r w:rsidRPr="00F7290F">
              <w:rPr>
                <w:b/>
                <w:i/>
                <w:lang w:val="uk-UA"/>
              </w:rPr>
              <w:t>Інвестиційна політика</w:t>
            </w:r>
          </w:p>
        </w:tc>
      </w:tr>
      <w:tr w:rsidR="001043CE" w:rsidRPr="00F7290F" w:rsidTr="004968B0">
        <w:tc>
          <w:tcPr>
            <w:tcW w:w="10031" w:type="dxa"/>
            <w:gridSpan w:val="12"/>
          </w:tcPr>
          <w:p w:rsidR="001043CE" w:rsidRPr="00F7290F" w:rsidRDefault="001043CE" w:rsidP="003D3542">
            <w:pPr>
              <w:keepNext/>
              <w:widowControl w:val="0"/>
              <w:shd w:val="clear" w:color="auto" w:fill="FFFFFF"/>
              <w:spacing w:after="60"/>
              <w:ind w:firstLine="709"/>
              <w:jc w:val="both"/>
              <w:rPr>
                <w:bCs/>
                <w:lang w:val="uk-UA"/>
              </w:rPr>
            </w:pPr>
            <w:r w:rsidRPr="00F7290F">
              <w:rPr>
                <w:bCs/>
                <w:lang w:val="uk-UA"/>
              </w:rPr>
              <w:t>Обсяг капітальних інвестицій, залучених у розвиток економіки області, за рахунок усіх джерел фінансування за 9 місяців 2012 року склав 21,7 млрд.грн. (12,2% - від загальнодержавного обсягу).</w:t>
            </w:r>
          </w:p>
          <w:p w:rsidR="001043CE" w:rsidRPr="00F7290F" w:rsidRDefault="001043CE" w:rsidP="003D3542">
            <w:pPr>
              <w:pStyle w:val="aff0"/>
              <w:keepNext/>
              <w:widowControl w:val="0"/>
              <w:spacing w:after="60"/>
              <w:ind w:firstLine="709"/>
              <w:rPr>
                <w:rFonts w:ascii="Times New Roman" w:hAnsi="Times New Roman"/>
                <w:bCs/>
                <w:sz w:val="24"/>
                <w:szCs w:val="24"/>
                <w:lang w:val="uk-UA"/>
              </w:rPr>
            </w:pPr>
            <w:r w:rsidRPr="00F7290F">
              <w:rPr>
                <w:rFonts w:ascii="Times New Roman" w:hAnsi="Times New Roman"/>
                <w:sz w:val="24"/>
                <w:szCs w:val="24"/>
                <w:lang w:val="uk-UA"/>
              </w:rPr>
              <w:t>У 2012 році підприємствами області виконано будівельних робіт на суму 9,3 млрд.грн. (15,0% від загальнодержавного обсягу).</w:t>
            </w:r>
          </w:p>
        </w:tc>
      </w:tr>
      <w:tr w:rsidR="001043CE" w:rsidRPr="00F7290F" w:rsidTr="004968B0">
        <w:tc>
          <w:tcPr>
            <w:tcW w:w="10031" w:type="dxa"/>
            <w:gridSpan w:val="12"/>
          </w:tcPr>
          <w:p w:rsidR="001043CE" w:rsidRPr="00F7290F" w:rsidRDefault="001043CE" w:rsidP="003D3542">
            <w:pPr>
              <w:ind w:firstLine="720"/>
              <w:jc w:val="both"/>
              <w:outlineLvl w:val="8"/>
              <w:rPr>
                <w:spacing w:val="-4"/>
                <w:lang w:val="uk-UA"/>
              </w:rPr>
            </w:pPr>
            <w:r w:rsidRPr="00F7290F">
              <w:rPr>
                <w:spacing w:val="-4"/>
                <w:lang w:val="uk-UA"/>
              </w:rPr>
              <w:t xml:space="preserve">Протягом 9 місяців 2012 року введено в експлуатацію </w:t>
            </w:r>
            <w:smartTag w:uri="urn:schemas-microsoft-com:office:smarttags" w:element="metricconverter">
              <w:smartTagPr>
                <w:attr w:name="ProductID" w:val="50,3 км"/>
              </w:smartTagPr>
              <w:r w:rsidRPr="00F7290F">
                <w:rPr>
                  <w:spacing w:val="-4"/>
                  <w:lang w:val="uk-UA"/>
                </w:rPr>
                <w:t>50,3 км</w:t>
              </w:r>
            </w:smartTag>
            <w:r w:rsidRPr="00F7290F">
              <w:rPr>
                <w:spacing w:val="-4"/>
                <w:lang w:val="uk-UA"/>
              </w:rPr>
              <w:t xml:space="preserve"> місцевих трубопроводів для транспортування газу, </w:t>
            </w:r>
            <w:smartTag w:uri="urn:schemas-microsoft-com:office:smarttags" w:element="metricconverter">
              <w:smartTagPr>
                <w:attr w:name="ProductID" w:val="8,32 км"/>
              </w:smartTagPr>
              <w:r w:rsidRPr="00F7290F">
                <w:rPr>
                  <w:spacing w:val="-4"/>
                  <w:lang w:val="uk-UA"/>
                </w:rPr>
                <w:t>8,32 км</w:t>
              </w:r>
            </w:smartTag>
            <w:r w:rsidRPr="00F7290F">
              <w:rPr>
                <w:spacing w:val="-4"/>
                <w:lang w:val="uk-UA"/>
              </w:rPr>
              <w:t xml:space="preserve"> місцевих водопровідних мереж </w:t>
            </w:r>
            <w:smartTag w:uri="urn:schemas-microsoft-com:office:smarttags" w:element="metricconverter">
              <w:smartTagPr>
                <w:attr w:name="ProductID" w:val="3,77 км"/>
              </w:smartTagPr>
              <w:r w:rsidRPr="00F7290F">
                <w:rPr>
                  <w:spacing w:val="-4"/>
                  <w:lang w:val="uk-UA"/>
                </w:rPr>
                <w:t>3,77 км</w:t>
              </w:r>
            </w:smartTag>
            <w:r w:rsidRPr="00F7290F">
              <w:rPr>
                <w:spacing w:val="-4"/>
                <w:lang w:val="uk-UA"/>
              </w:rPr>
              <w:t xml:space="preserve"> місцевих каналізаційних  та водостічних мереж, </w:t>
            </w:r>
            <w:smartTag w:uri="urn:schemas-microsoft-com:office:smarttags" w:element="metricconverter">
              <w:smartTagPr>
                <w:attr w:name="ProductID" w:val="0,5 км"/>
              </w:smartTagPr>
              <w:r w:rsidRPr="00F7290F">
                <w:rPr>
                  <w:spacing w:val="-4"/>
                  <w:lang w:val="uk-UA"/>
                </w:rPr>
                <w:t>0,5 км</w:t>
              </w:r>
            </w:smartTag>
            <w:r w:rsidRPr="00F7290F">
              <w:rPr>
                <w:spacing w:val="-4"/>
                <w:lang w:val="uk-UA"/>
              </w:rPr>
              <w:t xml:space="preserve"> місцевих теплових мереж, </w:t>
            </w:r>
            <w:smartTag w:uri="urn:schemas-microsoft-com:office:smarttags" w:element="metricconverter">
              <w:smartTagPr>
                <w:attr w:name="ProductID" w:val="0,4 км"/>
              </w:smartTagPr>
              <w:r w:rsidRPr="00F7290F">
                <w:rPr>
                  <w:spacing w:val="-4"/>
                  <w:lang w:val="uk-UA"/>
                </w:rPr>
                <w:t>0,4 км</w:t>
              </w:r>
            </w:smartTag>
            <w:r w:rsidRPr="00F7290F">
              <w:rPr>
                <w:spacing w:val="-4"/>
                <w:lang w:val="uk-UA"/>
              </w:rPr>
              <w:t xml:space="preserve"> автомобільних доріг з твердим покриттям, вокзал залізничний (11,7 тис. пасажирів на добу), залізничні колії магістральні (</w:t>
            </w:r>
            <w:smartTag w:uri="urn:schemas-microsoft-com:office:smarttags" w:element="metricconverter">
              <w:smartTagPr>
                <w:attr w:name="ProductID" w:val="12,4 км"/>
              </w:smartTagPr>
              <w:r w:rsidRPr="00F7290F">
                <w:rPr>
                  <w:spacing w:val="-4"/>
                  <w:lang w:val="uk-UA"/>
                </w:rPr>
                <w:t>12,4 км</w:t>
              </w:r>
            </w:smartTag>
            <w:r w:rsidRPr="00F7290F">
              <w:rPr>
                <w:spacing w:val="-4"/>
                <w:lang w:val="uk-UA"/>
              </w:rPr>
              <w:t>), станції для очищення стічних вод (80,4 тис.куб.м стічних вод/добу), станцію насосну каналізаційну,  споруду для очищення стічних вод, полігон складування побутових відходів (</w:t>
            </w:r>
            <w:smartTag w:uri="urn:schemas-microsoft-com:office:smarttags" w:element="metricconverter">
              <w:smartTagPr>
                <w:attr w:name="ProductID" w:val="6,2 га"/>
              </w:smartTagPr>
              <w:r w:rsidRPr="00F7290F">
                <w:rPr>
                  <w:spacing w:val="-4"/>
                  <w:lang w:val="uk-UA"/>
                </w:rPr>
                <w:t>6,2 га</w:t>
              </w:r>
            </w:smartTag>
            <w:r w:rsidRPr="00F7290F">
              <w:rPr>
                <w:spacing w:val="-4"/>
                <w:lang w:val="uk-UA"/>
              </w:rPr>
              <w:t>), споруди по знешкодженню  та захороненню шкідливих промислових відходів (29957,0 т шкідливих речовин), готелі (888 місць), мотель  (100 місць), площинні спортивні споруди (2499,5 кв.м), плавальні басейни (1167 кв.м дзеркала води), музичний зал (221 кв.м), художня галерея  (516 кв.м), будівля освітніх закладів (858 кв.м), спортивний зал (249,4 кв.м), станцію швидкої допомоги, аеровокзальний комплекс, диспансер тощо.</w:t>
            </w:r>
          </w:p>
          <w:p w:rsidR="001043CE" w:rsidRPr="00F7290F" w:rsidRDefault="001043CE" w:rsidP="003D3542">
            <w:pPr>
              <w:pStyle w:val="aff0"/>
              <w:keepNext/>
              <w:widowControl w:val="0"/>
              <w:spacing w:after="60"/>
              <w:ind w:firstLine="709"/>
              <w:jc w:val="both"/>
              <w:rPr>
                <w:rFonts w:ascii="Times New Roman" w:hAnsi="Times New Roman"/>
                <w:bCs/>
                <w:sz w:val="24"/>
                <w:szCs w:val="24"/>
                <w:lang w:val="uk-UA"/>
              </w:rPr>
            </w:pPr>
            <w:r w:rsidRPr="00F7290F">
              <w:rPr>
                <w:rFonts w:ascii="Times New Roman" w:hAnsi="Times New Roman"/>
                <w:bCs/>
                <w:sz w:val="24"/>
                <w:szCs w:val="24"/>
                <w:lang w:val="uk-UA"/>
              </w:rPr>
              <w:t xml:space="preserve">За 9 місяців 2012 року введено в експлуатацію 208,7  тис.кв.м загальної площі житла </w:t>
            </w:r>
            <w:r w:rsidRPr="00F7290F">
              <w:rPr>
                <w:rFonts w:ascii="Times New Roman" w:hAnsi="Times New Roman"/>
                <w:bCs/>
                <w:sz w:val="24"/>
                <w:szCs w:val="24"/>
                <w:lang w:val="uk-UA"/>
              </w:rPr>
              <w:lastRenderedPageBreak/>
              <w:t xml:space="preserve">(3,1% від загальнодержавного обсягу). </w:t>
            </w:r>
          </w:p>
          <w:p w:rsidR="001043CE" w:rsidRPr="00F7290F" w:rsidRDefault="001043CE" w:rsidP="0047320C">
            <w:pPr>
              <w:keepNext/>
              <w:widowControl w:val="0"/>
              <w:spacing w:after="60"/>
              <w:ind w:firstLine="709"/>
              <w:jc w:val="both"/>
              <w:rPr>
                <w:bCs/>
                <w:lang w:val="uk-UA"/>
              </w:rPr>
            </w:pPr>
            <w:r w:rsidRPr="00F7290F">
              <w:rPr>
                <w:bCs/>
                <w:lang w:val="uk-UA"/>
              </w:rPr>
              <w:t xml:space="preserve">Загальний обсяг прямих іноземних інвестицій, залучених  в економіку області станом  на </w:t>
            </w:r>
            <w:r w:rsidR="0047320C">
              <w:rPr>
                <w:bCs/>
                <w:lang w:val="uk-UA"/>
              </w:rPr>
              <w:t>01.01.2013</w:t>
            </w:r>
            <w:r w:rsidRPr="00F7290F">
              <w:rPr>
                <w:bCs/>
                <w:lang w:val="uk-UA"/>
              </w:rPr>
              <w:t xml:space="preserve"> склав </w:t>
            </w:r>
            <w:r w:rsidR="0047320C">
              <w:rPr>
                <w:bCs/>
                <w:lang w:val="uk-UA"/>
              </w:rPr>
              <w:t>майже 3,0</w:t>
            </w:r>
            <w:r w:rsidRPr="00F7290F">
              <w:rPr>
                <w:bCs/>
                <w:lang w:val="uk-UA"/>
              </w:rPr>
              <w:t xml:space="preserve"> млрд.дол.США.</w:t>
            </w:r>
          </w:p>
        </w:tc>
      </w:tr>
      <w:tr w:rsidR="004968B0" w:rsidRPr="00F7290F" w:rsidTr="004968B0">
        <w:trPr>
          <w:trHeight w:val="338"/>
        </w:trPr>
        <w:tc>
          <w:tcPr>
            <w:tcW w:w="10031" w:type="dxa"/>
            <w:gridSpan w:val="12"/>
          </w:tcPr>
          <w:p w:rsidR="004968B0" w:rsidRPr="00F7290F" w:rsidRDefault="004968B0" w:rsidP="00D65D2E">
            <w:pPr>
              <w:keepNext/>
              <w:widowControl w:val="0"/>
              <w:spacing w:after="60"/>
              <w:ind w:firstLine="567"/>
              <w:jc w:val="center"/>
              <w:rPr>
                <w:color w:val="000000" w:themeColor="text1"/>
                <w:lang w:val="uk-UA"/>
              </w:rPr>
            </w:pPr>
            <w:r w:rsidRPr="00F7290F">
              <w:rPr>
                <w:b/>
                <w:i/>
                <w:color w:val="000000" w:themeColor="text1"/>
                <w:lang w:val="uk-UA"/>
              </w:rPr>
              <w:lastRenderedPageBreak/>
              <w:t>Транспорт</w:t>
            </w:r>
          </w:p>
        </w:tc>
      </w:tr>
      <w:tr w:rsidR="004968B0" w:rsidRPr="00F7290F" w:rsidTr="004968B0">
        <w:trPr>
          <w:trHeight w:val="338"/>
        </w:trPr>
        <w:tc>
          <w:tcPr>
            <w:tcW w:w="10031" w:type="dxa"/>
            <w:gridSpan w:val="12"/>
          </w:tcPr>
          <w:p w:rsidR="004968B0" w:rsidRPr="00F7290F" w:rsidRDefault="004968B0" w:rsidP="00D65D2E">
            <w:pPr>
              <w:keepNext/>
              <w:widowControl w:val="0"/>
              <w:spacing w:after="60"/>
              <w:ind w:firstLine="567"/>
              <w:jc w:val="both"/>
              <w:rPr>
                <w:color w:val="000000" w:themeColor="text1"/>
                <w:lang w:val="uk-UA"/>
              </w:rPr>
            </w:pPr>
            <w:r w:rsidRPr="00F7290F">
              <w:rPr>
                <w:color w:val="000000" w:themeColor="text1"/>
                <w:lang w:val="uk-UA"/>
              </w:rPr>
              <w:t>Область володіє розвиненою транспортною мережею.</w:t>
            </w:r>
          </w:p>
        </w:tc>
      </w:tr>
      <w:tr w:rsidR="004968B0" w:rsidRPr="00F7290F" w:rsidTr="004968B0">
        <w:trPr>
          <w:trHeight w:val="2501"/>
        </w:trPr>
        <w:tc>
          <w:tcPr>
            <w:tcW w:w="4893" w:type="dxa"/>
            <w:gridSpan w:val="9"/>
          </w:tcPr>
          <w:p w:rsidR="004968B0" w:rsidRPr="00F7290F" w:rsidRDefault="00F474AC" w:rsidP="001043CE">
            <w:pPr>
              <w:keepNext/>
              <w:widowControl w:val="0"/>
              <w:shd w:val="clear" w:color="auto" w:fill="FFFFFF"/>
              <w:spacing w:after="60" w:line="278" w:lineRule="exact"/>
              <w:ind w:firstLine="567"/>
              <w:jc w:val="both"/>
              <w:rPr>
                <w:b/>
                <w:i/>
                <w:color w:val="000000" w:themeColor="text1"/>
                <w:lang w:val="uk-UA"/>
              </w:rPr>
            </w:pPr>
            <w:r w:rsidRPr="00F7290F">
              <w:rPr>
                <w:b/>
                <w:lang w:val="uk-UA"/>
              </w:rPr>
              <w:t>Донецька</w:t>
            </w:r>
            <w:r w:rsidRPr="00F7290F">
              <w:rPr>
                <w:lang w:val="uk-UA"/>
              </w:rPr>
              <w:t xml:space="preserve"> </w:t>
            </w:r>
            <w:r w:rsidRPr="00F7290F">
              <w:rPr>
                <w:b/>
                <w:lang w:val="uk-UA"/>
              </w:rPr>
              <w:t>залізниця</w:t>
            </w:r>
            <w:r w:rsidRPr="00F7290F">
              <w:rPr>
                <w:lang w:val="uk-UA"/>
              </w:rPr>
              <w:t xml:space="preserve"> –</w:t>
            </w:r>
            <w:r w:rsidRPr="00F7290F">
              <w:rPr>
                <w:bCs/>
                <w:lang w:val="uk-UA"/>
              </w:rPr>
              <w:t xml:space="preserve"> </w:t>
            </w:r>
            <w:r w:rsidRPr="00F7290F">
              <w:rPr>
                <w:lang w:val="uk-UA"/>
              </w:rPr>
              <w:t xml:space="preserve"> одна з найбільших в Україні. На неї припадає третина загального обсягу навантаження по Укрзалізниці і  12% обсягу перевезень пасажирів. Вона обслуговує виробничо-господарський комплекс і населення Донецької, Луганської, частково –</w:t>
            </w:r>
            <w:r w:rsidRPr="00F7290F">
              <w:rPr>
                <w:bCs/>
                <w:lang w:val="uk-UA"/>
              </w:rPr>
              <w:t xml:space="preserve"> </w:t>
            </w:r>
            <w:r w:rsidRPr="00F7290F">
              <w:rPr>
                <w:lang w:val="uk-UA"/>
              </w:rPr>
              <w:t xml:space="preserve"> Дніпропетровської, Запорізької і Харківської областей. Донецьк має залізничне сполучення з великими вузловими станціями України і Росії, включаючи Київ, Львів, Одесу, Харків, Сімферополь, Москву, Санкт-Петербург та інші міста.</w:t>
            </w:r>
          </w:p>
        </w:tc>
        <w:tc>
          <w:tcPr>
            <w:tcW w:w="5138" w:type="dxa"/>
            <w:gridSpan w:val="3"/>
          </w:tcPr>
          <w:p w:rsidR="004968B0" w:rsidRPr="00F7290F" w:rsidRDefault="004968B0" w:rsidP="001043CE">
            <w:pPr>
              <w:keepNext/>
              <w:widowControl w:val="0"/>
              <w:jc w:val="both"/>
              <w:rPr>
                <w:color w:val="000000" w:themeColor="text1"/>
                <w:lang w:val="uk-UA"/>
              </w:rPr>
            </w:pPr>
            <w:r w:rsidRPr="00F7290F">
              <w:rPr>
                <w:noProof/>
                <w:color w:val="000000" w:themeColor="text1"/>
              </w:rPr>
              <w:drawing>
                <wp:inline distT="0" distB="0" distL="0" distR="0">
                  <wp:extent cx="3402330" cy="2306955"/>
                  <wp:effectExtent l="19050" t="0" r="7620" b="0"/>
                  <wp:docPr id="85" name="Рисунок 18" descr="otkryli_zhd_vokzal_v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tkryli_zhd_vokzal_verh"/>
                          <pic:cNvPicPr>
                            <a:picLocks noChangeAspect="1" noChangeArrowheads="1"/>
                          </pic:cNvPicPr>
                        </pic:nvPicPr>
                        <pic:blipFill>
                          <a:blip r:embed="rId30"/>
                          <a:srcRect/>
                          <a:stretch>
                            <a:fillRect/>
                          </a:stretch>
                        </pic:blipFill>
                        <pic:spPr bwMode="auto">
                          <a:xfrm>
                            <a:off x="0" y="0"/>
                            <a:ext cx="3402330" cy="2306955"/>
                          </a:xfrm>
                          <a:prstGeom prst="rect">
                            <a:avLst/>
                          </a:prstGeom>
                          <a:noFill/>
                          <a:ln w="9525">
                            <a:noFill/>
                            <a:miter lim="800000"/>
                            <a:headEnd/>
                            <a:tailEnd/>
                          </a:ln>
                        </pic:spPr>
                      </pic:pic>
                    </a:graphicData>
                  </a:graphic>
                </wp:inline>
              </w:drawing>
            </w:r>
          </w:p>
        </w:tc>
      </w:tr>
      <w:tr w:rsidR="004968B0" w:rsidRPr="008E4FA0" w:rsidTr="008D5E09">
        <w:trPr>
          <w:trHeight w:val="3080"/>
        </w:trPr>
        <w:tc>
          <w:tcPr>
            <w:tcW w:w="4893" w:type="dxa"/>
            <w:gridSpan w:val="9"/>
          </w:tcPr>
          <w:p w:rsidR="004968B0" w:rsidRPr="00F7290F" w:rsidRDefault="00FA0A50" w:rsidP="001043CE">
            <w:pPr>
              <w:keepNext/>
              <w:widowControl w:val="0"/>
              <w:shd w:val="clear" w:color="auto" w:fill="FFFFFF"/>
              <w:spacing w:after="60"/>
              <w:rPr>
                <w:color w:val="000000" w:themeColor="text1"/>
                <w:sz w:val="2"/>
                <w:szCs w:val="2"/>
                <w:highlight w:val="yellow"/>
                <w:lang w:val="uk-UA"/>
              </w:rPr>
            </w:pPr>
            <w:r w:rsidRPr="00F7290F">
              <w:rPr>
                <w:noProof/>
                <w:color w:val="000000" w:themeColor="text1"/>
                <w:sz w:val="2"/>
                <w:szCs w:val="2"/>
              </w:rPr>
              <w:drawing>
                <wp:anchor distT="0" distB="0" distL="114300" distR="114300" simplePos="0" relativeHeight="251735040" behindDoc="1" locked="0" layoutInCell="1" allowOverlap="1">
                  <wp:simplePos x="0" y="0"/>
                  <wp:positionH relativeFrom="column">
                    <wp:posOffset>64770</wp:posOffset>
                  </wp:positionH>
                  <wp:positionV relativeFrom="paragraph">
                    <wp:posOffset>-156210</wp:posOffset>
                  </wp:positionV>
                  <wp:extent cx="2798445" cy="1958340"/>
                  <wp:effectExtent l="19050" t="0" r="1905" b="0"/>
                  <wp:wrapTight wrapText="bothSides">
                    <wp:wrapPolygon edited="0">
                      <wp:start x="-147" y="0"/>
                      <wp:lineTo x="-147" y="21432"/>
                      <wp:lineTo x="21615" y="21432"/>
                      <wp:lineTo x="21615" y="0"/>
                      <wp:lineTo x="-147" y="0"/>
                    </wp:wrapPolygon>
                  </wp:wrapTight>
                  <wp:docPr id="359" name="Рисунок 359" descr="i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build"/>
                          <pic:cNvPicPr>
                            <a:picLocks noChangeAspect="1" noChangeArrowheads="1"/>
                          </pic:cNvPicPr>
                        </pic:nvPicPr>
                        <pic:blipFill>
                          <a:blip r:embed="rId31"/>
                          <a:srcRect/>
                          <a:stretch>
                            <a:fillRect/>
                          </a:stretch>
                        </pic:blipFill>
                        <pic:spPr bwMode="auto">
                          <a:xfrm>
                            <a:off x="0" y="0"/>
                            <a:ext cx="2798445" cy="1958340"/>
                          </a:xfrm>
                          <a:prstGeom prst="rect">
                            <a:avLst/>
                          </a:prstGeom>
                          <a:noFill/>
                          <a:ln w="9525">
                            <a:noFill/>
                            <a:miter lim="800000"/>
                            <a:headEnd/>
                            <a:tailEnd/>
                          </a:ln>
                        </pic:spPr>
                      </pic:pic>
                    </a:graphicData>
                  </a:graphic>
                </wp:anchor>
              </w:drawing>
            </w:r>
          </w:p>
        </w:tc>
        <w:tc>
          <w:tcPr>
            <w:tcW w:w="5138" w:type="dxa"/>
            <w:gridSpan w:val="3"/>
          </w:tcPr>
          <w:p w:rsidR="004968B0" w:rsidRPr="00F7290F" w:rsidRDefault="00F474AC" w:rsidP="001043CE">
            <w:pPr>
              <w:keepNext/>
              <w:widowControl w:val="0"/>
              <w:ind w:firstLine="567"/>
              <w:jc w:val="both"/>
              <w:rPr>
                <w:color w:val="000000" w:themeColor="text1"/>
                <w:spacing w:val="-6"/>
                <w:lang w:val="uk-UA"/>
              </w:rPr>
            </w:pPr>
            <w:r w:rsidRPr="00F7290F">
              <w:rPr>
                <w:spacing w:val="-6"/>
                <w:lang w:val="uk-UA"/>
              </w:rPr>
              <w:t xml:space="preserve">Область має зручний </w:t>
            </w:r>
            <w:r w:rsidRPr="00F7290F">
              <w:rPr>
                <w:b/>
                <w:spacing w:val="-6"/>
                <w:lang w:val="uk-UA"/>
              </w:rPr>
              <w:t>автомобільний зв'язок</w:t>
            </w:r>
            <w:r w:rsidRPr="00F7290F">
              <w:rPr>
                <w:spacing w:val="-6"/>
                <w:lang w:val="uk-UA"/>
              </w:rPr>
              <w:t xml:space="preserve"> з іншими регіонами України і півднем Росії. За якістю дороги відносяться до вищих категорій автодоріг в Україні. Шосейні магістральні та внутрішньоміські дороги оснащені мережею сучасних автозаправних станцій, що надають повний набір послуг відповідно до кращих міжнародних стандартів. Усі великі виробники  автомобілів світу мають у Донецькій області сервісні станції з продажу, ремонту та обслуговування автомобільної техніки.</w:t>
            </w:r>
          </w:p>
        </w:tc>
      </w:tr>
      <w:tr w:rsidR="00BD5157" w:rsidRPr="00F7290F" w:rsidTr="00BD5157">
        <w:tc>
          <w:tcPr>
            <w:tcW w:w="4893" w:type="dxa"/>
            <w:gridSpan w:val="9"/>
          </w:tcPr>
          <w:p w:rsidR="00BD5157" w:rsidRPr="00F7290F" w:rsidRDefault="005E4D12" w:rsidP="00D65D2E">
            <w:pPr>
              <w:keepNext/>
              <w:widowControl w:val="0"/>
              <w:shd w:val="clear" w:color="auto" w:fill="FFFFFF"/>
              <w:spacing w:after="60"/>
              <w:ind w:firstLine="709"/>
              <w:jc w:val="both"/>
              <w:rPr>
                <w:color w:val="000000" w:themeColor="text1"/>
                <w:highlight w:val="yellow"/>
                <w:lang w:val="uk-UA"/>
              </w:rPr>
            </w:pPr>
            <w:r w:rsidRPr="00F7290F">
              <w:rPr>
                <w:lang w:val="uk-UA"/>
              </w:rPr>
              <w:t>У містах Донецьк і Маріуполь розташовані аеропорти, які мають статус  міжнародних і пропонують повний спектр митних послуг. Пасажиро-транспортний аеродром є  в   м. Краматорськ.</w:t>
            </w:r>
          </w:p>
        </w:tc>
        <w:tc>
          <w:tcPr>
            <w:tcW w:w="5138" w:type="dxa"/>
            <w:gridSpan w:val="3"/>
          </w:tcPr>
          <w:p w:rsidR="00BD5157" w:rsidRPr="00F7290F" w:rsidRDefault="00BD5157" w:rsidP="00D65D2E">
            <w:pPr>
              <w:keepNext/>
              <w:widowControl w:val="0"/>
              <w:spacing w:after="60"/>
              <w:ind w:firstLine="567"/>
              <w:jc w:val="both"/>
              <w:rPr>
                <w:color w:val="000000" w:themeColor="text1"/>
                <w:spacing w:val="-4"/>
                <w:lang w:val="uk-UA"/>
              </w:rPr>
            </w:pPr>
            <w:r w:rsidRPr="00F7290F">
              <w:rPr>
                <w:noProof/>
                <w:color w:val="000000" w:themeColor="text1"/>
                <w:spacing w:val="-4"/>
              </w:rPr>
              <w:drawing>
                <wp:inline distT="0" distB="0" distL="0" distR="0">
                  <wp:extent cx="2392045" cy="1116330"/>
                  <wp:effectExtent l="19050" t="0" r="8255" b="0"/>
                  <wp:docPr id="143" name="Рисунок 1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
                          <pic:cNvPicPr>
                            <a:picLocks noChangeAspect="1" noChangeArrowheads="1"/>
                          </pic:cNvPicPr>
                        </pic:nvPicPr>
                        <pic:blipFill>
                          <a:blip r:embed="rId32"/>
                          <a:srcRect/>
                          <a:stretch>
                            <a:fillRect/>
                          </a:stretch>
                        </pic:blipFill>
                        <pic:spPr bwMode="auto">
                          <a:xfrm>
                            <a:off x="0" y="0"/>
                            <a:ext cx="2392045" cy="1116330"/>
                          </a:xfrm>
                          <a:prstGeom prst="rect">
                            <a:avLst/>
                          </a:prstGeom>
                          <a:noFill/>
                          <a:ln w="9525">
                            <a:noFill/>
                            <a:miter lim="800000"/>
                            <a:headEnd/>
                            <a:tailEnd/>
                          </a:ln>
                        </pic:spPr>
                      </pic:pic>
                    </a:graphicData>
                  </a:graphic>
                </wp:inline>
              </w:drawing>
            </w:r>
          </w:p>
        </w:tc>
      </w:tr>
      <w:tr w:rsidR="00BD5157" w:rsidRPr="00F7290F" w:rsidTr="00BD5157">
        <w:tc>
          <w:tcPr>
            <w:tcW w:w="4893" w:type="dxa"/>
            <w:gridSpan w:val="9"/>
          </w:tcPr>
          <w:p w:rsidR="00BD5157" w:rsidRPr="00F7290F" w:rsidRDefault="00BD5157" w:rsidP="00D65D2E">
            <w:pPr>
              <w:keepNext/>
              <w:widowControl w:val="0"/>
              <w:shd w:val="clear" w:color="auto" w:fill="FFFFFF"/>
              <w:spacing w:after="60"/>
              <w:ind w:firstLine="709"/>
              <w:jc w:val="both"/>
              <w:rPr>
                <w:color w:val="000000" w:themeColor="text1"/>
                <w:lang w:val="uk-UA"/>
              </w:rPr>
            </w:pPr>
            <w:r w:rsidRPr="00F7290F">
              <w:rPr>
                <w:noProof/>
                <w:color w:val="000000" w:themeColor="text1"/>
              </w:rPr>
              <w:drawing>
                <wp:inline distT="0" distB="0" distL="0" distR="0">
                  <wp:extent cx="2477135" cy="1637665"/>
                  <wp:effectExtent l="19050" t="0" r="0" b="0"/>
                  <wp:docPr id="144" name="Рисунок 20" descr="4гл_Пор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гл_Порт2"/>
                          <pic:cNvPicPr>
                            <a:picLocks noChangeAspect="1" noChangeArrowheads="1"/>
                          </pic:cNvPicPr>
                        </pic:nvPicPr>
                        <pic:blipFill>
                          <a:blip r:embed="rId33" cstate="print"/>
                          <a:srcRect/>
                          <a:stretch>
                            <a:fillRect/>
                          </a:stretch>
                        </pic:blipFill>
                        <pic:spPr bwMode="auto">
                          <a:xfrm>
                            <a:off x="0" y="0"/>
                            <a:ext cx="2477135" cy="1637665"/>
                          </a:xfrm>
                          <a:prstGeom prst="rect">
                            <a:avLst/>
                          </a:prstGeom>
                          <a:noFill/>
                          <a:ln w="9525">
                            <a:noFill/>
                            <a:miter lim="800000"/>
                            <a:headEnd/>
                            <a:tailEnd/>
                          </a:ln>
                        </pic:spPr>
                      </pic:pic>
                    </a:graphicData>
                  </a:graphic>
                </wp:inline>
              </w:drawing>
            </w:r>
          </w:p>
        </w:tc>
        <w:tc>
          <w:tcPr>
            <w:tcW w:w="5138" w:type="dxa"/>
            <w:gridSpan w:val="3"/>
          </w:tcPr>
          <w:p w:rsidR="005E4D12" w:rsidRPr="00F7290F" w:rsidRDefault="005E4D12" w:rsidP="005E4D12">
            <w:pPr>
              <w:keepNext/>
              <w:widowControl w:val="0"/>
              <w:shd w:val="clear" w:color="auto" w:fill="FFFFFF"/>
              <w:spacing w:after="60" w:line="274" w:lineRule="exact"/>
              <w:ind w:firstLine="567"/>
              <w:jc w:val="both"/>
              <w:rPr>
                <w:lang w:val="uk-UA"/>
              </w:rPr>
            </w:pPr>
            <w:r w:rsidRPr="00F7290F">
              <w:rPr>
                <w:lang w:val="uk-UA"/>
              </w:rPr>
              <w:t>Одним з найбільших портів в Україні</w:t>
            </w:r>
            <w:r w:rsidRPr="00F7290F">
              <w:rPr>
                <w:b/>
                <w:lang w:val="uk-UA"/>
              </w:rPr>
              <w:t xml:space="preserve"> </w:t>
            </w:r>
            <w:r w:rsidRPr="00F7290F">
              <w:rPr>
                <w:lang w:val="uk-UA"/>
              </w:rPr>
              <w:t>є</w:t>
            </w:r>
            <w:r w:rsidRPr="00F7290F">
              <w:rPr>
                <w:b/>
                <w:lang w:val="uk-UA"/>
              </w:rPr>
              <w:t xml:space="preserve"> Маріупольський морський порт</w:t>
            </w:r>
            <w:r w:rsidRPr="00F7290F">
              <w:rPr>
                <w:lang w:val="uk-UA"/>
              </w:rPr>
              <w:t xml:space="preserve">. Повний комплекс митних послуг і висока якість систем комунікацій роблять порт важливим імпортно-експортним центром регіону. Маріупольський порт щорічно обробляє понад 15 млн.т вантажів. Порт має 17 причалів, які дозволяють приймати суда довжиною </w:t>
            </w:r>
            <w:smartTag w:uri="urn:schemas-microsoft-com:office:smarttags" w:element="metricconverter">
              <w:smartTagPr>
                <w:attr w:name="ProductID" w:val="240 м"/>
              </w:smartTagPr>
              <w:r w:rsidRPr="00F7290F">
                <w:rPr>
                  <w:lang w:val="uk-UA"/>
                </w:rPr>
                <w:t>240 м</w:t>
              </w:r>
            </w:smartTag>
            <w:r w:rsidRPr="00F7290F">
              <w:rPr>
                <w:lang w:val="uk-UA"/>
              </w:rPr>
              <w:t xml:space="preserve"> і посадкою </w:t>
            </w:r>
            <w:smartTag w:uri="urn:schemas-microsoft-com:office:smarttags" w:element="metricconverter">
              <w:smartTagPr>
                <w:attr w:name="ProductID" w:val="8 м"/>
              </w:smartTagPr>
              <w:r w:rsidRPr="00F7290F">
                <w:rPr>
                  <w:lang w:val="uk-UA"/>
                </w:rPr>
                <w:t>8 м</w:t>
              </w:r>
            </w:smartTag>
            <w:r w:rsidRPr="00F7290F">
              <w:rPr>
                <w:lang w:val="uk-UA"/>
              </w:rPr>
              <w:t>.</w:t>
            </w:r>
          </w:p>
          <w:p w:rsidR="00BD5157" w:rsidRPr="00F7290F" w:rsidRDefault="00BD5157" w:rsidP="00D65D2E">
            <w:pPr>
              <w:keepNext/>
              <w:widowControl w:val="0"/>
              <w:spacing w:after="60"/>
              <w:ind w:firstLine="567"/>
              <w:jc w:val="both"/>
              <w:rPr>
                <w:color w:val="000000" w:themeColor="text1"/>
                <w:spacing w:val="-4"/>
                <w:lang w:val="uk-UA"/>
              </w:rPr>
            </w:pPr>
          </w:p>
        </w:tc>
      </w:tr>
      <w:tr w:rsidR="004968B0" w:rsidRPr="00F7290F" w:rsidTr="004968B0">
        <w:tc>
          <w:tcPr>
            <w:tcW w:w="10031" w:type="dxa"/>
            <w:gridSpan w:val="12"/>
          </w:tcPr>
          <w:p w:rsidR="004968B0" w:rsidRPr="00F7290F" w:rsidRDefault="004968B0" w:rsidP="00D65D2E">
            <w:pPr>
              <w:keepNext/>
              <w:widowControl w:val="0"/>
              <w:shd w:val="clear" w:color="auto" w:fill="FFFFFF"/>
              <w:spacing w:after="60" w:line="274" w:lineRule="exact"/>
              <w:ind w:firstLine="567"/>
              <w:jc w:val="center"/>
              <w:rPr>
                <w:color w:val="000000" w:themeColor="text1"/>
                <w:lang w:val="uk-UA"/>
              </w:rPr>
            </w:pPr>
            <w:r w:rsidRPr="00F7290F">
              <w:rPr>
                <w:b/>
                <w:i/>
                <w:color w:val="000000" w:themeColor="text1"/>
                <w:lang w:val="uk-UA"/>
              </w:rPr>
              <w:t>Телекомунікаційні системи</w:t>
            </w:r>
          </w:p>
        </w:tc>
      </w:tr>
      <w:tr w:rsidR="004968B0" w:rsidRPr="00F7290F" w:rsidTr="004968B0">
        <w:tc>
          <w:tcPr>
            <w:tcW w:w="10031" w:type="dxa"/>
            <w:gridSpan w:val="12"/>
          </w:tcPr>
          <w:p w:rsidR="004968B0" w:rsidRPr="00F7290F" w:rsidRDefault="004968B0" w:rsidP="00D65D2E">
            <w:pPr>
              <w:keepNext/>
              <w:widowControl w:val="0"/>
              <w:shd w:val="clear" w:color="auto" w:fill="FFFFFF"/>
              <w:spacing w:after="60" w:line="274" w:lineRule="exact"/>
              <w:ind w:firstLine="567"/>
              <w:jc w:val="both"/>
              <w:rPr>
                <w:color w:val="000000" w:themeColor="text1"/>
                <w:lang w:val="uk-UA"/>
              </w:rPr>
            </w:pPr>
            <w:r w:rsidRPr="00F7290F">
              <w:rPr>
                <w:color w:val="000000" w:themeColor="text1"/>
                <w:lang w:val="uk-UA"/>
              </w:rPr>
              <w:t>В області прискореними темпами розвивається інфраструктура телекомунікацій. Є можливості розширення використання мобільних телефонів, стільникового і пейджингового зв'язку. Вартість послуг мобільних комунікацій - на рівні європейських цін. Ряд компаній області надають клієнтам високоякісний доступ до Інтернету.</w:t>
            </w:r>
          </w:p>
        </w:tc>
      </w:tr>
      <w:tr w:rsidR="004968B0" w:rsidRPr="00F7290F" w:rsidTr="004968B0">
        <w:tc>
          <w:tcPr>
            <w:tcW w:w="4893" w:type="dxa"/>
            <w:gridSpan w:val="9"/>
          </w:tcPr>
          <w:p w:rsidR="004968B0" w:rsidRPr="00F7290F" w:rsidRDefault="004968B0" w:rsidP="00D65D2E">
            <w:pPr>
              <w:pStyle w:val="aff2"/>
              <w:keepNext/>
              <w:widowControl w:val="0"/>
              <w:spacing w:after="60"/>
              <w:rPr>
                <w:b/>
                <w:i/>
                <w:color w:val="000000" w:themeColor="text1"/>
                <w:lang w:val="uk-UA"/>
              </w:rPr>
            </w:pPr>
          </w:p>
        </w:tc>
        <w:tc>
          <w:tcPr>
            <w:tcW w:w="5138" w:type="dxa"/>
            <w:gridSpan w:val="3"/>
          </w:tcPr>
          <w:p w:rsidR="004968B0" w:rsidRPr="00F7290F" w:rsidRDefault="004968B0" w:rsidP="00D65D2E">
            <w:pPr>
              <w:keepNext/>
              <w:widowControl w:val="0"/>
              <w:shd w:val="clear" w:color="auto" w:fill="FFFFFF"/>
              <w:spacing w:after="60" w:line="274" w:lineRule="exact"/>
              <w:ind w:firstLine="567"/>
              <w:jc w:val="both"/>
              <w:rPr>
                <w:color w:val="000000" w:themeColor="text1"/>
                <w:lang w:val="uk-UA"/>
              </w:rPr>
            </w:pPr>
            <w:r w:rsidRPr="00F7290F">
              <w:rPr>
                <w:b/>
                <w:i/>
                <w:color w:val="000000" w:themeColor="text1"/>
                <w:lang w:val="uk-UA"/>
              </w:rPr>
              <w:t>Освіта</w:t>
            </w:r>
          </w:p>
        </w:tc>
      </w:tr>
      <w:tr w:rsidR="00110B10" w:rsidRPr="00F7290F" w:rsidTr="004968B0">
        <w:tc>
          <w:tcPr>
            <w:tcW w:w="4893" w:type="dxa"/>
            <w:gridSpan w:val="9"/>
            <w:vMerge w:val="restart"/>
          </w:tcPr>
          <w:p w:rsidR="00110B10" w:rsidRPr="00F7290F" w:rsidRDefault="00110B10" w:rsidP="00D65D2E">
            <w:pPr>
              <w:pStyle w:val="aff2"/>
              <w:keepNext/>
              <w:widowControl w:val="0"/>
              <w:spacing w:after="0"/>
              <w:ind w:left="0"/>
              <w:jc w:val="center"/>
              <w:rPr>
                <w:b/>
                <w:i/>
                <w:color w:val="000000" w:themeColor="text1"/>
                <w:sz w:val="10"/>
                <w:szCs w:val="10"/>
                <w:lang w:val="uk-UA"/>
              </w:rPr>
            </w:pPr>
          </w:p>
          <w:p w:rsidR="00110B10" w:rsidRPr="00F7290F" w:rsidRDefault="00110B10" w:rsidP="00D65D2E">
            <w:pPr>
              <w:pStyle w:val="aff2"/>
              <w:keepNext/>
              <w:widowControl w:val="0"/>
              <w:spacing w:after="0"/>
              <w:ind w:left="0"/>
              <w:jc w:val="center"/>
              <w:rPr>
                <w:b/>
                <w:i/>
                <w:color w:val="000000" w:themeColor="text1"/>
                <w:lang w:val="uk-UA"/>
              </w:rPr>
            </w:pPr>
            <w:r w:rsidRPr="00F7290F">
              <w:rPr>
                <w:b/>
                <w:i/>
                <w:noProof/>
                <w:color w:val="000000" w:themeColor="text1"/>
              </w:rPr>
              <w:drawing>
                <wp:inline distT="0" distB="0" distL="0" distR="0">
                  <wp:extent cx="2606178" cy="1733107"/>
                  <wp:effectExtent l="19050" t="0" r="3672" b="0"/>
                  <wp:docPr id="130" name="Рисунок 21" descr="88mriy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8mriya0"/>
                          <pic:cNvPicPr>
                            <a:picLocks noChangeAspect="1" noChangeArrowheads="1"/>
                          </pic:cNvPicPr>
                        </pic:nvPicPr>
                        <pic:blipFill>
                          <a:blip r:embed="rId34"/>
                          <a:srcRect/>
                          <a:stretch>
                            <a:fillRect/>
                          </a:stretch>
                        </pic:blipFill>
                        <pic:spPr bwMode="auto">
                          <a:xfrm>
                            <a:off x="0" y="0"/>
                            <a:ext cx="2604141" cy="1731753"/>
                          </a:xfrm>
                          <a:prstGeom prst="rect">
                            <a:avLst/>
                          </a:prstGeom>
                          <a:noFill/>
                          <a:ln w="9525">
                            <a:noFill/>
                            <a:miter lim="800000"/>
                            <a:headEnd/>
                            <a:tailEnd/>
                          </a:ln>
                        </pic:spPr>
                      </pic:pic>
                    </a:graphicData>
                  </a:graphic>
                </wp:inline>
              </w:drawing>
            </w:r>
          </w:p>
          <w:p w:rsidR="00110B10" w:rsidRPr="00F7290F" w:rsidRDefault="00110B10" w:rsidP="00D65D2E">
            <w:pPr>
              <w:pStyle w:val="aff2"/>
              <w:keepNext/>
              <w:widowControl w:val="0"/>
              <w:spacing w:after="0"/>
              <w:ind w:left="0"/>
              <w:jc w:val="center"/>
              <w:rPr>
                <w:color w:val="000000" w:themeColor="text1"/>
                <w:lang w:val="uk-UA"/>
              </w:rPr>
            </w:pPr>
            <w:r w:rsidRPr="00F7290F">
              <w:rPr>
                <w:noProof/>
                <w:color w:val="000000" w:themeColor="text1"/>
              </w:rPr>
              <w:drawing>
                <wp:inline distT="0" distB="0" distL="0" distR="0">
                  <wp:extent cx="2604017" cy="1731855"/>
                  <wp:effectExtent l="19050" t="0" r="5833" b="0"/>
                  <wp:docPr id="131" name="Рисунок 22" descr="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g"/>
                          <pic:cNvPicPr>
                            <a:picLocks noChangeAspect="1" noChangeArrowheads="1"/>
                          </pic:cNvPicPr>
                        </pic:nvPicPr>
                        <pic:blipFill>
                          <a:blip r:embed="rId35"/>
                          <a:srcRect/>
                          <a:stretch>
                            <a:fillRect/>
                          </a:stretch>
                        </pic:blipFill>
                        <pic:spPr bwMode="auto">
                          <a:xfrm>
                            <a:off x="0" y="0"/>
                            <a:ext cx="2605870" cy="1733087"/>
                          </a:xfrm>
                          <a:prstGeom prst="rect">
                            <a:avLst/>
                          </a:prstGeom>
                          <a:noFill/>
                          <a:ln w="9525">
                            <a:noFill/>
                            <a:miter lim="800000"/>
                            <a:headEnd/>
                            <a:tailEnd/>
                          </a:ln>
                        </pic:spPr>
                      </pic:pic>
                    </a:graphicData>
                  </a:graphic>
                </wp:inline>
              </w:drawing>
            </w:r>
          </w:p>
        </w:tc>
        <w:tc>
          <w:tcPr>
            <w:tcW w:w="5138" w:type="dxa"/>
            <w:gridSpan w:val="3"/>
          </w:tcPr>
          <w:p w:rsidR="00110B10" w:rsidRPr="00F7290F" w:rsidRDefault="00110B10" w:rsidP="003D3542">
            <w:pPr>
              <w:keepNext/>
              <w:widowControl w:val="0"/>
              <w:shd w:val="clear" w:color="auto" w:fill="FFFFFF"/>
              <w:spacing w:after="60"/>
              <w:ind w:firstLine="567"/>
              <w:jc w:val="both"/>
              <w:rPr>
                <w:lang w:val="uk-UA"/>
              </w:rPr>
            </w:pPr>
            <w:r w:rsidRPr="00F7290F">
              <w:rPr>
                <w:lang w:val="uk-UA"/>
              </w:rPr>
              <w:t>Сформована в області мережа навчально-виховних закладів задовольняє потреби населення у формах, профілях та мовах навчання.</w:t>
            </w:r>
          </w:p>
          <w:p w:rsidR="00110B10" w:rsidRPr="00F7290F" w:rsidRDefault="00110B10" w:rsidP="003D3542">
            <w:pPr>
              <w:keepNext/>
              <w:widowControl w:val="0"/>
              <w:shd w:val="clear" w:color="auto" w:fill="FFFFFF"/>
              <w:spacing w:after="60"/>
              <w:ind w:firstLine="567"/>
              <w:jc w:val="both"/>
              <w:rPr>
                <w:spacing w:val="-6"/>
                <w:lang w:val="uk-UA"/>
              </w:rPr>
            </w:pPr>
            <w:r w:rsidRPr="00F7290F">
              <w:rPr>
                <w:lang w:val="uk-UA"/>
              </w:rPr>
              <w:t>Середню обов'язкову освіту забезпечують 1123  загальноосвітніх шкіл різного типу і форм власності, в яких навчається 336,9 тис. учнів. Із загальної кількості 14 шкіл - приватні, в яких навчається майже 1 тис. учнів.</w:t>
            </w:r>
          </w:p>
        </w:tc>
      </w:tr>
      <w:tr w:rsidR="00110B10" w:rsidRPr="00F7290F" w:rsidTr="004968B0">
        <w:trPr>
          <w:trHeight w:val="696"/>
        </w:trPr>
        <w:tc>
          <w:tcPr>
            <w:tcW w:w="4893" w:type="dxa"/>
            <w:gridSpan w:val="9"/>
            <w:vMerge/>
          </w:tcPr>
          <w:p w:rsidR="00110B10" w:rsidRPr="00F7290F" w:rsidRDefault="00110B10" w:rsidP="00D65D2E">
            <w:pPr>
              <w:pStyle w:val="1"/>
              <w:keepNext/>
              <w:widowControl w:val="0"/>
              <w:spacing w:after="60"/>
              <w:rPr>
                <w:color w:val="000000" w:themeColor="text1"/>
                <w:lang w:val="uk-UA"/>
              </w:rPr>
            </w:pPr>
          </w:p>
        </w:tc>
        <w:tc>
          <w:tcPr>
            <w:tcW w:w="5138" w:type="dxa"/>
            <w:gridSpan w:val="3"/>
          </w:tcPr>
          <w:p w:rsidR="00110B10" w:rsidRPr="00F7290F" w:rsidRDefault="00110B10" w:rsidP="003D3542">
            <w:pPr>
              <w:keepNext/>
              <w:widowControl w:val="0"/>
              <w:shd w:val="clear" w:color="auto" w:fill="FFFFFF"/>
              <w:spacing w:after="60"/>
              <w:ind w:firstLine="567"/>
              <w:jc w:val="both"/>
              <w:rPr>
                <w:lang w:val="uk-UA"/>
              </w:rPr>
            </w:pPr>
            <w:r w:rsidRPr="00F7290F">
              <w:rPr>
                <w:lang w:val="uk-UA"/>
              </w:rPr>
              <w:t>В області налічується 1155 дошкільних навчальних закладів. Їх відвідують понад                  118,9 тис. дітей.</w:t>
            </w:r>
          </w:p>
        </w:tc>
      </w:tr>
      <w:tr w:rsidR="00110B10" w:rsidRPr="00F7290F" w:rsidTr="00D80172">
        <w:trPr>
          <w:trHeight w:val="2138"/>
        </w:trPr>
        <w:tc>
          <w:tcPr>
            <w:tcW w:w="4893" w:type="dxa"/>
            <w:gridSpan w:val="9"/>
            <w:vMerge/>
          </w:tcPr>
          <w:p w:rsidR="00110B10" w:rsidRPr="00F7290F" w:rsidRDefault="00110B10" w:rsidP="00D65D2E">
            <w:pPr>
              <w:pStyle w:val="1"/>
              <w:keepNext/>
              <w:widowControl w:val="0"/>
              <w:spacing w:after="60"/>
              <w:rPr>
                <w:color w:val="000000" w:themeColor="text1"/>
                <w:lang w:val="uk-UA"/>
              </w:rPr>
            </w:pPr>
          </w:p>
        </w:tc>
        <w:tc>
          <w:tcPr>
            <w:tcW w:w="5138" w:type="dxa"/>
            <w:gridSpan w:val="3"/>
          </w:tcPr>
          <w:p w:rsidR="00110B10" w:rsidRPr="00F7290F" w:rsidRDefault="00110B10" w:rsidP="003D3542">
            <w:pPr>
              <w:pStyle w:val="31"/>
              <w:keepNext/>
              <w:widowControl w:val="0"/>
              <w:spacing w:after="60"/>
              <w:ind w:left="0" w:firstLine="567"/>
              <w:jc w:val="both"/>
              <w:rPr>
                <w:sz w:val="24"/>
                <w:szCs w:val="24"/>
                <w:lang w:val="uk-UA"/>
              </w:rPr>
            </w:pPr>
            <w:r w:rsidRPr="00F7290F">
              <w:rPr>
                <w:sz w:val="24"/>
                <w:szCs w:val="24"/>
                <w:lang w:val="uk-UA"/>
              </w:rPr>
              <w:t xml:space="preserve">Професійну  освіту молоді  надають 111 професійно-технічних училищ, де навчається 35,7 тис. учнів. Навчання здійснюється за   різними профілями. Найбільше спеціалістів готується для галузей: будівництво, машинобудування, автомобільний транспорт, харчова промисловість та торгівля. </w:t>
            </w:r>
          </w:p>
        </w:tc>
      </w:tr>
      <w:tr w:rsidR="004968B0" w:rsidRPr="008E4FA0" w:rsidTr="00791EFE">
        <w:tc>
          <w:tcPr>
            <w:tcW w:w="3510" w:type="dxa"/>
            <w:gridSpan w:val="3"/>
          </w:tcPr>
          <w:p w:rsidR="004968B0" w:rsidRPr="00F7290F" w:rsidRDefault="004968B0" w:rsidP="00D65D2E">
            <w:pPr>
              <w:pStyle w:val="aff2"/>
              <w:keepNext/>
              <w:widowControl w:val="0"/>
              <w:spacing w:after="60"/>
              <w:ind w:left="0"/>
              <w:jc w:val="center"/>
              <w:rPr>
                <w:b/>
                <w:i/>
                <w:color w:val="000000" w:themeColor="text1"/>
                <w:lang w:val="uk-UA"/>
              </w:rPr>
            </w:pPr>
            <w:r w:rsidRPr="00F7290F">
              <w:rPr>
                <w:noProof/>
                <w:color w:val="000000" w:themeColor="text1"/>
              </w:rPr>
              <w:drawing>
                <wp:inline distT="0" distB="0" distL="0" distR="0">
                  <wp:extent cx="1616075" cy="2019935"/>
                  <wp:effectExtent l="19050" t="0" r="3175" b="0"/>
                  <wp:docPr id="76" name="Рисунок 23" descr="0000010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000101_b"/>
                          <pic:cNvPicPr>
                            <a:picLocks noChangeAspect="1" noChangeArrowheads="1"/>
                          </pic:cNvPicPr>
                        </pic:nvPicPr>
                        <pic:blipFill>
                          <a:blip r:embed="rId36"/>
                          <a:srcRect/>
                          <a:stretch>
                            <a:fillRect/>
                          </a:stretch>
                        </pic:blipFill>
                        <pic:spPr bwMode="auto">
                          <a:xfrm>
                            <a:off x="0" y="0"/>
                            <a:ext cx="1616075" cy="2019935"/>
                          </a:xfrm>
                          <a:prstGeom prst="rect">
                            <a:avLst/>
                          </a:prstGeom>
                          <a:noFill/>
                          <a:ln w="9525">
                            <a:noFill/>
                            <a:miter lim="800000"/>
                            <a:headEnd/>
                            <a:tailEnd/>
                          </a:ln>
                        </pic:spPr>
                      </pic:pic>
                    </a:graphicData>
                  </a:graphic>
                </wp:inline>
              </w:drawing>
            </w:r>
          </w:p>
        </w:tc>
        <w:tc>
          <w:tcPr>
            <w:tcW w:w="6521" w:type="dxa"/>
            <w:gridSpan w:val="9"/>
          </w:tcPr>
          <w:p w:rsidR="001543FF" w:rsidRPr="00F7290F" w:rsidRDefault="001543FF" w:rsidP="00D65D2E">
            <w:pPr>
              <w:keepNext/>
              <w:widowControl w:val="0"/>
              <w:shd w:val="clear" w:color="auto" w:fill="FFFFFF"/>
              <w:spacing w:after="60"/>
              <w:ind w:firstLine="567"/>
              <w:jc w:val="both"/>
              <w:rPr>
                <w:color w:val="000000" w:themeColor="text1"/>
                <w:lang w:val="uk-UA"/>
              </w:rPr>
            </w:pPr>
          </w:p>
          <w:p w:rsidR="004968B0" w:rsidRPr="00F7290F" w:rsidRDefault="00110B10" w:rsidP="00D65D2E">
            <w:pPr>
              <w:keepNext/>
              <w:widowControl w:val="0"/>
              <w:shd w:val="clear" w:color="auto" w:fill="FFFFFF"/>
              <w:spacing w:after="60"/>
              <w:ind w:firstLine="567"/>
              <w:jc w:val="both"/>
              <w:rPr>
                <w:color w:val="000000" w:themeColor="text1"/>
                <w:lang w:val="uk-UA"/>
              </w:rPr>
            </w:pPr>
            <w:r w:rsidRPr="00F7290F">
              <w:rPr>
                <w:lang w:val="uk-UA"/>
              </w:rPr>
              <w:t>Підготовку кадрів вищої кваліфікації здійснюють               26 вищих навчальних закладів ІІІ-ІV рівнів акредитації, в яких навчається 118,8 тис. студентів. У 2012 році ними підготовлено 31,4 тис. фахівців різноманітного профілю. Підготовку молодших спеціалістів здійснюють 54 вищі навчальні заклади І-ІІ рівнів акредитації, в яких навчається 36,9 тис. студентів, які в 2012 році випустили 17,3 тис. фахівців для галузей: промисловість,  будівництво, транспорт, зв'язок, охорона здоров'я, освіта тощо.</w:t>
            </w:r>
          </w:p>
        </w:tc>
      </w:tr>
      <w:tr w:rsidR="004968B0" w:rsidRPr="00F7290F" w:rsidTr="00791EFE">
        <w:tc>
          <w:tcPr>
            <w:tcW w:w="6345" w:type="dxa"/>
            <w:gridSpan w:val="11"/>
          </w:tcPr>
          <w:p w:rsidR="001543FF" w:rsidRPr="00F7290F" w:rsidRDefault="001543FF" w:rsidP="00D65D2E">
            <w:pPr>
              <w:keepNext/>
              <w:widowControl w:val="0"/>
              <w:shd w:val="clear" w:color="auto" w:fill="FFFFFF"/>
              <w:spacing w:after="60" w:line="274" w:lineRule="exact"/>
              <w:ind w:firstLine="567"/>
              <w:jc w:val="center"/>
              <w:rPr>
                <w:b/>
                <w:i/>
                <w:color w:val="000000" w:themeColor="text1"/>
                <w:lang w:val="uk-UA"/>
              </w:rPr>
            </w:pPr>
          </w:p>
          <w:p w:rsidR="004968B0" w:rsidRPr="00F7290F" w:rsidRDefault="004968B0" w:rsidP="00D65D2E">
            <w:pPr>
              <w:keepNext/>
              <w:widowControl w:val="0"/>
              <w:shd w:val="clear" w:color="auto" w:fill="FFFFFF"/>
              <w:spacing w:after="60" w:line="274" w:lineRule="exact"/>
              <w:ind w:firstLine="567"/>
              <w:jc w:val="center"/>
              <w:rPr>
                <w:color w:val="000000" w:themeColor="text1"/>
                <w:lang w:val="uk-UA"/>
              </w:rPr>
            </w:pPr>
            <w:r w:rsidRPr="00F7290F">
              <w:rPr>
                <w:b/>
                <w:i/>
                <w:color w:val="000000" w:themeColor="text1"/>
                <w:lang w:val="uk-UA"/>
              </w:rPr>
              <w:t>Охорона здоров’я</w:t>
            </w:r>
          </w:p>
          <w:p w:rsidR="004968B0" w:rsidRPr="00F7290F" w:rsidRDefault="004968B0" w:rsidP="00D65D2E">
            <w:pPr>
              <w:keepNext/>
              <w:widowControl w:val="0"/>
              <w:shd w:val="clear" w:color="auto" w:fill="FFFFFF"/>
              <w:spacing w:after="60" w:line="274" w:lineRule="exact"/>
              <w:ind w:firstLine="567"/>
              <w:jc w:val="both"/>
              <w:rPr>
                <w:color w:val="000000" w:themeColor="text1"/>
                <w:lang w:val="uk-UA"/>
              </w:rPr>
            </w:pPr>
            <w:r w:rsidRPr="00F7290F">
              <w:rPr>
                <w:color w:val="000000" w:themeColor="text1"/>
                <w:lang w:val="uk-UA"/>
              </w:rPr>
              <w:t>Система охорони здоров’я області представлена широкою мережею обласних, міських та районних лікарень, діагностичних центрів, спеціалізованих клінік і амбулаторій, станцій і відділень «швидкої допомоги» та інших медичних закладів.</w:t>
            </w:r>
          </w:p>
          <w:p w:rsidR="004968B0" w:rsidRPr="00F7290F" w:rsidRDefault="004968B0" w:rsidP="00D65D2E">
            <w:pPr>
              <w:keepNext/>
              <w:widowControl w:val="0"/>
              <w:shd w:val="clear" w:color="auto" w:fill="FFFFFF"/>
              <w:spacing w:after="60" w:line="274" w:lineRule="exact"/>
              <w:ind w:firstLine="567"/>
              <w:jc w:val="both"/>
              <w:rPr>
                <w:color w:val="000000" w:themeColor="text1"/>
                <w:lang w:val="uk-UA"/>
              </w:rPr>
            </w:pPr>
            <w:r w:rsidRPr="00F7290F">
              <w:rPr>
                <w:color w:val="000000" w:themeColor="text1"/>
                <w:lang w:val="uk-UA"/>
              </w:rPr>
              <w:t>Населення області обслуговують 18 тис. лікарів та 38,2 тис. середніх медпрацівників. Ліжковий фонд складає  33,8 тис. ліжок. Щорічно в стаціонарах лікується 1 млн. чоловік.</w:t>
            </w:r>
          </w:p>
          <w:p w:rsidR="004968B0" w:rsidRPr="00F7290F" w:rsidRDefault="004968B0" w:rsidP="00D65D2E">
            <w:pPr>
              <w:pStyle w:val="43"/>
              <w:keepNext/>
              <w:widowControl w:val="0"/>
              <w:spacing w:after="60"/>
              <w:ind w:firstLine="567"/>
              <w:jc w:val="both"/>
              <w:rPr>
                <w:color w:val="000000" w:themeColor="text1"/>
                <w:sz w:val="24"/>
                <w:szCs w:val="24"/>
              </w:rPr>
            </w:pPr>
            <w:r w:rsidRPr="00F7290F">
              <w:rPr>
                <w:color w:val="000000" w:themeColor="text1"/>
                <w:sz w:val="24"/>
                <w:szCs w:val="24"/>
              </w:rPr>
              <w:t>На базі обласних лікувальних закладів функціонують спеціалізовані центри, в яких застосовуються найсучасніші  технології. Серед них такі відомі центри як опіковий, протипухлинний, для хворих з наслідками травм спинного мозку, мікрохірургії органів, ендоскопічної хірургії тощо.</w:t>
            </w:r>
          </w:p>
        </w:tc>
        <w:tc>
          <w:tcPr>
            <w:tcW w:w="3686" w:type="dxa"/>
          </w:tcPr>
          <w:p w:rsidR="004968B0" w:rsidRPr="00F7290F" w:rsidRDefault="004968B0" w:rsidP="00D65D2E">
            <w:pPr>
              <w:pStyle w:val="43"/>
              <w:keepNext/>
              <w:widowControl w:val="0"/>
              <w:spacing w:after="60"/>
              <w:jc w:val="center"/>
              <w:rPr>
                <w:color w:val="000000" w:themeColor="text1"/>
                <w:sz w:val="24"/>
              </w:rPr>
            </w:pPr>
            <w:r w:rsidRPr="00F7290F">
              <w:rPr>
                <w:noProof/>
                <w:snapToGrid/>
                <w:color w:val="000000" w:themeColor="text1"/>
                <w:sz w:val="24"/>
                <w:lang w:val="ru-RU"/>
              </w:rPr>
              <w:drawing>
                <wp:inline distT="0" distB="0" distL="0" distR="0">
                  <wp:extent cx="2424430" cy="1499235"/>
                  <wp:effectExtent l="19050" t="0" r="0" b="0"/>
                  <wp:docPr id="75" name="Рисунок 24" descr="rod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ddom"/>
                          <pic:cNvPicPr>
                            <a:picLocks noChangeAspect="1" noChangeArrowheads="1"/>
                          </pic:cNvPicPr>
                        </pic:nvPicPr>
                        <pic:blipFill>
                          <a:blip r:embed="rId37"/>
                          <a:srcRect/>
                          <a:stretch>
                            <a:fillRect/>
                          </a:stretch>
                        </pic:blipFill>
                        <pic:spPr bwMode="auto">
                          <a:xfrm>
                            <a:off x="0" y="0"/>
                            <a:ext cx="2424430" cy="1499235"/>
                          </a:xfrm>
                          <a:prstGeom prst="rect">
                            <a:avLst/>
                          </a:prstGeom>
                          <a:noFill/>
                          <a:ln w="9525">
                            <a:noFill/>
                            <a:miter lim="800000"/>
                            <a:headEnd/>
                            <a:tailEnd/>
                          </a:ln>
                        </pic:spPr>
                      </pic:pic>
                    </a:graphicData>
                  </a:graphic>
                </wp:inline>
              </w:drawing>
            </w:r>
          </w:p>
          <w:p w:rsidR="004968B0" w:rsidRPr="00F7290F" w:rsidRDefault="004968B0" w:rsidP="00D65D2E">
            <w:pPr>
              <w:pStyle w:val="43"/>
              <w:keepNext/>
              <w:widowControl w:val="0"/>
              <w:spacing w:after="60"/>
              <w:jc w:val="center"/>
              <w:rPr>
                <w:color w:val="000000" w:themeColor="text1"/>
                <w:sz w:val="24"/>
              </w:rPr>
            </w:pPr>
            <w:r w:rsidRPr="00F7290F">
              <w:rPr>
                <w:noProof/>
                <w:snapToGrid/>
                <w:color w:val="000000" w:themeColor="text1"/>
                <w:sz w:val="24"/>
                <w:lang w:val="ru-RU"/>
              </w:rPr>
              <w:drawing>
                <wp:inline distT="0" distB="0" distL="0" distR="0">
                  <wp:extent cx="2213787" cy="1679944"/>
                  <wp:effectExtent l="19050" t="0" r="0" b="0"/>
                  <wp:docPr id="74" name="Рисунок 25" descr="350x250_5097caa22d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50x250_5097caa22d2f0"/>
                          <pic:cNvPicPr>
                            <a:picLocks noChangeAspect="1" noChangeArrowheads="1"/>
                          </pic:cNvPicPr>
                        </pic:nvPicPr>
                        <pic:blipFill>
                          <a:blip r:embed="rId38"/>
                          <a:srcRect/>
                          <a:stretch>
                            <a:fillRect/>
                          </a:stretch>
                        </pic:blipFill>
                        <pic:spPr bwMode="auto">
                          <a:xfrm>
                            <a:off x="0" y="0"/>
                            <a:ext cx="2225758" cy="1689028"/>
                          </a:xfrm>
                          <a:prstGeom prst="rect">
                            <a:avLst/>
                          </a:prstGeom>
                          <a:noFill/>
                          <a:ln w="9525">
                            <a:noFill/>
                            <a:miter lim="800000"/>
                            <a:headEnd/>
                            <a:tailEnd/>
                          </a:ln>
                        </pic:spPr>
                      </pic:pic>
                    </a:graphicData>
                  </a:graphic>
                </wp:inline>
              </w:drawing>
            </w:r>
          </w:p>
        </w:tc>
      </w:tr>
      <w:tr w:rsidR="004968B0" w:rsidRPr="00F7290F" w:rsidTr="00791EFE">
        <w:trPr>
          <w:trHeight w:val="196"/>
        </w:trPr>
        <w:tc>
          <w:tcPr>
            <w:tcW w:w="10031" w:type="dxa"/>
            <w:gridSpan w:val="12"/>
          </w:tcPr>
          <w:p w:rsidR="004968B0" w:rsidRPr="00F7290F" w:rsidRDefault="004968B0" w:rsidP="00D65D2E">
            <w:pPr>
              <w:pStyle w:val="43"/>
              <w:keepNext/>
              <w:widowControl w:val="0"/>
              <w:jc w:val="center"/>
              <w:rPr>
                <w:color w:val="000000" w:themeColor="text1"/>
                <w:sz w:val="24"/>
              </w:rPr>
            </w:pPr>
            <w:r w:rsidRPr="00F7290F">
              <w:rPr>
                <w:b/>
                <w:i/>
                <w:color w:val="000000" w:themeColor="text1"/>
                <w:sz w:val="24"/>
              </w:rPr>
              <w:lastRenderedPageBreak/>
              <w:t>Культура та дозвілля</w:t>
            </w:r>
          </w:p>
        </w:tc>
      </w:tr>
      <w:tr w:rsidR="004968B0" w:rsidRPr="00F7290F" w:rsidTr="00791EFE">
        <w:tc>
          <w:tcPr>
            <w:tcW w:w="4361" w:type="dxa"/>
            <w:gridSpan w:val="5"/>
          </w:tcPr>
          <w:p w:rsidR="004968B0" w:rsidRPr="00F7290F" w:rsidRDefault="004968B0" w:rsidP="00D65D2E">
            <w:pPr>
              <w:pStyle w:val="aff2"/>
              <w:keepNext/>
              <w:widowControl w:val="0"/>
              <w:spacing w:after="60"/>
              <w:jc w:val="center"/>
              <w:rPr>
                <w:i/>
                <w:color w:val="000000" w:themeColor="text1"/>
                <w:lang w:val="uk-UA"/>
              </w:rPr>
            </w:pPr>
            <w:r w:rsidRPr="00F7290F">
              <w:rPr>
                <w:i/>
                <w:noProof/>
                <w:color w:val="000000" w:themeColor="text1"/>
              </w:rPr>
              <w:drawing>
                <wp:inline distT="0" distB="0" distL="0" distR="0">
                  <wp:extent cx="2732405" cy="1818005"/>
                  <wp:effectExtent l="19050" t="0" r="0" b="0"/>
                  <wp:docPr id="73" name="Рисунок 1" descr="foto_dob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oto_dob_09"/>
                          <pic:cNvPicPr>
                            <a:picLocks noChangeAspect="1" noChangeArrowheads="1"/>
                          </pic:cNvPicPr>
                        </pic:nvPicPr>
                        <pic:blipFill>
                          <a:blip r:embed="rId39"/>
                          <a:srcRect/>
                          <a:stretch>
                            <a:fillRect/>
                          </a:stretch>
                        </pic:blipFill>
                        <pic:spPr bwMode="auto">
                          <a:xfrm>
                            <a:off x="0" y="0"/>
                            <a:ext cx="2732405" cy="1818005"/>
                          </a:xfrm>
                          <a:prstGeom prst="rect">
                            <a:avLst/>
                          </a:prstGeom>
                          <a:noFill/>
                          <a:ln w="9525">
                            <a:noFill/>
                            <a:miter lim="800000"/>
                            <a:headEnd/>
                            <a:tailEnd/>
                          </a:ln>
                        </pic:spPr>
                      </pic:pic>
                    </a:graphicData>
                  </a:graphic>
                </wp:inline>
              </w:drawing>
            </w:r>
          </w:p>
        </w:tc>
        <w:tc>
          <w:tcPr>
            <w:tcW w:w="5670" w:type="dxa"/>
            <w:gridSpan w:val="7"/>
          </w:tcPr>
          <w:p w:rsidR="001043CE" w:rsidRPr="00F7290F" w:rsidRDefault="001043CE" w:rsidP="001043CE">
            <w:pPr>
              <w:pStyle w:val="43"/>
              <w:keepNext/>
              <w:widowControl w:val="0"/>
              <w:spacing w:after="60"/>
              <w:ind w:firstLine="567"/>
              <w:jc w:val="both"/>
              <w:rPr>
                <w:sz w:val="24"/>
              </w:rPr>
            </w:pPr>
            <w:r w:rsidRPr="00F7290F">
              <w:rPr>
                <w:sz w:val="24"/>
              </w:rPr>
              <w:t xml:space="preserve">В області діють 656 закладів культури клубного типу, 993 бібліотеки, 25 музеїв, 100 шкіл естетичного виховання дітей тощо. Працюють                   5 театрів, серед яких відомі в Україні та за її межами Донецький національний академічний театр опери та балету - ім. А.Б. Солов’яненка і </w:t>
            </w:r>
            <w:r w:rsidRPr="00F7290F">
              <w:rPr>
                <w:bCs/>
                <w:sz w:val="24"/>
                <w:szCs w:val="24"/>
              </w:rPr>
              <w:t>Донецький національний академічний український музично-драматичний театр</w:t>
            </w:r>
            <w:r w:rsidRPr="00F7290F">
              <w:rPr>
                <w:sz w:val="24"/>
              </w:rPr>
              <w:t>.</w:t>
            </w:r>
          </w:p>
          <w:p w:rsidR="004968B0" w:rsidRPr="00F7290F" w:rsidRDefault="001043CE" w:rsidP="001043CE">
            <w:pPr>
              <w:pStyle w:val="43"/>
              <w:keepNext/>
              <w:widowControl w:val="0"/>
              <w:spacing w:after="60"/>
              <w:ind w:firstLine="567"/>
              <w:jc w:val="both"/>
              <w:rPr>
                <w:color w:val="000000" w:themeColor="text1"/>
                <w:sz w:val="24"/>
              </w:rPr>
            </w:pPr>
            <w:r w:rsidRPr="00F7290F">
              <w:rPr>
                <w:sz w:val="24"/>
              </w:rPr>
              <w:t>Набули широкої популярності фестивалі «Зірки світового балету», «Золота корона», «Прокоф’євська весна» тощо.</w:t>
            </w:r>
          </w:p>
        </w:tc>
      </w:tr>
      <w:tr w:rsidR="004968B0" w:rsidRPr="00F7290F" w:rsidTr="00791EFE">
        <w:tc>
          <w:tcPr>
            <w:tcW w:w="10031" w:type="dxa"/>
            <w:gridSpan w:val="12"/>
          </w:tcPr>
          <w:p w:rsidR="004968B0" w:rsidRPr="00F7290F" w:rsidRDefault="001043CE" w:rsidP="00D65D2E">
            <w:pPr>
              <w:pStyle w:val="23"/>
              <w:keepNext/>
              <w:widowControl w:val="0"/>
              <w:ind w:firstLine="567"/>
              <w:rPr>
                <w:b/>
                <w:i/>
                <w:color w:val="000000" w:themeColor="text1"/>
                <w:spacing w:val="-6"/>
              </w:rPr>
            </w:pPr>
            <w:r w:rsidRPr="00F7290F">
              <w:rPr>
                <w:spacing w:val="-6"/>
              </w:rPr>
              <w:t>В області налічується 4,2 тис. пам’яток археології, історії,  монументального мистецтва, містобудування та архітектури. Серед них державний історико-архітектурний заповідник «Святі гори», меморіальний комплекс С.С.Прокоф’єва, меморіальний музей В.І.Немировича-Данченка.</w:t>
            </w:r>
          </w:p>
        </w:tc>
      </w:tr>
      <w:tr w:rsidR="004968B0" w:rsidRPr="00F7290F" w:rsidTr="00791EFE">
        <w:tc>
          <w:tcPr>
            <w:tcW w:w="10031" w:type="dxa"/>
            <w:gridSpan w:val="12"/>
          </w:tcPr>
          <w:p w:rsidR="004968B0" w:rsidRPr="00F7290F" w:rsidRDefault="004968B0" w:rsidP="00D65D2E">
            <w:pPr>
              <w:pStyle w:val="23"/>
              <w:keepNext/>
              <w:widowControl w:val="0"/>
              <w:spacing w:after="0"/>
              <w:ind w:firstLine="0"/>
              <w:jc w:val="center"/>
              <w:rPr>
                <w:color w:val="000000" w:themeColor="text1"/>
              </w:rPr>
            </w:pPr>
            <w:r w:rsidRPr="00F7290F">
              <w:rPr>
                <w:b/>
                <w:i/>
                <w:color w:val="000000" w:themeColor="text1"/>
              </w:rPr>
              <w:t>Фізична культура та спорт</w:t>
            </w:r>
          </w:p>
        </w:tc>
      </w:tr>
      <w:tr w:rsidR="004968B0" w:rsidRPr="00F7290F" w:rsidTr="00791EFE">
        <w:tc>
          <w:tcPr>
            <w:tcW w:w="4395" w:type="dxa"/>
            <w:gridSpan w:val="6"/>
          </w:tcPr>
          <w:p w:rsidR="001043CE" w:rsidRPr="00F7290F" w:rsidRDefault="001043CE" w:rsidP="001043CE">
            <w:pPr>
              <w:pStyle w:val="23"/>
              <w:keepNext/>
              <w:widowControl w:val="0"/>
              <w:spacing w:after="0"/>
              <w:ind w:firstLine="567"/>
              <w:rPr>
                <w:spacing w:val="-6"/>
              </w:rPr>
            </w:pPr>
            <w:r w:rsidRPr="00F7290F">
              <w:rPr>
                <w:spacing w:val="-6"/>
              </w:rPr>
              <w:t>В області функціонують 93 стадіони, у тому числі відомий в Україні та за її межами п’ятидесятитисячний стадіон «Донбас-Арена» категорії «Еліт»,                51 плавальний басейн, 1,5 тис. спортивних залів.</w:t>
            </w:r>
          </w:p>
          <w:p w:rsidR="004968B0" w:rsidRPr="00F7290F" w:rsidRDefault="001043CE" w:rsidP="001043CE">
            <w:pPr>
              <w:keepNext/>
              <w:widowControl w:val="0"/>
              <w:shd w:val="clear" w:color="auto" w:fill="FFFFFF"/>
              <w:spacing w:line="278" w:lineRule="exact"/>
              <w:ind w:firstLine="567"/>
              <w:jc w:val="both"/>
              <w:rPr>
                <w:color w:val="000000" w:themeColor="text1"/>
                <w:lang w:val="uk-UA"/>
              </w:rPr>
            </w:pPr>
            <w:r w:rsidRPr="00F7290F">
              <w:rPr>
                <w:spacing w:val="-6"/>
                <w:lang w:val="uk-UA"/>
              </w:rPr>
              <w:t>В 119 дитячо-юнацьких спортивних школах та спеціалізованій ДЮСШ олімпійського резерву займається 53,5 тис. осіб, у школі вищої спортивної майстерності – 450 осіб. Спортивно-реабілітаційну роботу серед інвалідів проводить Донецький обласний центр інвалідного спорту «Інваспорт», філії якого відкрито в 10 містах області.</w:t>
            </w:r>
            <w:r w:rsidRPr="00F7290F">
              <w:rPr>
                <w:lang w:val="uk-UA"/>
              </w:rPr>
              <w:t xml:space="preserve">  </w:t>
            </w:r>
          </w:p>
        </w:tc>
        <w:tc>
          <w:tcPr>
            <w:tcW w:w="5636" w:type="dxa"/>
            <w:gridSpan w:val="6"/>
          </w:tcPr>
          <w:p w:rsidR="004968B0" w:rsidRPr="00F7290F" w:rsidRDefault="004968B0" w:rsidP="00D65D2E">
            <w:pPr>
              <w:pStyle w:val="43"/>
              <w:keepNext/>
              <w:widowControl w:val="0"/>
              <w:spacing w:after="60"/>
              <w:ind w:firstLine="567"/>
              <w:jc w:val="both"/>
              <w:rPr>
                <w:color w:val="000000" w:themeColor="text1"/>
              </w:rPr>
            </w:pPr>
          </w:p>
          <w:p w:rsidR="004968B0" w:rsidRPr="00F7290F" w:rsidRDefault="004968B0" w:rsidP="00D65D2E">
            <w:pPr>
              <w:pStyle w:val="43"/>
              <w:keepNext/>
              <w:widowControl w:val="0"/>
              <w:spacing w:after="60"/>
              <w:jc w:val="both"/>
              <w:rPr>
                <w:color w:val="000000" w:themeColor="text1"/>
                <w:sz w:val="24"/>
                <w:szCs w:val="24"/>
              </w:rPr>
            </w:pPr>
            <w:r w:rsidRPr="00F7290F">
              <w:rPr>
                <w:noProof/>
                <w:snapToGrid/>
                <w:color w:val="000000" w:themeColor="text1"/>
                <w:lang w:val="ru-RU"/>
              </w:rPr>
              <w:drawing>
                <wp:inline distT="0" distB="0" distL="0" distR="0">
                  <wp:extent cx="3370580" cy="2243455"/>
                  <wp:effectExtent l="19050" t="0" r="1270" b="0"/>
                  <wp:docPr id="72" name="Рисунок 26" descr="Donbas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nbass-_0"/>
                          <pic:cNvPicPr>
                            <a:picLocks noChangeAspect="1" noChangeArrowheads="1"/>
                          </pic:cNvPicPr>
                        </pic:nvPicPr>
                        <pic:blipFill>
                          <a:blip r:embed="rId40"/>
                          <a:srcRect/>
                          <a:stretch>
                            <a:fillRect/>
                          </a:stretch>
                        </pic:blipFill>
                        <pic:spPr bwMode="auto">
                          <a:xfrm>
                            <a:off x="0" y="0"/>
                            <a:ext cx="3370580" cy="2243455"/>
                          </a:xfrm>
                          <a:prstGeom prst="rect">
                            <a:avLst/>
                          </a:prstGeom>
                          <a:noFill/>
                          <a:ln w="9525">
                            <a:noFill/>
                            <a:miter lim="800000"/>
                            <a:headEnd/>
                            <a:tailEnd/>
                          </a:ln>
                        </pic:spPr>
                      </pic:pic>
                    </a:graphicData>
                  </a:graphic>
                </wp:inline>
              </w:drawing>
            </w:r>
          </w:p>
        </w:tc>
      </w:tr>
      <w:tr w:rsidR="004968B0" w:rsidRPr="00F7290F" w:rsidTr="00791EFE">
        <w:tc>
          <w:tcPr>
            <w:tcW w:w="10031" w:type="dxa"/>
            <w:gridSpan w:val="12"/>
          </w:tcPr>
          <w:p w:rsidR="004968B0" w:rsidRPr="00F7290F" w:rsidRDefault="001043CE" w:rsidP="00D65D2E">
            <w:pPr>
              <w:keepNext/>
              <w:widowControl w:val="0"/>
              <w:shd w:val="clear" w:color="auto" w:fill="FFFFFF"/>
              <w:spacing w:after="60"/>
              <w:ind w:firstLine="636"/>
              <w:rPr>
                <w:b/>
                <w:i/>
                <w:color w:val="000000" w:themeColor="text1"/>
                <w:lang w:val="uk-UA"/>
              </w:rPr>
            </w:pPr>
            <w:r w:rsidRPr="00F7290F">
              <w:rPr>
                <w:lang w:val="uk-UA"/>
              </w:rPr>
              <w:t>Активно діє обласний центр фізичного здоров’я населення «Спорт для всіх». В області до систематичних занять фізичною культурою і спортом залучено  741,7 тис. осіб.</w:t>
            </w:r>
          </w:p>
        </w:tc>
      </w:tr>
      <w:tr w:rsidR="004968B0" w:rsidRPr="00F7290F" w:rsidTr="00791EFE">
        <w:tc>
          <w:tcPr>
            <w:tcW w:w="10031" w:type="dxa"/>
            <w:gridSpan w:val="12"/>
          </w:tcPr>
          <w:p w:rsidR="004968B0" w:rsidRPr="00F7290F" w:rsidRDefault="004968B0" w:rsidP="00D65D2E">
            <w:pPr>
              <w:keepNext/>
              <w:widowControl w:val="0"/>
              <w:shd w:val="clear" w:color="auto" w:fill="FFFFFF"/>
              <w:jc w:val="center"/>
              <w:rPr>
                <w:b/>
                <w:color w:val="000000" w:themeColor="text1"/>
                <w:lang w:val="uk-UA"/>
              </w:rPr>
            </w:pPr>
            <w:r w:rsidRPr="00F7290F">
              <w:rPr>
                <w:b/>
                <w:i/>
                <w:color w:val="000000" w:themeColor="text1"/>
                <w:lang w:val="uk-UA"/>
              </w:rPr>
              <w:t>Туризм</w:t>
            </w:r>
          </w:p>
        </w:tc>
      </w:tr>
      <w:tr w:rsidR="004968B0" w:rsidRPr="008E4FA0" w:rsidTr="00791EFE">
        <w:tc>
          <w:tcPr>
            <w:tcW w:w="4503" w:type="dxa"/>
            <w:gridSpan w:val="7"/>
          </w:tcPr>
          <w:p w:rsidR="004968B0" w:rsidRPr="00F7290F" w:rsidRDefault="004968B0" w:rsidP="00D65D2E">
            <w:pPr>
              <w:keepNext/>
              <w:widowControl w:val="0"/>
              <w:shd w:val="clear" w:color="auto" w:fill="FFFFFF"/>
              <w:spacing w:after="60"/>
              <w:rPr>
                <w:noProof/>
                <w:color w:val="000000" w:themeColor="text1"/>
                <w:sz w:val="4"/>
                <w:szCs w:val="4"/>
                <w:lang w:val="uk-UA"/>
              </w:rPr>
            </w:pPr>
          </w:p>
          <w:p w:rsidR="004968B0" w:rsidRPr="00F7290F" w:rsidRDefault="004968B0" w:rsidP="00D65D2E">
            <w:pPr>
              <w:keepNext/>
              <w:widowControl w:val="0"/>
              <w:shd w:val="clear" w:color="auto" w:fill="FFFFFF"/>
              <w:spacing w:after="60"/>
              <w:jc w:val="center"/>
              <w:rPr>
                <w:b/>
                <w:color w:val="000000" w:themeColor="text1"/>
                <w:lang w:val="uk-UA"/>
              </w:rPr>
            </w:pPr>
            <w:r w:rsidRPr="00F7290F">
              <w:rPr>
                <w:noProof/>
                <w:color w:val="000000" w:themeColor="text1"/>
              </w:rPr>
              <w:drawing>
                <wp:inline distT="0" distB="0" distL="0" distR="0">
                  <wp:extent cx="2806700" cy="1849755"/>
                  <wp:effectExtent l="19050" t="0" r="0" b="0"/>
                  <wp:docPr id="67" name="Рисунок 27" descr="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136"/>
                          <pic:cNvPicPr>
                            <a:picLocks noChangeAspect="1" noChangeArrowheads="1"/>
                          </pic:cNvPicPr>
                        </pic:nvPicPr>
                        <pic:blipFill>
                          <a:blip r:embed="rId41"/>
                          <a:srcRect/>
                          <a:stretch>
                            <a:fillRect/>
                          </a:stretch>
                        </pic:blipFill>
                        <pic:spPr bwMode="auto">
                          <a:xfrm>
                            <a:off x="0" y="0"/>
                            <a:ext cx="2806700" cy="1849755"/>
                          </a:xfrm>
                          <a:prstGeom prst="rect">
                            <a:avLst/>
                          </a:prstGeom>
                          <a:noFill/>
                          <a:ln w="9525">
                            <a:noFill/>
                            <a:miter lim="800000"/>
                            <a:headEnd/>
                            <a:tailEnd/>
                          </a:ln>
                        </pic:spPr>
                      </pic:pic>
                    </a:graphicData>
                  </a:graphic>
                </wp:inline>
              </w:drawing>
            </w:r>
          </w:p>
        </w:tc>
        <w:tc>
          <w:tcPr>
            <w:tcW w:w="5528" w:type="dxa"/>
            <w:gridSpan w:val="5"/>
          </w:tcPr>
          <w:p w:rsidR="004968B0" w:rsidRPr="00F7290F" w:rsidRDefault="001043CE" w:rsidP="00D65D2E">
            <w:pPr>
              <w:keepNext/>
              <w:widowControl w:val="0"/>
              <w:ind w:firstLine="567"/>
              <w:jc w:val="both"/>
              <w:rPr>
                <w:color w:val="000000" w:themeColor="text1"/>
                <w:lang w:val="uk-UA"/>
              </w:rPr>
            </w:pPr>
            <w:r w:rsidRPr="00F7290F">
              <w:rPr>
                <w:lang w:val="uk-UA"/>
              </w:rPr>
              <w:t xml:space="preserve">Регіон має сприятливі умови для оздоровчо-рекреаційного туризму. В межах області знаходиться майже </w:t>
            </w:r>
            <w:smartTag w:uri="urn:schemas-microsoft-com:office:smarttags" w:element="metricconverter">
              <w:smartTagPr>
                <w:attr w:name="ProductID" w:val="110 км"/>
              </w:smartTagPr>
              <w:r w:rsidRPr="00F7290F">
                <w:rPr>
                  <w:lang w:val="uk-UA"/>
                </w:rPr>
                <w:t>110 км</w:t>
              </w:r>
            </w:smartTag>
            <w:r w:rsidRPr="00F7290F">
              <w:rPr>
                <w:lang w:val="uk-UA"/>
              </w:rPr>
              <w:t xml:space="preserve"> узбережжя Азовського моря  з унікальними мілководними піщаними пляжами, розвинута мережа природно-заповідного фонду, до якої входять: Український степовий природний заповідник, національні природні парки «Святі Гори», «Меотида», Донецький ботанічний сад НАН України загальнодержавного значення, регіональні ландшафтні парки «Клебан-Бик», «Донецький кряж», «Меотида», «Краматорський», «Зуївський», «Слов`янський курорт» тощо.</w:t>
            </w:r>
          </w:p>
        </w:tc>
      </w:tr>
      <w:tr w:rsidR="004968B0" w:rsidRPr="008E4FA0" w:rsidTr="00791EFE">
        <w:tc>
          <w:tcPr>
            <w:tcW w:w="10031" w:type="dxa"/>
            <w:gridSpan w:val="12"/>
          </w:tcPr>
          <w:p w:rsidR="004968B0" w:rsidRPr="00F7290F" w:rsidRDefault="001043CE" w:rsidP="00D65D2E">
            <w:pPr>
              <w:pStyle w:val="31"/>
              <w:keepNext/>
              <w:widowControl w:val="0"/>
              <w:spacing w:after="60"/>
              <w:ind w:left="0" w:firstLine="567"/>
              <w:jc w:val="both"/>
              <w:rPr>
                <w:color w:val="000000" w:themeColor="text1"/>
                <w:sz w:val="24"/>
                <w:szCs w:val="24"/>
                <w:lang w:val="uk-UA"/>
              </w:rPr>
            </w:pPr>
            <w:r w:rsidRPr="00F7290F">
              <w:rPr>
                <w:sz w:val="24"/>
                <w:szCs w:val="24"/>
                <w:lang w:val="uk-UA"/>
              </w:rPr>
              <w:t>Індустрію туризму в регіоні представляють 332 санаторно-курортні і оздоровчі заклади,          140 підприємств готельного типу, 404 суб’єкти туристичної діяльності, які здійснювали підприємницьку діяльність.</w:t>
            </w:r>
          </w:p>
        </w:tc>
      </w:tr>
    </w:tbl>
    <w:p w:rsidR="004968B0" w:rsidRPr="00F7290F" w:rsidRDefault="004968B0" w:rsidP="00D65D2E">
      <w:pPr>
        <w:pStyle w:val="aff2"/>
        <w:keepNext/>
        <w:widowControl w:val="0"/>
        <w:spacing w:after="60"/>
        <w:rPr>
          <w:color w:val="000000" w:themeColor="text1"/>
          <w:sz w:val="2"/>
          <w:szCs w:val="2"/>
          <w:lang w:val="uk-UA"/>
        </w:rPr>
      </w:pPr>
    </w:p>
    <w:p w:rsidR="00C821F3" w:rsidRPr="00F7290F" w:rsidRDefault="00C821F3" w:rsidP="00D65D2E">
      <w:pPr>
        <w:keepNext/>
        <w:widowControl w:val="0"/>
        <w:rPr>
          <w:b/>
          <w:color w:val="000000" w:themeColor="text1"/>
          <w:sz w:val="28"/>
          <w:szCs w:val="28"/>
          <w:lang w:val="uk-UA"/>
        </w:rPr>
      </w:pPr>
    </w:p>
    <w:p w:rsidR="001F5241" w:rsidRPr="000B6A58" w:rsidRDefault="001F5241" w:rsidP="00D65D2E">
      <w:pPr>
        <w:keepNext/>
        <w:widowControl w:val="0"/>
        <w:tabs>
          <w:tab w:val="left" w:pos="959"/>
        </w:tabs>
        <w:spacing w:after="120"/>
        <w:ind w:left="108"/>
        <w:jc w:val="center"/>
        <w:rPr>
          <w:b/>
          <w:color w:val="000000" w:themeColor="text1"/>
          <w:sz w:val="28"/>
          <w:szCs w:val="28"/>
          <w:lang w:val="uk-UA"/>
        </w:rPr>
      </w:pPr>
      <w:r w:rsidRPr="000B6A58">
        <w:rPr>
          <w:b/>
          <w:color w:val="000000" w:themeColor="text1"/>
          <w:sz w:val="28"/>
          <w:szCs w:val="28"/>
          <w:lang w:val="uk-UA"/>
        </w:rPr>
        <w:lastRenderedPageBreak/>
        <w:t>1.2.</w:t>
      </w:r>
      <w:r w:rsidRPr="000B6A58">
        <w:rPr>
          <w:b/>
          <w:color w:val="000000" w:themeColor="text1"/>
          <w:sz w:val="28"/>
          <w:szCs w:val="28"/>
          <w:lang w:val="uk-UA"/>
        </w:rPr>
        <w:tab/>
        <w:t>Тенденції соціально-економічного розвитку</w:t>
      </w:r>
    </w:p>
    <w:tbl>
      <w:tblPr>
        <w:tblW w:w="9961" w:type="dxa"/>
        <w:tblInd w:w="-72" w:type="dxa"/>
        <w:tblLayout w:type="fixed"/>
        <w:tblLook w:val="01E0"/>
      </w:tblPr>
      <w:tblGrid>
        <w:gridCol w:w="6120"/>
        <w:gridCol w:w="14"/>
        <w:gridCol w:w="3827"/>
      </w:tblGrid>
      <w:tr w:rsidR="004F649D" w:rsidRPr="00F7290F" w:rsidTr="00D001EF">
        <w:trPr>
          <w:trHeight w:val="366"/>
        </w:trPr>
        <w:tc>
          <w:tcPr>
            <w:tcW w:w="6120" w:type="dxa"/>
            <w:vAlign w:val="center"/>
          </w:tcPr>
          <w:p w:rsidR="004F649D" w:rsidRPr="00F7290F" w:rsidRDefault="004F649D" w:rsidP="00D65D2E">
            <w:pPr>
              <w:keepNext/>
              <w:widowControl w:val="0"/>
              <w:jc w:val="center"/>
              <w:rPr>
                <w:b/>
                <w:color w:val="000000" w:themeColor="text1"/>
                <w:lang w:val="uk-UA"/>
              </w:rPr>
            </w:pPr>
            <w:r w:rsidRPr="00F7290F">
              <w:rPr>
                <w:b/>
                <w:color w:val="000000" w:themeColor="text1"/>
                <w:lang w:val="uk-UA"/>
              </w:rPr>
              <w:t xml:space="preserve">Чисельність постійного населення, </w:t>
            </w:r>
          </w:p>
          <w:p w:rsidR="004F649D" w:rsidRPr="00F7290F" w:rsidRDefault="004F649D" w:rsidP="00D65D2E">
            <w:pPr>
              <w:keepNext/>
              <w:widowControl w:val="0"/>
              <w:jc w:val="center"/>
              <w:rPr>
                <w:b/>
                <w:color w:val="FF0000"/>
                <w:lang w:val="uk-UA"/>
              </w:rPr>
            </w:pPr>
            <w:r w:rsidRPr="00F7290F">
              <w:rPr>
                <w:b/>
                <w:color w:val="000000" w:themeColor="text1"/>
                <w:lang w:val="uk-UA"/>
              </w:rPr>
              <w:t>народжуваність та смертність, тис.чол.</w:t>
            </w:r>
          </w:p>
        </w:tc>
        <w:tc>
          <w:tcPr>
            <w:tcW w:w="3841" w:type="dxa"/>
            <w:gridSpan w:val="2"/>
            <w:vMerge w:val="restart"/>
          </w:tcPr>
          <w:p w:rsidR="004F649D" w:rsidRPr="00F7290F" w:rsidRDefault="004F649D" w:rsidP="00D65D2E">
            <w:pPr>
              <w:keepNext/>
              <w:widowControl w:val="0"/>
              <w:ind w:firstLine="284"/>
              <w:jc w:val="both"/>
              <w:rPr>
                <w:color w:val="FF0000"/>
                <w:lang w:val="uk-UA"/>
              </w:rPr>
            </w:pPr>
          </w:p>
          <w:p w:rsidR="001545FC" w:rsidRPr="00F7290F" w:rsidRDefault="001545FC" w:rsidP="001545FC">
            <w:pPr>
              <w:keepNext/>
              <w:widowControl w:val="0"/>
              <w:ind w:firstLine="284"/>
              <w:jc w:val="both"/>
              <w:rPr>
                <w:lang w:val="uk-UA"/>
              </w:rPr>
            </w:pPr>
            <w:r w:rsidRPr="00F7290F">
              <w:rPr>
                <w:lang w:val="uk-UA"/>
              </w:rPr>
              <w:t xml:space="preserve">Середня очікувана тривалість життя при народженні у 2011 році складає 69,6 років, проти 66,4 у          2005 році. </w:t>
            </w:r>
          </w:p>
          <w:p w:rsidR="004F649D" w:rsidRPr="00F7290F" w:rsidRDefault="004F649D" w:rsidP="00D65D2E">
            <w:pPr>
              <w:keepNext/>
              <w:widowControl w:val="0"/>
              <w:ind w:firstLine="284"/>
              <w:jc w:val="both"/>
              <w:rPr>
                <w:color w:val="FF0000"/>
                <w:lang w:val="uk-UA"/>
              </w:rPr>
            </w:pPr>
          </w:p>
        </w:tc>
      </w:tr>
      <w:tr w:rsidR="004F649D" w:rsidRPr="00F7290F" w:rsidTr="00D001EF">
        <w:trPr>
          <w:trHeight w:val="366"/>
        </w:trPr>
        <w:tc>
          <w:tcPr>
            <w:tcW w:w="6120" w:type="dxa"/>
            <w:vAlign w:val="center"/>
          </w:tcPr>
          <w:p w:rsidR="004F649D" w:rsidRPr="00F7290F" w:rsidRDefault="004F649D" w:rsidP="00D65D2E">
            <w:pPr>
              <w:keepNext/>
              <w:widowControl w:val="0"/>
              <w:jc w:val="center"/>
              <w:rPr>
                <w:b/>
                <w:color w:val="FF0000"/>
                <w:lang w:val="uk-UA"/>
              </w:rPr>
            </w:pPr>
            <w:r w:rsidRPr="00F7290F">
              <w:rPr>
                <w:b/>
                <w:noProof/>
                <w:color w:val="FF0000"/>
              </w:rPr>
              <w:drawing>
                <wp:inline distT="0" distB="0" distL="0" distR="0">
                  <wp:extent cx="3676650" cy="1676400"/>
                  <wp:effectExtent l="0" t="0" r="0" b="0"/>
                  <wp:docPr id="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841" w:type="dxa"/>
            <w:gridSpan w:val="2"/>
            <w:vMerge/>
          </w:tcPr>
          <w:p w:rsidR="004F649D" w:rsidRPr="00F7290F" w:rsidRDefault="004F649D" w:rsidP="00D65D2E">
            <w:pPr>
              <w:keepNext/>
              <w:widowControl w:val="0"/>
              <w:ind w:firstLine="284"/>
              <w:jc w:val="both"/>
              <w:rPr>
                <w:color w:val="FF0000"/>
                <w:lang w:val="uk-UA"/>
              </w:rPr>
            </w:pPr>
          </w:p>
        </w:tc>
      </w:tr>
      <w:tr w:rsidR="00D001EF" w:rsidRPr="00F7290F" w:rsidTr="00D001EF">
        <w:trPr>
          <w:trHeight w:val="366"/>
        </w:trPr>
        <w:tc>
          <w:tcPr>
            <w:tcW w:w="6120" w:type="dxa"/>
            <w:vAlign w:val="center"/>
          </w:tcPr>
          <w:p w:rsidR="00D001EF" w:rsidRPr="00F7290F" w:rsidRDefault="00D001EF" w:rsidP="00D65D2E">
            <w:pPr>
              <w:keepNext/>
              <w:widowControl w:val="0"/>
              <w:jc w:val="center"/>
              <w:rPr>
                <w:b/>
                <w:color w:val="000000" w:themeColor="text1"/>
                <w:lang w:val="uk-UA"/>
              </w:rPr>
            </w:pPr>
            <w:r w:rsidRPr="00F7290F">
              <w:rPr>
                <w:b/>
                <w:color w:val="000000" w:themeColor="text1"/>
                <w:lang w:val="uk-UA"/>
              </w:rPr>
              <w:t>Сальдо міграції, чол.</w:t>
            </w:r>
          </w:p>
        </w:tc>
        <w:tc>
          <w:tcPr>
            <w:tcW w:w="3841" w:type="dxa"/>
            <w:gridSpan w:val="2"/>
            <w:vMerge w:val="restart"/>
          </w:tcPr>
          <w:p w:rsidR="00D001EF" w:rsidRPr="00F7290F" w:rsidRDefault="00D001EF" w:rsidP="00D65D2E">
            <w:pPr>
              <w:keepNext/>
              <w:widowControl w:val="0"/>
              <w:ind w:firstLine="284"/>
              <w:jc w:val="both"/>
              <w:rPr>
                <w:color w:val="FF0000"/>
                <w:lang w:val="uk-UA"/>
              </w:rPr>
            </w:pPr>
          </w:p>
          <w:p w:rsidR="00D001EF" w:rsidRPr="00F7290F" w:rsidRDefault="006B50B4" w:rsidP="00D65D2E">
            <w:pPr>
              <w:keepNext/>
              <w:widowControl w:val="0"/>
              <w:ind w:firstLine="284"/>
              <w:jc w:val="both"/>
              <w:rPr>
                <w:color w:val="FF0000"/>
                <w:lang w:val="uk-UA"/>
              </w:rPr>
            </w:pPr>
            <w:r w:rsidRPr="00F7290F">
              <w:rPr>
                <w:lang w:val="uk-UA"/>
              </w:rPr>
              <w:t>Втрачати населення через міграцію Донецька область почала з 1993 року. Прямі міграційні втрати регіону за цей період склали 133,4 тис. осіб, або 13,5% загального скорочення чисельності населення.</w:t>
            </w:r>
          </w:p>
        </w:tc>
      </w:tr>
      <w:tr w:rsidR="00D001EF" w:rsidRPr="00F7290F" w:rsidTr="00D001EF">
        <w:trPr>
          <w:trHeight w:val="366"/>
        </w:trPr>
        <w:tc>
          <w:tcPr>
            <w:tcW w:w="6120" w:type="dxa"/>
            <w:vAlign w:val="center"/>
          </w:tcPr>
          <w:p w:rsidR="00D001EF" w:rsidRPr="00F7290F" w:rsidRDefault="00D001EF" w:rsidP="00D65D2E">
            <w:pPr>
              <w:keepNext/>
              <w:widowControl w:val="0"/>
              <w:jc w:val="center"/>
              <w:rPr>
                <w:b/>
                <w:color w:val="FF0000"/>
                <w:lang w:val="uk-UA"/>
              </w:rPr>
            </w:pPr>
            <w:r w:rsidRPr="00F7290F">
              <w:rPr>
                <w:b/>
                <w:noProof/>
                <w:color w:val="FF0000"/>
              </w:rPr>
              <w:drawing>
                <wp:inline distT="0" distB="0" distL="0" distR="0">
                  <wp:extent cx="3179135" cy="1531089"/>
                  <wp:effectExtent l="0" t="0" r="0" b="0"/>
                  <wp:docPr id="49"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841" w:type="dxa"/>
            <w:gridSpan w:val="2"/>
            <w:vMerge/>
          </w:tcPr>
          <w:p w:rsidR="00D001EF" w:rsidRPr="00F7290F" w:rsidRDefault="00D001EF" w:rsidP="00D65D2E">
            <w:pPr>
              <w:keepNext/>
              <w:widowControl w:val="0"/>
              <w:ind w:firstLine="284"/>
              <w:jc w:val="both"/>
              <w:rPr>
                <w:color w:val="FF0000"/>
                <w:lang w:val="uk-UA"/>
              </w:rPr>
            </w:pPr>
          </w:p>
        </w:tc>
      </w:tr>
      <w:tr w:rsidR="009354A8" w:rsidRPr="00F7290F" w:rsidTr="00D001EF">
        <w:trPr>
          <w:trHeight w:val="335"/>
        </w:trPr>
        <w:tc>
          <w:tcPr>
            <w:tcW w:w="6134" w:type="dxa"/>
            <w:gridSpan w:val="2"/>
          </w:tcPr>
          <w:p w:rsidR="009354A8" w:rsidRPr="00F7290F" w:rsidRDefault="009354A8" w:rsidP="00D65D2E">
            <w:pPr>
              <w:keepNext/>
              <w:widowControl w:val="0"/>
              <w:spacing w:before="120"/>
              <w:jc w:val="center"/>
              <w:rPr>
                <w:b/>
                <w:color w:val="000000" w:themeColor="text1"/>
                <w:lang w:val="uk-UA"/>
              </w:rPr>
            </w:pPr>
            <w:r w:rsidRPr="00F7290F">
              <w:rPr>
                <w:color w:val="FF0000"/>
                <w:lang w:val="uk-UA"/>
              </w:rPr>
              <w:br w:type="page"/>
            </w:r>
            <w:r w:rsidRPr="00F7290F">
              <w:rPr>
                <w:b/>
                <w:color w:val="000000" w:themeColor="text1"/>
                <w:lang w:val="uk-UA"/>
              </w:rPr>
              <w:t xml:space="preserve">Динаміка середньомісячної заробітної плати </w:t>
            </w:r>
          </w:p>
          <w:p w:rsidR="009354A8" w:rsidRPr="00F7290F" w:rsidRDefault="009354A8" w:rsidP="00D65D2E">
            <w:pPr>
              <w:keepNext/>
              <w:widowControl w:val="0"/>
              <w:jc w:val="center"/>
              <w:rPr>
                <w:b/>
                <w:bCs/>
                <w:color w:val="FF0000"/>
                <w:lang w:val="uk-UA"/>
              </w:rPr>
            </w:pPr>
            <w:r w:rsidRPr="00F7290F">
              <w:rPr>
                <w:b/>
                <w:color w:val="000000" w:themeColor="text1"/>
                <w:lang w:val="uk-UA"/>
              </w:rPr>
              <w:t>та заборгованості з виплати заробітної плати</w:t>
            </w:r>
          </w:p>
        </w:tc>
        <w:tc>
          <w:tcPr>
            <w:tcW w:w="3827" w:type="dxa"/>
            <w:vMerge w:val="restart"/>
          </w:tcPr>
          <w:p w:rsidR="006B50B4" w:rsidRPr="00F7290F" w:rsidRDefault="006B50B4" w:rsidP="006B50B4">
            <w:pPr>
              <w:keepNext/>
              <w:widowControl w:val="0"/>
              <w:ind w:firstLine="284"/>
              <w:jc w:val="both"/>
              <w:rPr>
                <w:spacing w:val="-4"/>
                <w:lang w:val="uk-UA"/>
              </w:rPr>
            </w:pPr>
          </w:p>
          <w:p w:rsidR="006B50B4" w:rsidRPr="00F7290F" w:rsidRDefault="006B50B4" w:rsidP="006B50B4">
            <w:pPr>
              <w:keepNext/>
              <w:widowControl w:val="0"/>
              <w:ind w:firstLine="284"/>
              <w:jc w:val="both"/>
              <w:rPr>
                <w:spacing w:val="-4"/>
                <w:lang w:val="uk-UA"/>
              </w:rPr>
            </w:pPr>
          </w:p>
          <w:p w:rsidR="006B50B4" w:rsidRPr="00F7290F" w:rsidRDefault="006B50B4" w:rsidP="006B50B4">
            <w:pPr>
              <w:keepNext/>
              <w:widowControl w:val="0"/>
              <w:ind w:firstLine="284"/>
              <w:jc w:val="both"/>
              <w:rPr>
                <w:spacing w:val="-4"/>
                <w:lang w:val="uk-UA"/>
              </w:rPr>
            </w:pPr>
            <w:r w:rsidRPr="00F7290F">
              <w:rPr>
                <w:spacing w:val="-4"/>
                <w:lang w:val="uk-UA"/>
              </w:rPr>
              <w:t>Середньомісячна заробітна плата одного штатного працівника збільшиться на 7,3%.</w:t>
            </w:r>
          </w:p>
          <w:p w:rsidR="006B50B4" w:rsidRPr="00F7290F" w:rsidRDefault="006B50B4" w:rsidP="006B50B4">
            <w:pPr>
              <w:pStyle w:val="31"/>
              <w:keepNext/>
              <w:widowControl w:val="0"/>
              <w:spacing w:after="0"/>
              <w:ind w:left="0" w:firstLine="284"/>
              <w:jc w:val="both"/>
              <w:rPr>
                <w:spacing w:val="-6"/>
                <w:sz w:val="24"/>
                <w:szCs w:val="24"/>
                <w:lang w:val="uk-UA"/>
              </w:rPr>
            </w:pPr>
            <w:r w:rsidRPr="00F7290F">
              <w:rPr>
                <w:spacing w:val="-6"/>
                <w:sz w:val="24"/>
                <w:szCs w:val="24"/>
                <w:lang w:val="uk-UA"/>
              </w:rPr>
              <w:t>Заборгованість з виплати заро</w:t>
            </w:r>
            <w:r w:rsidRPr="00F7290F">
              <w:rPr>
                <w:spacing w:val="-6"/>
                <w:sz w:val="24"/>
                <w:szCs w:val="24"/>
                <w:lang w:val="uk-UA"/>
              </w:rPr>
              <w:softHyphen/>
              <w:t>бітної плати працівникам еконо</w:t>
            </w:r>
            <w:r w:rsidRPr="00F7290F">
              <w:rPr>
                <w:spacing w:val="-6"/>
                <w:sz w:val="24"/>
                <w:szCs w:val="24"/>
                <w:lang w:val="uk-UA"/>
              </w:rPr>
              <w:softHyphen/>
              <w:t xml:space="preserve">мічно активних підприємств станом на 01.01.2013 склала  79,5  млн.грн. (з початку року зменшення на         5,5 млн.грн., або на 6,5%).   </w:t>
            </w:r>
          </w:p>
          <w:p w:rsidR="009354A8" w:rsidRPr="00F7290F" w:rsidRDefault="009354A8" w:rsidP="00D65D2E">
            <w:pPr>
              <w:pStyle w:val="31"/>
              <w:keepNext/>
              <w:widowControl w:val="0"/>
              <w:spacing w:after="0"/>
              <w:ind w:left="0" w:firstLine="284"/>
              <w:jc w:val="both"/>
              <w:rPr>
                <w:color w:val="FF0000"/>
                <w:spacing w:val="-4"/>
                <w:sz w:val="24"/>
                <w:szCs w:val="24"/>
                <w:lang w:val="uk-UA"/>
              </w:rPr>
            </w:pPr>
            <w:r w:rsidRPr="00F7290F">
              <w:rPr>
                <w:color w:val="FF0000"/>
                <w:spacing w:val="-4"/>
                <w:sz w:val="24"/>
                <w:szCs w:val="24"/>
                <w:lang w:val="uk-UA"/>
              </w:rPr>
              <w:t xml:space="preserve">      </w:t>
            </w:r>
          </w:p>
          <w:p w:rsidR="009354A8" w:rsidRPr="00F7290F" w:rsidRDefault="009354A8" w:rsidP="00D65D2E">
            <w:pPr>
              <w:keepNext/>
              <w:widowControl w:val="0"/>
              <w:spacing w:after="60"/>
              <w:ind w:firstLine="284"/>
              <w:jc w:val="both"/>
              <w:rPr>
                <w:color w:val="FF0000"/>
                <w:sz w:val="2"/>
                <w:szCs w:val="2"/>
                <w:lang w:val="uk-UA"/>
              </w:rPr>
            </w:pPr>
          </w:p>
        </w:tc>
      </w:tr>
      <w:tr w:rsidR="009354A8" w:rsidRPr="00F7290F" w:rsidTr="000941F8">
        <w:trPr>
          <w:trHeight w:val="2877"/>
        </w:trPr>
        <w:tc>
          <w:tcPr>
            <w:tcW w:w="6134" w:type="dxa"/>
            <w:gridSpan w:val="2"/>
          </w:tcPr>
          <w:p w:rsidR="009354A8" w:rsidRPr="00F7290F" w:rsidRDefault="009354A8" w:rsidP="00D65D2E">
            <w:pPr>
              <w:keepNext/>
              <w:widowControl w:val="0"/>
              <w:jc w:val="center"/>
              <w:rPr>
                <w:b/>
                <w:bCs/>
                <w:color w:val="FF0000"/>
                <w:lang w:val="uk-UA"/>
              </w:rPr>
            </w:pPr>
            <w:r w:rsidRPr="00F7290F">
              <w:rPr>
                <w:b/>
                <w:noProof/>
                <w:color w:val="FF0000"/>
              </w:rPr>
              <w:drawing>
                <wp:inline distT="0" distB="0" distL="0" distR="0">
                  <wp:extent cx="3790950" cy="1743075"/>
                  <wp:effectExtent l="0" t="0" r="0" b="0"/>
                  <wp:docPr id="5" name="Объект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827" w:type="dxa"/>
            <w:vMerge/>
            <w:vAlign w:val="center"/>
          </w:tcPr>
          <w:p w:rsidR="009354A8" w:rsidRPr="00F7290F" w:rsidRDefault="009354A8" w:rsidP="00D65D2E">
            <w:pPr>
              <w:keepNext/>
              <w:widowControl w:val="0"/>
              <w:rPr>
                <w:color w:val="FF0000"/>
                <w:sz w:val="2"/>
                <w:szCs w:val="2"/>
                <w:lang w:val="uk-UA"/>
              </w:rPr>
            </w:pPr>
          </w:p>
        </w:tc>
      </w:tr>
      <w:tr w:rsidR="009354A8" w:rsidRPr="00F7290F" w:rsidTr="00D001EF">
        <w:trPr>
          <w:trHeight w:val="559"/>
        </w:trPr>
        <w:tc>
          <w:tcPr>
            <w:tcW w:w="6134" w:type="dxa"/>
            <w:gridSpan w:val="2"/>
          </w:tcPr>
          <w:p w:rsidR="009354A8" w:rsidRPr="00F7290F" w:rsidRDefault="009354A8" w:rsidP="00D65D2E">
            <w:pPr>
              <w:keepNext/>
              <w:widowControl w:val="0"/>
              <w:jc w:val="center"/>
              <w:rPr>
                <w:b/>
                <w:bCs/>
                <w:color w:val="000000" w:themeColor="text1"/>
                <w:lang w:val="uk-UA"/>
              </w:rPr>
            </w:pPr>
            <w:r w:rsidRPr="00F7290F">
              <w:rPr>
                <w:b/>
                <w:bCs/>
                <w:color w:val="000000" w:themeColor="text1"/>
                <w:lang w:val="uk-UA"/>
              </w:rPr>
              <w:t xml:space="preserve">Динаміка чисельності пенсіонерів та </w:t>
            </w:r>
          </w:p>
          <w:p w:rsidR="009354A8" w:rsidRPr="00F7290F" w:rsidRDefault="009354A8" w:rsidP="00D65D2E">
            <w:pPr>
              <w:keepNext/>
              <w:widowControl w:val="0"/>
              <w:jc w:val="center"/>
              <w:rPr>
                <w:b/>
                <w:bCs/>
                <w:color w:val="000000" w:themeColor="text1"/>
                <w:lang w:val="uk-UA"/>
              </w:rPr>
            </w:pPr>
            <w:r w:rsidRPr="00F7290F">
              <w:rPr>
                <w:b/>
                <w:bCs/>
                <w:color w:val="000000" w:themeColor="text1"/>
                <w:lang w:val="uk-UA"/>
              </w:rPr>
              <w:t>середньомісячного розміру пенсії, грн.</w:t>
            </w:r>
          </w:p>
        </w:tc>
        <w:tc>
          <w:tcPr>
            <w:tcW w:w="3827" w:type="dxa"/>
            <w:vMerge w:val="restart"/>
          </w:tcPr>
          <w:p w:rsidR="00C406F9" w:rsidRPr="00F7290F" w:rsidRDefault="00C406F9" w:rsidP="00D65D2E">
            <w:pPr>
              <w:keepNext/>
              <w:widowControl w:val="0"/>
              <w:ind w:firstLine="284"/>
              <w:jc w:val="both"/>
              <w:rPr>
                <w:color w:val="000000" w:themeColor="text1"/>
                <w:lang w:val="uk-UA"/>
              </w:rPr>
            </w:pPr>
            <w:r w:rsidRPr="00F7290F">
              <w:rPr>
                <w:color w:val="000000" w:themeColor="text1"/>
                <w:lang w:val="uk-UA"/>
              </w:rPr>
              <w:t xml:space="preserve">Надходження власних доходів до бюджету Пенсійного фонду України у 2012 році </w:t>
            </w:r>
            <w:r w:rsidR="00161D1E" w:rsidRPr="00F7290F">
              <w:rPr>
                <w:color w:val="000000" w:themeColor="text1"/>
                <w:lang w:val="uk-UA"/>
              </w:rPr>
              <w:t>зросли</w:t>
            </w:r>
            <w:r w:rsidRPr="00F7290F">
              <w:rPr>
                <w:color w:val="000000" w:themeColor="text1"/>
                <w:lang w:val="uk-UA"/>
              </w:rPr>
              <w:t xml:space="preserve"> на 13</w:t>
            </w:r>
            <w:r w:rsidR="00161D1E" w:rsidRPr="00F7290F">
              <w:rPr>
                <w:color w:val="000000" w:themeColor="text1"/>
                <w:lang w:val="uk-UA"/>
              </w:rPr>
              <w:t>,0</w:t>
            </w:r>
            <w:r w:rsidRPr="00F7290F">
              <w:rPr>
                <w:color w:val="000000" w:themeColor="text1"/>
                <w:lang w:val="uk-UA"/>
              </w:rPr>
              <w:t>% до рівня 2011 року і скла</w:t>
            </w:r>
            <w:r w:rsidR="00161D1E" w:rsidRPr="00F7290F">
              <w:rPr>
                <w:color w:val="000000" w:themeColor="text1"/>
                <w:lang w:val="uk-UA"/>
              </w:rPr>
              <w:t>л</w:t>
            </w:r>
            <w:r w:rsidRPr="00F7290F">
              <w:rPr>
                <w:color w:val="000000" w:themeColor="text1"/>
                <w:lang w:val="uk-UA"/>
              </w:rPr>
              <w:t>и 18,</w:t>
            </w:r>
            <w:r w:rsidR="00161D1E" w:rsidRPr="00F7290F">
              <w:rPr>
                <w:color w:val="000000" w:themeColor="text1"/>
                <w:lang w:val="uk-UA"/>
              </w:rPr>
              <w:t>7</w:t>
            </w:r>
            <w:r w:rsidRPr="00F7290F">
              <w:rPr>
                <w:color w:val="000000" w:themeColor="text1"/>
                <w:lang w:val="uk-UA"/>
              </w:rPr>
              <w:t xml:space="preserve"> млрд.грн.</w:t>
            </w:r>
          </w:p>
          <w:p w:rsidR="00084198" w:rsidRPr="00F7290F" w:rsidRDefault="00C406F9" w:rsidP="00CC56A2">
            <w:pPr>
              <w:keepNext/>
              <w:widowControl w:val="0"/>
              <w:shd w:val="clear" w:color="auto" w:fill="FFFFFF"/>
              <w:spacing w:after="60"/>
              <w:ind w:firstLine="284"/>
              <w:jc w:val="both"/>
              <w:rPr>
                <w:color w:val="000000" w:themeColor="text1"/>
                <w:lang w:val="uk-UA"/>
              </w:rPr>
            </w:pPr>
            <w:r w:rsidRPr="00F7290F">
              <w:rPr>
                <w:color w:val="000000" w:themeColor="text1"/>
                <w:lang w:val="uk-UA"/>
              </w:rPr>
              <w:t>Забезпеченість загальної потреби на виплату пенсій і допомоги власними коштами склад</w:t>
            </w:r>
            <w:r w:rsidR="00CC56A2">
              <w:rPr>
                <w:color w:val="000000" w:themeColor="text1"/>
                <w:lang w:val="uk-UA"/>
              </w:rPr>
              <w:t>ає</w:t>
            </w:r>
            <w:r w:rsidRPr="00F7290F">
              <w:rPr>
                <w:color w:val="000000" w:themeColor="text1"/>
                <w:lang w:val="uk-UA"/>
              </w:rPr>
              <w:t xml:space="preserve"> 65,</w:t>
            </w:r>
            <w:r w:rsidR="00161D1E" w:rsidRPr="00F7290F">
              <w:rPr>
                <w:color w:val="000000" w:themeColor="text1"/>
                <w:lang w:val="uk-UA"/>
              </w:rPr>
              <w:t>9</w:t>
            </w:r>
            <w:r w:rsidRPr="00F7290F">
              <w:rPr>
                <w:color w:val="000000" w:themeColor="text1"/>
                <w:lang w:val="uk-UA"/>
              </w:rPr>
              <w:t xml:space="preserve">% проти 62,8% за </w:t>
            </w:r>
            <w:r w:rsidR="00161D1E" w:rsidRPr="00F7290F">
              <w:rPr>
                <w:color w:val="000000" w:themeColor="text1"/>
                <w:lang w:val="uk-UA"/>
              </w:rPr>
              <w:t xml:space="preserve">                    </w:t>
            </w:r>
            <w:r w:rsidRPr="00F7290F">
              <w:rPr>
                <w:color w:val="000000" w:themeColor="text1"/>
                <w:lang w:val="uk-UA"/>
              </w:rPr>
              <w:t>2011 рік.</w:t>
            </w:r>
            <w:r w:rsidR="00084198" w:rsidRPr="00F7290F">
              <w:rPr>
                <w:color w:val="000000" w:themeColor="text1"/>
                <w:lang w:val="uk-UA"/>
              </w:rPr>
              <w:t xml:space="preserve"> Загальна сума боргу до бюджету Пенсійного фонду станом на 01.01.2013 скла</w:t>
            </w:r>
            <w:r w:rsidR="00161D1E" w:rsidRPr="00F7290F">
              <w:rPr>
                <w:color w:val="000000" w:themeColor="text1"/>
                <w:lang w:val="uk-UA"/>
              </w:rPr>
              <w:t>ла</w:t>
            </w:r>
            <w:r w:rsidR="00084198" w:rsidRPr="00F7290F">
              <w:rPr>
                <w:color w:val="000000" w:themeColor="text1"/>
                <w:lang w:val="uk-UA"/>
              </w:rPr>
              <w:t xml:space="preserve"> </w:t>
            </w:r>
            <w:r w:rsidR="00161D1E" w:rsidRPr="00F7290F">
              <w:rPr>
                <w:color w:val="000000" w:themeColor="text1"/>
                <w:lang w:val="uk-UA"/>
              </w:rPr>
              <w:t xml:space="preserve">            </w:t>
            </w:r>
            <w:r w:rsidR="00084198" w:rsidRPr="00F7290F">
              <w:rPr>
                <w:color w:val="000000" w:themeColor="text1"/>
                <w:lang w:val="uk-UA"/>
              </w:rPr>
              <w:t>2</w:t>
            </w:r>
            <w:r w:rsidR="00161D1E" w:rsidRPr="00F7290F">
              <w:rPr>
                <w:color w:val="000000" w:themeColor="text1"/>
                <w:lang w:val="uk-UA"/>
              </w:rPr>
              <w:t>,8</w:t>
            </w:r>
            <w:r w:rsidR="00084198" w:rsidRPr="00F7290F">
              <w:rPr>
                <w:color w:val="000000" w:themeColor="text1"/>
                <w:lang w:val="uk-UA"/>
              </w:rPr>
              <w:t xml:space="preserve"> мл</w:t>
            </w:r>
            <w:r w:rsidR="00161D1E" w:rsidRPr="00F7290F">
              <w:rPr>
                <w:color w:val="000000" w:themeColor="text1"/>
                <w:lang w:val="uk-UA"/>
              </w:rPr>
              <w:t>рд</w:t>
            </w:r>
            <w:r w:rsidR="00084198" w:rsidRPr="00F7290F">
              <w:rPr>
                <w:color w:val="000000" w:themeColor="text1"/>
                <w:lang w:val="uk-UA"/>
              </w:rPr>
              <w:t xml:space="preserve">.грн., в тому числі </w:t>
            </w:r>
            <w:r w:rsidR="00084198" w:rsidRPr="00F7290F">
              <w:rPr>
                <w:color w:val="000000" w:themeColor="text1"/>
                <w:spacing w:val="-6"/>
                <w:lang w:val="uk-UA"/>
              </w:rPr>
              <w:t>сума</w:t>
            </w:r>
          </w:p>
        </w:tc>
      </w:tr>
      <w:tr w:rsidR="009354A8" w:rsidRPr="00F7290F" w:rsidTr="00C406F9">
        <w:trPr>
          <w:trHeight w:val="2969"/>
        </w:trPr>
        <w:tc>
          <w:tcPr>
            <w:tcW w:w="6134" w:type="dxa"/>
            <w:gridSpan w:val="2"/>
            <w:vAlign w:val="center"/>
          </w:tcPr>
          <w:p w:rsidR="009354A8" w:rsidRPr="00F7290F" w:rsidRDefault="009354A8" w:rsidP="00D65D2E">
            <w:pPr>
              <w:keepNext/>
              <w:widowControl w:val="0"/>
              <w:jc w:val="center"/>
              <w:rPr>
                <w:b/>
                <w:bCs/>
                <w:color w:val="000000" w:themeColor="text1"/>
                <w:lang w:val="uk-UA"/>
              </w:rPr>
            </w:pPr>
            <w:r w:rsidRPr="00F7290F">
              <w:rPr>
                <w:b/>
                <w:noProof/>
                <w:color w:val="000000" w:themeColor="text1"/>
              </w:rPr>
              <w:drawing>
                <wp:inline distT="0" distB="0" distL="0" distR="0">
                  <wp:extent cx="3817088" cy="1382232"/>
                  <wp:effectExtent l="0" t="0" r="0" b="0"/>
                  <wp:docPr id="6"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827" w:type="dxa"/>
            <w:vMerge/>
            <w:vAlign w:val="center"/>
          </w:tcPr>
          <w:p w:rsidR="009354A8" w:rsidRPr="00F7290F" w:rsidRDefault="009354A8" w:rsidP="00D65D2E">
            <w:pPr>
              <w:keepNext/>
              <w:widowControl w:val="0"/>
              <w:rPr>
                <w:color w:val="000000" w:themeColor="text1"/>
                <w:lang w:val="uk-UA"/>
              </w:rPr>
            </w:pPr>
          </w:p>
        </w:tc>
      </w:tr>
      <w:tr w:rsidR="00D001EF" w:rsidRPr="00F7290F" w:rsidTr="00D001EF">
        <w:tc>
          <w:tcPr>
            <w:tcW w:w="9961" w:type="dxa"/>
            <w:gridSpan w:val="3"/>
          </w:tcPr>
          <w:p w:rsidR="00D001EF" w:rsidRPr="00F7290F" w:rsidRDefault="00C406F9" w:rsidP="00161D1E">
            <w:pPr>
              <w:pStyle w:val="aff2"/>
              <w:keepNext/>
              <w:widowControl w:val="0"/>
              <w:spacing w:before="120"/>
              <w:ind w:left="0" w:firstLine="284"/>
              <w:jc w:val="both"/>
              <w:rPr>
                <w:color w:val="000000" w:themeColor="text1"/>
                <w:lang w:val="uk-UA"/>
              </w:rPr>
            </w:pPr>
            <w:r w:rsidRPr="00F7290F">
              <w:rPr>
                <w:color w:val="000000" w:themeColor="text1"/>
                <w:spacing w:val="-6"/>
                <w:lang w:val="uk-UA"/>
              </w:rPr>
              <w:t xml:space="preserve">недоїмки по єдиному соціальному внеску та страхових внесках –  </w:t>
            </w:r>
            <w:r w:rsidR="00161D1E" w:rsidRPr="00F7290F">
              <w:rPr>
                <w:color w:val="000000" w:themeColor="text1"/>
                <w:spacing w:val="-6"/>
                <w:lang w:val="uk-UA"/>
              </w:rPr>
              <w:t>0,5</w:t>
            </w:r>
            <w:r w:rsidRPr="00F7290F">
              <w:rPr>
                <w:color w:val="000000" w:themeColor="text1"/>
                <w:spacing w:val="-6"/>
                <w:lang w:val="uk-UA"/>
              </w:rPr>
              <w:t xml:space="preserve"> мл</w:t>
            </w:r>
            <w:r w:rsidR="00161D1E" w:rsidRPr="00F7290F">
              <w:rPr>
                <w:color w:val="000000" w:themeColor="text1"/>
                <w:spacing w:val="-6"/>
                <w:lang w:val="uk-UA"/>
              </w:rPr>
              <w:t>рд</w:t>
            </w:r>
            <w:r w:rsidRPr="00F7290F">
              <w:rPr>
                <w:color w:val="000000" w:themeColor="text1"/>
                <w:spacing w:val="-6"/>
                <w:lang w:val="uk-UA"/>
              </w:rPr>
              <w:t>.грн.</w:t>
            </w:r>
          </w:p>
        </w:tc>
      </w:tr>
      <w:tr w:rsidR="00EC1A1B" w:rsidRPr="00F7290F" w:rsidTr="00D001EF">
        <w:tc>
          <w:tcPr>
            <w:tcW w:w="6134" w:type="dxa"/>
            <w:gridSpan w:val="2"/>
          </w:tcPr>
          <w:p w:rsidR="00EC1A1B" w:rsidRPr="00F7290F" w:rsidRDefault="00EC1A1B" w:rsidP="00D65D2E">
            <w:pPr>
              <w:keepNext/>
              <w:widowControl w:val="0"/>
              <w:spacing w:before="120"/>
              <w:jc w:val="center"/>
              <w:rPr>
                <w:b/>
                <w:color w:val="000000" w:themeColor="text1"/>
                <w:lang w:val="uk-UA"/>
              </w:rPr>
            </w:pPr>
            <w:r w:rsidRPr="00F7290F">
              <w:rPr>
                <w:b/>
                <w:color w:val="000000" w:themeColor="text1"/>
                <w:lang w:val="uk-UA"/>
              </w:rPr>
              <w:lastRenderedPageBreak/>
              <w:t>Ситуація на ринку праці</w:t>
            </w:r>
          </w:p>
        </w:tc>
        <w:tc>
          <w:tcPr>
            <w:tcW w:w="3827" w:type="dxa"/>
            <w:vMerge w:val="restart"/>
          </w:tcPr>
          <w:p w:rsidR="006B50B4" w:rsidRPr="00F7290F" w:rsidRDefault="006B50B4" w:rsidP="006B50B4">
            <w:pPr>
              <w:pStyle w:val="aff2"/>
              <w:keepNext/>
              <w:widowControl w:val="0"/>
              <w:spacing w:before="120"/>
              <w:ind w:left="0" w:firstLine="284"/>
              <w:jc w:val="both"/>
              <w:rPr>
                <w:lang w:val="uk-UA"/>
              </w:rPr>
            </w:pPr>
            <w:r w:rsidRPr="00F7290F">
              <w:rPr>
                <w:lang w:val="uk-UA"/>
              </w:rPr>
              <w:t xml:space="preserve">За сприянням державної служби зайнятості працевлаш-товано 43,0 тис. чол., брали участь в оплачуваних громадських роботах  31,8 тис. чол., пройшли професійне навчання 13,6 тис. безробітних.  </w:t>
            </w:r>
          </w:p>
          <w:p w:rsidR="006B50B4" w:rsidRPr="00F7290F" w:rsidRDefault="006B50B4" w:rsidP="006B50B4">
            <w:pPr>
              <w:pStyle w:val="aff2"/>
              <w:keepNext/>
              <w:widowControl w:val="0"/>
              <w:ind w:left="0" w:firstLine="284"/>
              <w:jc w:val="both"/>
              <w:rPr>
                <w:lang w:val="uk-UA"/>
              </w:rPr>
            </w:pPr>
            <w:r w:rsidRPr="00F7290F">
              <w:rPr>
                <w:lang w:val="uk-UA"/>
              </w:rPr>
              <w:t xml:space="preserve">Рівень зареєстрованого безробіття складає 1,0% працездатного населення. </w:t>
            </w:r>
          </w:p>
          <w:p w:rsidR="00EC1A1B" w:rsidRPr="00F7290F" w:rsidRDefault="006B50B4" w:rsidP="006B50B4">
            <w:pPr>
              <w:pStyle w:val="aff2"/>
              <w:keepNext/>
              <w:widowControl w:val="0"/>
              <w:spacing w:before="120"/>
              <w:ind w:left="0" w:firstLine="284"/>
              <w:jc w:val="both"/>
              <w:rPr>
                <w:color w:val="FF0000"/>
                <w:spacing w:val="-8"/>
                <w:lang w:val="uk-UA"/>
              </w:rPr>
            </w:pPr>
            <w:r w:rsidRPr="00F7290F">
              <w:rPr>
                <w:lang w:val="uk-UA"/>
              </w:rPr>
              <w:t>За рахунок усіх джерел фінансування у 2012 році буде створено 90,6 тис. нових робочих місць, що складає 125,5% до завдання на рік   (72,2 тис. од.).</w:t>
            </w:r>
          </w:p>
        </w:tc>
      </w:tr>
      <w:tr w:rsidR="00EC1A1B" w:rsidRPr="00F7290F" w:rsidTr="004473CC">
        <w:trPr>
          <w:trHeight w:val="4569"/>
        </w:trPr>
        <w:tc>
          <w:tcPr>
            <w:tcW w:w="6134" w:type="dxa"/>
            <w:gridSpan w:val="2"/>
          </w:tcPr>
          <w:p w:rsidR="00EC1A1B" w:rsidRPr="00F7290F" w:rsidRDefault="00EC1A1B" w:rsidP="00D65D2E">
            <w:pPr>
              <w:keepNext/>
              <w:widowControl w:val="0"/>
              <w:jc w:val="center"/>
              <w:rPr>
                <w:b/>
                <w:color w:val="FF0000"/>
                <w:lang w:val="uk-UA"/>
              </w:rPr>
            </w:pPr>
            <w:r w:rsidRPr="00F7290F">
              <w:rPr>
                <w:b/>
                <w:noProof/>
                <w:color w:val="FF0000"/>
              </w:rPr>
              <w:drawing>
                <wp:inline distT="0" distB="0" distL="0" distR="0">
                  <wp:extent cx="3848986" cy="2817628"/>
                  <wp:effectExtent l="0" t="0" r="0" b="0"/>
                  <wp:docPr id="52"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827" w:type="dxa"/>
            <w:vMerge/>
          </w:tcPr>
          <w:p w:rsidR="00EC1A1B" w:rsidRPr="00F7290F" w:rsidRDefault="00EC1A1B" w:rsidP="00D65D2E">
            <w:pPr>
              <w:pStyle w:val="aff2"/>
              <w:keepNext/>
              <w:widowControl w:val="0"/>
              <w:spacing w:before="120"/>
              <w:ind w:left="0" w:firstLine="284"/>
              <w:jc w:val="both"/>
              <w:rPr>
                <w:color w:val="FF0000"/>
                <w:spacing w:val="-8"/>
                <w:lang w:val="uk-UA"/>
              </w:rPr>
            </w:pPr>
          </w:p>
        </w:tc>
      </w:tr>
    </w:tbl>
    <w:p w:rsidR="009354A8" w:rsidRPr="00F7290F" w:rsidRDefault="009354A8" w:rsidP="00D65D2E">
      <w:pPr>
        <w:keepNext/>
        <w:widowControl w:val="0"/>
        <w:rPr>
          <w:color w:val="FF0000"/>
          <w:sz w:val="2"/>
          <w:szCs w:val="2"/>
          <w:lang w:val="uk-UA"/>
        </w:rPr>
      </w:pPr>
    </w:p>
    <w:tbl>
      <w:tblPr>
        <w:tblW w:w="10103" w:type="dxa"/>
        <w:tblInd w:w="-72" w:type="dxa"/>
        <w:tblLayout w:type="fixed"/>
        <w:tblLook w:val="04A0"/>
      </w:tblPr>
      <w:tblGrid>
        <w:gridCol w:w="6134"/>
        <w:gridCol w:w="3969"/>
      </w:tblGrid>
      <w:tr w:rsidR="00FD11E9" w:rsidRPr="00F7290F" w:rsidTr="001D4BFF">
        <w:trPr>
          <w:trHeight w:val="540"/>
        </w:trPr>
        <w:tc>
          <w:tcPr>
            <w:tcW w:w="6134" w:type="dxa"/>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t>Динаміка середньомісячних наявних доходів населення та частка основних витрат на  одну особу</w:t>
            </w:r>
          </w:p>
        </w:tc>
        <w:tc>
          <w:tcPr>
            <w:tcW w:w="3969" w:type="dxa"/>
            <w:vMerge w:val="restart"/>
          </w:tcPr>
          <w:p w:rsidR="00FD11E9" w:rsidRPr="00F7290F" w:rsidRDefault="00FD11E9" w:rsidP="00D65D2E">
            <w:pPr>
              <w:keepNext/>
              <w:widowControl w:val="0"/>
              <w:spacing w:before="120" w:after="60"/>
              <w:ind w:firstLine="284"/>
              <w:jc w:val="both"/>
              <w:rPr>
                <w:color w:val="000000" w:themeColor="text1"/>
                <w:spacing w:val="-6"/>
                <w:lang w:val="uk-UA"/>
              </w:rPr>
            </w:pPr>
          </w:p>
          <w:p w:rsidR="00FD11E9" w:rsidRPr="00F7290F" w:rsidRDefault="00FD11E9" w:rsidP="00D65D2E">
            <w:pPr>
              <w:keepNext/>
              <w:widowControl w:val="0"/>
              <w:spacing w:after="60"/>
              <w:ind w:firstLine="284"/>
              <w:jc w:val="both"/>
              <w:rPr>
                <w:color w:val="000000" w:themeColor="text1"/>
                <w:lang w:val="uk-UA"/>
              </w:rPr>
            </w:pPr>
            <w:r w:rsidRPr="00F7290F">
              <w:rPr>
                <w:color w:val="000000" w:themeColor="text1"/>
                <w:lang w:val="uk-UA"/>
              </w:rPr>
              <w:t xml:space="preserve">Наявні доходи населення області у 2012 році порівняно з 2011 роком за очікуваними даними збільшились на 10,1% та складають 119,2 млрд. грн., або 2260 грн. в місяць на 1 особу. </w:t>
            </w:r>
          </w:p>
          <w:p w:rsidR="00EC1A1B" w:rsidRPr="00F7290F" w:rsidRDefault="00FD11E9" w:rsidP="00D65D2E">
            <w:pPr>
              <w:keepNext/>
              <w:widowControl w:val="0"/>
              <w:ind w:firstLine="284"/>
              <w:jc w:val="both"/>
              <w:rPr>
                <w:color w:val="000000" w:themeColor="text1"/>
                <w:lang w:val="uk-UA"/>
              </w:rPr>
            </w:pPr>
            <w:r w:rsidRPr="00F7290F">
              <w:rPr>
                <w:color w:val="000000" w:themeColor="text1"/>
                <w:lang w:val="uk-UA"/>
              </w:rPr>
              <w:t>Частка витрат на продовольчі товари в наявних доходах населення зменшиться з 46,0% до 42,6%, на послуги житлово-комунального господарства - з 12,</w:t>
            </w:r>
            <w:r w:rsidR="00045CFC">
              <w:rPr>
                <w:color w:val="000000" w:themeColor="text1"/>
                <w:lang w:val="uk-UA"/>
              </w:rPr>
              <w:t>6</w:t>
            </w:r>
            <w:r w:rsidRPr="00F7290F">
              <w:rPr>
                <w:color w:val="000000" w:themeColor="text1"/>
                <w:lang w:val="uk-UA"/>
              </w:rPr>
              <w:t>% до 11,6%.</w:t>
            </w:r>
          </w:p>
          <w:p w:rsidR="00EC1A1B" w:rsidRPr="00F7290F" w:rsidRDefault="00EC1A1B" w:rsidP="00D65D2E">
            <w:pPr>
              <w:keepNext/>
              <w:widowControl w:val="0"/>
              <w:ind w:firstLine="284"/>
              <w:jc w:val="both"/>
              <w:rPr>
                <w:color w:val="000000" w:themeColor="text1"/>
                <w:lang w:val="uk-UA"/>
              </w:rPr>
            </w:pPr>
          </w:p>
          <w:p w:rsidR="00EC1A1B" w:rsidRPr="00F7290F" w:rsidRDefault="00EC1A1B" w:rsidP="00D65D2E">
            <w:pPr>
              <w:keepNext/>
              <w:widowControl w:val="0"/>
              <w:ind w:firstLine="284"/>
              <w:jc w:val="both"/>
              <w:rPr>
                <w:color w:val="000000" w:themeColor="text1"/>
                <w:spacing w:val="-8"/>
                <w:lang w:val="uk-UA"/>
              </w:rPr>
            </w:pPr>
          </w:p>
        </w:tc>
      </w:tr>
      <w:tr w:rsidR="00FD11E9" w:rsidRPr="00F7290F" w:rsidTr="001D4BFF">
        <w:trPr>
          <w:trHeight w:val="540"/>
        </w:trPr>
        <w:tc>
          <w:tcPr>
            <w:tcW w:w="6134" w:type="dxa"/>
          </w:tcPr>
          <w:p w:rsidR="00FD11E9" w:rsidRPr="00F7290F" w:rsidRDefault="00FD11E9" w:rsidP="00045CFC">
            <w:pPr>
              <w:keepNext/>
              <w:widowControl w:val="0"/>
              <w:jc w:val="center"/>
              <w:rPr>
                <w:b/>
                <w:color w:val="FF0000"/>
                <w:lang w:val="uk-UA"/>
              </w:rPr>
            </w:pPr>
            <w:r w:rsidRPr="00F7290F">
              <w:rPr>
                <w:b/>
                <w:noProof/>
                <w:color w:val="FF0000"/>
              </w:rPr>
              <w:drawing>
                <wp:inline distT="0" distB="0" distL="0" distR="0">
                  <wp:extent cx="3880883" cy="2583711"/>
                  <wp:effectExtent l="0" t="0" r="0" b="0"/>
                  <wp:docPr id="3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969" w:type="dxa"/>
            <w:vMerge/>
          </w:tcPr>
          <w:p w:rsidR="00FD11E9" w:rsidRPr="00F7290F" w:rsidRDefault="00FD11E9" w:rsidP="00045CFC">
            <w:pPr>
              <w:keepNext/>
              <w:widowControl w:val="0"/>
              <w:ind w:firstLine="252"/>
              <w:jc w:val="both"/>
              <w:rPr>
                <w:color w:val="FF0000"/>
                <w:sz w:val="28"/>
                <w:szCs w:val="28"/>
                <w:lang w:val="uk-UA"/>
              </w:rPr>
            </w:pPr>
          </w:p>
        </w:tc>
      </w:tr>
    </w:tbl>
    <w:p w:rsidR="00FD11E9" w:rsidRPr="00F7290F" w:rsidRDefault="00FD11E9" w:rsidP="00D65D2E">
      <w:pPr>
        <w:keepNext/>
        <w:widowControl w:val="0"/>
        <w:rPr>
          <w:color w:val="FF0000"/>
          <w:sz w:val="2"/>
          <w:szCs w:val="2"/>
          <w:lang w:val="uk-UA"/>
        </w:rPr>
      </w:pPr>
    </w:p>
    <w:p w:rsidR="00FD11E9" w:rsidRPr="00F7290F" w:rsidRDefault="00FD11E9" w:rsidP="00D65D2E">
      <w:pPr>
        <w:keepNext/>
        <w:widowControl w:val="0"/>
        <w:rPr>
          <w:color w:val="FF0000"/>
          <w:sz w:val="2"/>
          <w:szCs w:val="2"/>
          <w:lang w:val="uk-UA"/>
        </w:rPr>
      </w:pPr>
    </w:p>
    <w:tbl>
      <w:tblPr>
        <w:tblW w:w="10103" w:type="dxa"/>
        <w:tblInd w:w="-72" w:type="dxa"/>
        <w:tblLayout w:type="fixed"/>
        <w:tblLook w:val="01E0"/>
      </w:tblPr>
      <w:tblGrid>
        <w:gridCol w:w="6300"/>
        <w:gridCol w:w="3803"/>
      </w:tblGrid>
      <w:tr w:rsidR="004473CC" w:rsidRPr="00F7290F" w:rsidTr="001D4BFF">
        <w:trPr>
          <w:trHeight w:val="392"/>
        </w:trPr>
        <w:tc>
          <w:tcPr>
            <w:tcW w:w="6300" w:type="dxa"/>
          </w:tcPr>
          <w:p w:rsidR="004473CC" w:rsidRPr="00F7290F" w:rsidRDefault="004473CC" w:rsidP="00D65D2E">
            <w:pPr>
              <w:keepNext/>
              <w:widowControl w:val="0"/>
              <w:jc w:val="center"/>
              <w:rPr>
                <w:b/>
                <w:lang w:val="uk-UA"/>
              </w:rPr>
            </w:pPr>
            <w:r w:rsidRPr="00F7290F">
              <w:rPr>
                <w:b/>
                <w:lang w:val="uk-UA"/>
              </w:rPr>
              <w:t>Заклади охорони здоров’я,</w:t>
            </w:r>
            <w:r w:rsidRPr="00F7290F">
              <w:rPr>
                <w:i/>
                <w:lang w:val="uk-UA"/>
              </w:rPr>
              <w:t xml:space="preserve"> </w:t>
            </w:r>
            <w:r w:rsidRPr="00F7290F">
              <w:rPr>
                <w:b/>
                <w:lang w:val="uk-UA"/>
              </w:rPr>
              <w:t>одиниць</w:t>
            </w:r>
          </w:p>
        </w:tc>
        <w:tc>
          <w:tcPr>
            <w:tcW w:w="3803" w:type="dxa"/>
          </w:tcPr>
          <w:p w:rsidR="004473CC" w:rsidRPr="00F7290F" w:rsidRDefault="004473CC" w:rsidP="00D65D2E">
            <w:pPr>
              <w:keepNext/>
              <w:widowControl w:val="0"/>
              <w:spacing w:after="60"/>
              <w:ind w:firstLine="284"/>
              <w:jc w:val="both"/>
              <w:rPr>
                <w:lang w:val="uk-UA"/>
              </w:rPr>
            </w:pPr>
          </w:p>
        </w:tc>
      </w:tr>
      <w:tr w:rsidR="004473CC" w:rsidRPr="00F7290F" w:rsidTr="001D4BFF">
        <w:trPr>
          <w:trHeight w:val="551"/>
        </w:trPr>
        <w:tc>
          <w:tcPr>
            <w:tcW w:w="6300" w:type="dxa"/>
            <w:vAlign w:val="bottom"/>
          </w:tcPr>
          <w:p w:rsidR="004473CC" w:rsidRPr="00F7290F" w:rsidRDefault="004473CC" w:rsidP="00D65D2E">
            <w:pPr>
              <w:keepNext/>
              <w:widowControl w:val="0"/>
              <w:jc w:val="center"/>
              <w:rPr>
                <w:b/>
                <w:lang w:val="uk-UA"/>
              </w:rPr>
            </w:pPr>
            <w:r w:rsidRPr="00F7290F">
              <w:rPr>
                <w:b/>
                <w:noProof/>
              </w:rPr>
              <w:drawing>
                <wp:inline distT="0" distB="0" distL="0" distR="0">
                  <wp:extent cx="3876675" cy="1933575"/>
                  <wp:effectExtent l="0" t="0" r="0" b="0"/>
                  <wp:docPr id="55"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803" w:type="dxa"/>
            <w:vAlign w:val="center"/>
          </w:tcPr>
          <w:p w:rsidR="00F7014B" w:rsidRPr="00F7290F" w:rsidRDefault="00F7014B" w:rsidP="00F7014B">
            <w:pPr>
              <w:keepNext/>
              <w:widowControl w:val="0"/>
              <w:spacing w:after="60"/>
              <w:ind w:firstLine="284"/>
              <w:jc w:val="both"/>
              <w:rPr>
                <w:lang w:val="uk-UA"/>
              </w:rPr>
            </w:pPr>
            <w:r w:rsidRPr="00F7290F">
              <w:rPr>
                <w:lang w:val="uk-UA"/>
              </w:rPr>
              <w:t xml:space="preserve">У 2012 році порівняно з                 2011 роком мережу лікарняних закладів скорочено на 21 од., амбулаторно-поліклінічних – на 119 од.  </w:t>
            </w:r>
          </w:p>
          <w:p w:rsidR="004473CC" w:rsidRPr="00F7290F" w:rsidRDefault="00F7014B" w:rsidP="00F7014B">
            <w:pPr>
              <w:keepNext/>
              <w:widowControl w:val="0"/>
              <w:rPr>
                <w:highlight w:val="yellow"/>
                <w:lang w:val="uk-UA"/>
              </w:rPr>
            </w:pPr>
            <w:r w:rsidRPr="00F7290F">
              <w:rPr>
                <w:lang w:val="uk-UA"/>
              </w:rPr>
              <w:t>Скорочено 832 ліжка. Забезпеченість ліжками зменши</w:t>
            </w:r>
            <w:r w:rsidRPr="00F7290F">
              <w:rPr>
                <w:lang w:val="uk-UA"/>
              </w:rPr>
              <w:softHyphen/>
              <w:t>лась з 84,6 у 2011 році до 82,7 (на 10 тис. населення) у 2012 році.</w:t>
            </w:r>
          </w:p>
        </w:tc>
      </w:tr>
    </w:tbl>
    <w:p w:rsidR="001D4BFF" w:rsidRPr="00F7290F" w:rsidRDefault="001D4BFF" w:rsidP="00D65D2E">
      <w:pPr>
        <w:keepNext/>
        <w:widowControl w:val="0"/>
        <w:rPr>
          <w:color w:val="FF0000"/>
          <w:lang w:val="uk-UA"/>
        </w:rPr>
      </w:pPr>
      <w:r w:rsidRPr="00F7290F">
        <w:rPr>
          <w:color w:val="FF0000"/>
          <w:lang w:val="uk-UA"/>
        </w:rPr>
        <w:br w:type="page"/>
      </w:r>
    </w:p>
    <w:tbl>
      <w:tblPr>
        <w:tblW w:w="10103" w:type="dxa"/>
        <w:tblInd w:w="-72" w:type="dxa"/>
        <w:tblLayout w:type="fixed"/>
        <w:tblLook w:val="01E0"/>
      </w:tblPr>
      <w:tblGrid>
        <w:gridCol w:w="6300"/>
        <w:gridCol w:w="3803"/>
      </w:tblGrid>
      <w:tr w:rsidR="009354A8" w:rsidRPr="00F7290F" w:rsidTr="001D4BFF">
        <w:trPr>
          <w:trHeight w:val="283"/>
        </w:trPr>
        <w:tc>
          <w:tcPr>
            <w:tcW w:w="6300" w:type="dxa"/>
            <w:vAlign w:val="bottom"/>
          </w:tcPr>
          <w:p w:rsidR="009354A8" w:rsidRPr="00F7290F" w:rsidRDefault="009354A8" w:rsidP="00D65D2E">
            <w:pPr>
              <w:keepNext/>
              <w:widowControl w:val="0"/>
              <w:jc w:val="center"/>
              <w:rPr>
                <w:b/>
                <w:noProof/>
                <w:lang w:val="uk-UA"/>
              </w:rPr>
            </w:pPr>
            <w:r w:rsidRPr="00F7290F">
              <w:rPr>
                <w:b/>
                <w:lang w:val="uk-UA"/>
              </w:rPr>
              <w:lastRenderedPageBreak/>
              <w:t>Материнська та малюкова смертність, випадків</w:t>
            </w:r>
          </w:p>
        </w:tc>
        <w:tc>
          <w:tcPr>
            <w:tcW w:w="3803" w:type="dxa"/>
            <w:vAlign w:val="center"/>
          </w:tcPr>
          <w:p w:rsidR="009354A8" w:rsidRPr="00F7290F" w:rsidRDefault="009354A8" w:rsidP="00D65D2E">
            <w:pPr>
              <w:keepNext/>
              <w:widowControl w:val="0"/>
              <w:rPr>
                <w:highlight w:val="yellow"/>
                <w:lang w:val="uk-UA"/>
              </w:rPr>
            </w:pPr>
          </w:p>
        </w:tc>
      </w:tr>
      <w:tr w:rsidR="009354A8" w:rsidRPr="00F7290F" w:rsidTr="00F0372B">
        <w:trPr>
          <w:trHeight w:val="2712"/>
        </w:trPr>
        <w:tc>
          <w:tcPr>
            <w:tcW w:w="6300" w:type="dxa"/>
          </w:tcPr>
          <w:p w:rsidR="009354A8" w:rsidRPr="00F7290F" w:rsidRDefault="009354A8" w:rsidP="00D65D2E">
            <w:pPr>
              <w:keepNext/>
              <w:widowControl w:val="0"/>
              <w:rPr>
                <w:b/>
                <w:noProof/>
                <w:lang w:val="uk-UA"/>
              </w:rPr>
            </w:pPr>
            <w:r w:rsidRPr="00F7290F">
              <w:rPr>
                <w:b/>
                <w:noProof/>
              </w:rPr>
              <w:drawing>
                <wp:inline distT="0" distB="0" distL="0" distR="0">
                  <wp:extent cx="3867150" cy="1781175"/>
                  <wp:effectExtent l="0" t="0" r="0" b="0"/>
                  <wp:docPr id="9"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803" w:type="dxa"/>
          </w:tcPr>
          <w:p w:rsidR="009949C7" w:rsidRPr="00F7290F" w:rsidRDefault="009949C7" w:rsidP="00D65D2E">
            <w:pPr>
              <w:keepNext/>
              <w:widowControl w:val="0"/>
              <w:jc w:val="both"/>
              <w:rPr>
                <w:lang w:val="uk-UA"/>
              </w:rPr>
            </w:pPr>
          </w:p>
          <w:p w:rsidR="00222CE6" w:rsidRPr="00F7290F" w:rsidRDefault="00E82420" w:rsidP="00E82420">
            <w:pPr>
              <w:keepNext/>
              <w:widowControl w:val="0"/>
              <w:spacing w:after="60"/>
              <w:ind w:firstLine="252"/>
              <w:jc w:val="both"/>
              <w:rPr>
                <w:highlight w:val="yellow"/>
                <w:lang w:val="uk-UA"/>
              </w:rPr>
            </w:pPr>
            <w:r>
              <w:rPr>
                <w:lang w:val="uk-UA"/>
              </w:rPr>
              <w:t>Збільшився</w:t>
            </w:r>
            <w:r w:rsidR="00F7014B" w:rsidRPr="00F7290F">
              <w:rPr>
                <w:lang w:val="uk-UA"/>
              </w:rPr>
              <w:t xml:space="preserve"> рівень малюкової смертності на </w:t>
            </w:r>
            <w:r>
              <w:rPr>
                <w:lang w:val="uk-UA"/>
              </w:rPr>
              <w:t>7</w:t>
            </w:r>
            <w:r w:rsidR="00F7014B" w:rsidRPr="00F7290F">
              <w:rPr>
                <w:lang w:val="uk-UA"/>
              </w:rPr>
              <w:t xml:space="preserve">%, материнської </w:t>
            </w:r>
            <w:r>
              <w:rPr>
                <w:lang w:val="uk-UA"/>
              </w:rPr>
              <w:t xml:space="preserve">зменшився </w:t>
            </w:r>
            <w:r w:rsidR="00F7014B" w:rsidRPr="00F7290F">
              <w:rPr>
                <w:lang w:val="uk-UA"/>
              </w:rPr>
              <w:t>– на 1,6%.</w:t>
            </w:r>
          </w:p>
        </w:tc>
      </w:tr>
      <w:tr w:rsidR="001D4BFF" w:rsidRPr="00F7290F" w:rsidTr="001D4BFF">
        <w:trPr>
          <w:trHeight w:val="287"/>
        </w:trPr>
        <w:tc>
          <w:tcPr>
            <w:tcW w:w="6300" w:type="dxa"/>
          </w:tcPr>
          <w:p w:rsidR="001D4BFF" w:rsidRPr="00F7290F" w:rsidRDefault="001D4BFF" w:rsidP="00D65D2E">
            <w:pPr>
              <w:keepNext/>
              <w:widowControl w:val="0"/>
              <w:jc w:val="center"/>
              <w:rPr>
                <w:b/>
                <w:lang w:val="uk-UA"/>
              </w:rPr>
            </w:pPr>
            <w:r w:rsidRPr="00F7290F">
              <w:rPr>
                <w:b/>
                <w:lang w:val="uk-UA"/>
              </w:rPr>
              <w:t>Соціально-небезпечні хвороби,</w:t>
            </w:r>
          </w:p>
          <w:p w:rsidR="00084198" w:rsidRPr="00F7290F" w:rsidRDefault="001D4BFF" w:rsidP="00D65D2E">
            <w:pPr>
              <w:keepNext/>
              <w:widowControl w:val="0"/>
              <w:jc w:val="center"/>
              <w:rPr>
                <w:b/>
                <w:lang w:val="uk-UA"/>
              </w:rPr>
            </w:pPr>
            <w:r w:rsidRPr="00F7290F">
              <w:rPr>
                <w:b/>
                <w:lang w:val="uk-UA"/>
              </w:rPr>
              <w:t>рівень захворюваності на 100 тис. населення</w:t>
            </w:r>
            <w:r w:rsidR="00084198" w:rsidRPr="00F7290F">
              <w:rPr>
                <w:b/>
                <w:lang w:val="uk-UA"/>
              </w:rPr>
              <w:t xml:space="preserve"> </w:t>
            </w:r>
          </w:p>
          <w:p w:rsidR="001D4BFF" w:rsidRPr="00F7290F" w:rsidRDefault="00084198" w:rsidP="00D65D2E">
            <w:pPr>
              <w:keepNext/>
              <w:widowControl w:val="0"/>
              <w:jc w:val="center"/>
              <w:rPr>
                <w:b/>
                <w:noProof/>
                <w:lang w:val="uk-UA"/>
              </w:rPr>
            </w:pPr>
            <w:r w:rsidRPr="00F7290F">
              <w:rPr>
                <w:b/>
                <w:lang w:val="uk-UA"/>
              </w:rPr>
              <w:t>з уперше в житті встановленим діагнозом</w:t>
            </w:r>
          </w:p>
        </w:tc>
        <w:tc>
          <w:tcPr>
            <w:tcW w:w="3803" w:type="dxa"/>
            <w:vMerge w:val="restart"/>
            <w:vAlign w:val="center"/>
          </w:tcPr>
          <w:p w:rsidR="001D4BFF" w:rsidRPr="00F7290F" w:rsidRDefault="00F7014B" w:rsidP="00D65D2E">
            <w:pPr>
              <w:keepNext/>
              <w:widowControl w:val="0"/>
              <w:spacing w:after="60"/>
              <w:ind w:firstLine="252"/>
              <w:jc w:val="both"/>
              <w:rPr>
                <w:highlight w:val="yellow"/>
                <w:lang w:val="uk-UA"/>
              </w:rPr>
            </w:pPr>
            <w:r w:rsidRPr="00F7290F">
              <w:rPr>
                <w:lang w:val="uk-UA"/>
              </w:rPr>
              <w:t>Показник захворюваності на туберкульоз зменшився на 2,1%, на ВІЛ - на 4,2%.</w:t>
            </w:r>
          </w:p>
        </w:tc>
      </w:tr>
      <w:tr w:rsidR="001D4BFF" w:rsidRPr="00F7290F" w:rsidTr="001D4BFF">
        <w:trPr>
          <w:trHeight w:val="287"/>
        </w:trPr>
        <w:tc>
          <w:tcPr>
            <w:tcW w:w="6300" w:type="dxa"/>
          </w:tcPr>
          <w:p w:rsidR="001D4BFF" w:rsidRPr="00F7290F" w:rsidRDefault="001D4BFF" w:rsidP="00D65D2E">
            <w:pPr>
              <w:keepNext/>
              <w:widowControl w:val="0"/>
              <w:rPr>
                <w:b/>
                <w:noProof/>
                <w:lang w:val="uk-UA"/>
              </w:rPr>
            </w:pPr>
            <w:r w:rsidRPr="00F7290F">
              <w:rPr>
                <w:b/>
                <w:noProof/>
              </w:rPr>
              <w:drawing>
                <wp:inline distT="0" distB="0" distL="0" distR="0">
                  <wp:extent cx="3880883" cy="1616149"/>
                  <wp:effectExtent l="0" t="0" r="0" b="0"/>
                  <wp:docPr id="79"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803" w:type="dxa"/>
            <w:vMerge/>
            <w:vAlign w:val="center"/>
          </w:tcPr>
          <w:p w:rsidR="001D4BFF" w:rsidRPr="00F7290F" w:rsidRDefault="001D4BFF" w:rsidP="00D65D2E">
            <w:pPr>
              <w:keepNext/>
              <w:widowControl w:val="0"/>
              <w:spacing w:after="60"/>
              <w:ind w:firstLine="284"/>
              <w:jc w:val="both"/>
              <w:rPr>
                <w:highlight w:val="yellow"/>
                <w:lang w:val="uk-UA"/>
              </w:rPr>
            </w:pPr>
          </w:p>
        </w:tc>
      </w:tr>
      <w:tr w:rsidR="00731902" w:rsidRPr="00F7290F" w:rsidTr="001D4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
        </w:trPr>
        <w:tc>
          <w:tcPr>
            <w:tcW w:w="6300" w:type="dxa"/>
            <w:tcBorders>
              <w:top w:val="nil"/>
              <w:left w:val="nil"/>
              <w:bottom w:val="nil"/>
              <w:right w:val="nil"/>
            </w:tcBorders>
          </w:tcPr>
          <w:p w:rsidR="00731902" w:rsidRPr="00F7290F" w:rsidRDefault="00731902" w:rsidP="00D65D2E">
            <w:pPr>
              <w:keepNext/>
              <w:widowControl w:val="0"/>
              <w:jc w:val="center"/>
              <w:rPr>
                <w:i/>
                <w:lang w:val="uk-UA"/>
              </w:rPr>
            </w:pPr>
            <w:r w:rsidRPr="00F7290F">
              <w:rPr>
                <w:b/>
                <w:lang w:val="uk-UA"/>
              </w:rPr>
              <w:t xml:space="preserve">Дошкільні навчальні  заклади </w:t>
            </w:r>
          </w:p>
        </w:tc>
        <w:tc>
          <w:tcPr>
            <w:tcW w:w="3803" w:type="dxa"/>
            <w:vMerge w:val="restart"/>
            <w:tcBorders>
              <w:top w:val="nil"/>
              <w:left w:val="nil"/>
              <w:bottom w:val="nil"/>
              <w:right w:val="nil"/>
            </w:tcBorders>
          </w:tcPr>
          <w:p w:rsidR="00110B10" w:rsidRPr="00F7290F" w:rsidRDefault="00110B10" w:rsidP="00110B10">
            <w:pPr>
              <w:keepNext/>
              <w:widowControl w:val="0"/>
              <w:spacing w:after="60"/>
              <w:ind w:firstLine="284"/>
              <w:jc w:val="both"/>
              <w:rPr>
                <w:lang w:val="uk-UA"/>
              </w:rPr>
            </w:pPr>
            <w:r w:rsidRPr="00F7290F">
              <w:rPr>
                <w:lang w:val="uk-UA"/>
              </w:rPr>
              <w:t>У 2012 році порівняно з             2011 роком мережа дошкільних навчальних закладів збільшилась на 11 од., частка дітей, які відвідують дошкільні навчальні заклади – з 83% у 2011 році до 84% у 2012 році.</w:t>
            </w:r>
          </w:p>
          <w:p w:rsidR="00731902" w:rsidRPr="00F7290F" w:rsidRDefault="00110B10" w:rsidP="00110B10">
            <w:pPr>
              <w:keepNext/>
              <w:widowControl w:val="0"/>
              <w:spacing w:after="60"/>
              <w:ind w:firstLine="284"/>
              <w:jc w:val="both"/>
              <w:rPr>
                <w:color w:val="FF0000"/>
                <w:lang w:val="uk-UA"/>
              </w:rPr>
            </w:pPr>
            <w:r w:rsidRPr="00F7290F">
              <w:rPr>
                <w:lang w:val="uk-UA"/>
              </w:rPr>
              <w:t>Питома вага дітей дошкільного віку, охоплених навчанням українською мовою складає 75%.</w:t>
            </w:r>
          </w:p>
        </w:tc>
      </w:tr>
      <w:tr w:rsidR="00731902" w:rsidRPr="00F7290F" w:rsidTr="00F03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1"/>
        </w:trPr>
        <w:tc>
          <w:tcPr>
            <w:tcW w:w="6300" w:type="dxa"/>
            <w:tcBorders>
              <w:top w:val="nil"/>
              <w:left w:val="nil"/>
              <w:bottom w:val="nil"/>
              <w:right w:val="nil"/>
            </w:tcBorders>
          </w:tcPr>
          <w:p w:rsidR="00731902" w:rsidRPr="00F7290F" w:rsidRDefault="00731902" w:rsidP="00D65D2E">
            <w:pPr>
              <w:keepNext/>
              <w:widowControl w:val="0"/>
              <w:rPr>
                <w:color w:val="FF0000"/>
                <w:lang w:val="uk-UA"/>
              </w:rPr>
            </w:pPr>
            <w:r w:rsidRPr="00F7290F">
              <w:rPr>
                <w:noProof/>
                <w:color w:val="FF0000"/>
              </w:rPr>
              <w:drawing>
                <wp:inline distT="0" distB="0" distL="0" distR="0">
                  <wp:extent cx="3924300" cy="1695450"/>
                  <wp:effectExtent l="0" t="0" r="0" b="0"/>
                  <wp:docPr id="38"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803" w:type="dxa"/>
            <w:vMerge/>
            <w:tcBorders>
              <w:top w:val="nil"/>
              <w:left w:val="nil"/>
              <w:bottom w:val="nil"/>
              <w:right w:val="nil"/>
            </w:tcBorders>
            <w:vAlign w:val="center"/>
          </w:tcPr>
          <w:p w:rsidR="00731902" w:rsidRPr="00F7290F" w:rsidRDefault="00731902" w:rsidP="00D65D2E">
            <w:pPr>
              <w:keepNext/>
              <w:widowControl w:val="0"/>
              <w:rPr>
                <w:color w:val="FF0000"/>
                <w:highlight w:val="yellow"/>
                <w:lang w:val="uk-UA"/>
              </w:rPr>
            </w:pPr>
          </w:p>
        </w:tc>
      </w:tr>
      <w:tr w:rsidR="00731902" w:rsidRPr="00F7290F" w:rsidTr="00573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6300" w:type="dxa"/>
            <w:tcBorders>
              <w:top w:val="nil"/>
              <w:left w:val="nil"/>
              <w:bottom w:val="nil"/>
              <w:right w:val="nil"/>
            </w:tcBorders>
          </w:tcPr>
          <w:p w:rsidR="00731902" w:rsidRPr="00F7290F" w:rsidRDefault="00731902" w:rsidP="00D65D2E">
            <w:pPr>
              <w:keepNext/>
              <w:widowControl w:val="0"/>
              <w:jc w:val="center"/>
              <w:rPr>
                <w:b/>
                <w:lang w:val="uk-UA"/>
              </w:rPr>
            </w:pPr>
            <w:r w:rsidRPr="00F7290F">
              <w:rPr>
                <w:b/>
                <w:lang w:val="uk-UA"/>
              </w:rPr>
              <w:t xml:space="preserve">Загальноосвітні навчальні заклади </w:t>
            </w:r>
          </w:p>
          <w:p w:rsidR="00731902" w:rsidRPr="00F7290F" w:rsidRDefault="00731902" w:rsidP="00D65D2E">
            <w:pPr>
              <w:keepNext/>
              <w:widowControl w:val="0"/>
              <w:jc w:val="center"/>
              <w:rPr>
                <w:b/>
                <w:color w:val="FF0000"/>
                <w:lang w:val="uk-UA"/>
              </w:rPr>
            </w:pPr>
            <w:r w:rsidRPr="00F7290F">
              <w:rPr>
                <w:lang w:val="uk-UA"/>
              </w:rPr>
              <w:t>(на початок навчального року)</w:t>
            </w:r>
          </w:p>
        </w:tc>
        <w:tc>
          <w:tcPr>
            <w:tcW w:w="3803" w:type="dxa"/>
            <w:vMerge w:val="restart"/>
            <w:tcBorders>
              <w:top w:val="nil"/>
              <w:left w:val="nil"/>
              <w:right w:val="nil"/>
            </w:tcBorders>
          </w:tcPr>
          <w:p w:rsidR="00110B10" w:rsidRPr="00F7290F" w:rsidRDefault="00110B10" w:rsidP="00110B10">
            <w:pPr>
              <w:keepNext/>
              <w:widowControl w:val="0"/>
              <w:tabs>
                <w:tab w:val="left" w:pos="12231"/>
              </w:tabs>
              <w:spacing w:before="120" w:after="60"/>
              <w:ind w:firstLine="284"/>
              <w:jc w:val="both"/>
              <w:rPr>
                <w:lang w:val="uk-UA"/>
              </w:rPr>
            </w:pPr>
            <w:r w:rsidRPr="00F7290F">
              <w:rPr>
                <w:lang w:val="uk-UA"/>
              </w:rPr>
              <w:t>З урахуванням демографічної ситуації на 2 одиниці скорочено мережу загальноосвітніх навчальних закладів.</w:t>
            </w:r>
          </w:p>
          <w:p w:rsidR="00110B10" w:rsidRPr="00F7290F" w:rsidRDefault="00110B10" w:rsidP="00110B10">
            <w:pPr>
              <w:keepNext/>
              <w:widowControl w:val="0"/>
              <w:tabs>
                <w:tab w:val="left" w:pos="12231"/>
              </w:tabs>
              <w:spacing w:before="120" w:after="60"/>
              <w:ind w:firstLine="284"/>
              <w:jc w:val="both"/>
              <w:rPr>
                <w:lang w:val="uk-UA"/>
              </w:rPr>
            </w:pPr>
            <w:r w:rsidRPr="00F7290F">
              <w:rPr>
                <w:lang w:val="uk-UA"/>
              </w:rPr>
              <w:t xml:space="preserve">Діють 14 загальноосвітніх приватних шкіл. </w:t>
            </w:r>
          </w:p>
          <w:p w:rsidR="00731902" w:rsidRPr="00F7290F" w:rsidRDefault="00110B10" w:rsidP="00110B10">
            <w:pPr>
              <w:keepNext/>
              <w:widowControl w:val="0"/>
              <w:spacing w:after="120"/>
              <w:ind w:firstLine="284"/>
              <w:jc w:val="both"/>
              <w:rPr>
                <w:color w:val="FF0000"/>
                <w:highlight w:val="yellow"/>
                <w:lang w:val="uk-UA"/>
              </w:rPr>
            </w:pPr>
            <w:r w:rsidRPr="00F7290F">
              <w:rPr>
                <w:lang w:val="uk-UA"/>
              </w:rPr>
              <w:t>Навчанням українською мовою  охоплено 50% учнів загальноосвітніх навчальних закладів, що на 1,7% більше, ніж у 2011 році.</w:t>
            </w:r>
          </w:p>
        </w:tc>
      </w:tr>
      <w:tr w:rsidR="001D4BFF" w:rsidRPr="00F7290F" w:rsidTr="00573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6300" w:type="dxa"/>
            <w:tcBorders>
              <w:top w:val="nil"/>
              <w:left w:val="nil"/>
              <w:bottom w:val="nil"/>
              <w:right w:val="nil"/>
            </w:tcBorders>
          </w:tcPr>
          <w:p w:rsidR="001D4BFF" w:rsidRPr="00F7290F" w:rsidRDefault="001D4BFF" w:rsidP="00D65D2E">
            <w:pPr>
              <w:keepNext/>
              <w:widowControl w:val="0"/>
              <w:jc w:val="center"/>
              <w:rPr>
                <w:b/>
                <w:color w:val="FF0000"/>
                <w:lang w:val="uk-UA"/>
              </w:rPr>
            </w:pPr>
            <w:r w:rsidRPr="00F7290F">
              <w:rPr>
                <w:b/>
                <w:noProof/>
                <w:color w:val="FF0000"/>
              </w:rPr>
              <w:drawing>
                <wp:inline distT="0" distB="0" distL="0" distR="0">
                  <wp:extent cx="3867150" cy="1838325"/>
                  <wp:effectExtent l="0" t="0" r="0" b="0"/>
                  <wp:docPr id="88"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803" w:type="dxa"/>
            <w:vMerge/>
            <w:tcBorders>
              <w:left w:val="nil"/>
              <w:bottom w:val="nil"/>
              <w:right w:val="nil"/>
            </w:tcBorders>
          </w:tcPr>
          <w:p w:rsidR="001D4BFF" w:rsidRPr="00F7290F" w:rsidRDefault="001D4BFF" w:rsidP="00D65D2E">
            <w:pPr>
              <w:keepNext/>
              <w:widowControl w:val="0"/>
              <w:spacing w:after="60"/>
              <w:ind w:firstLine="284"/>
              <w:jc w:val="both"/>
              <w:rPr>
                <w:color w:val="FF0000"/>
                <w:lang w:val="uk-UA"/>
              </w:rPr>
            </w:pPr>
          </w:p>
        </w:tc>
      </w:tr>
      <w:tr w:rsidR="001D4BFF" w:rsidRPr="00F7290F" w:rsidTr="001D4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10103" w:type="dxa"/>
            <w:gridSpan w:val="2"/>
            <w:tcBorders>
              <w:top w:val="nil"/>
              <w:left w:val="nil"/>
              <w:bottom w:val="nil"/>
              <w:right w:val="nil"/>
            </w:tcBorders>
          </w:tcPr>
          <w:p w:rsidR="001D4BFF" w:rsidRPr="00F7290F" w:rsidRDefault="00110B10" w:rsidP="00D65D2E">
            <w:pPr>
              <w:keepNext/>
              <w:widowControl w:val="0"/>
              <w:spacing w:after="120"/>
              <w:ind w:firstLine="709"/>
              <w:jc w:val="both"/>
              <w:rPr>
                <w:color w:val="FF0000"/>
                <w:highlight w:val="yellow"/>
                <w:lang w:val="uk-UA"/>
              </w:rPr>
            </w:pPr>
            <w:r w:rsidRPr="00F7290F">
              <w:rPr>
                <w:lang w:val="uk-UA"/>
              </w:rPr>
              <w:t>У 2012 році для перевезення учнів та вчителів у сільській місцевості придбано за рахунок коштів державного бюджету 37 шкільних автобусів (13,1 млн.грн.). В області організовано безкоштовне перевезення 11,5 тис. учнів (100% від потреби) і 1,1 тис. вчителів (97% від потреби) до місць навчання і роботи та додому.</w:t>
            </w:r>
          </w:p>
        </w:tc>
      </w:tr>
      <w:tr w:rsidR="009354A8" w:rsidRPr="00F7290F" w:rsidTr="001D4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6300" w:type="dxa"/>
            <w:tcBorders>
              <w:top w:val="nil"/>
              <w:left w:val="nil"/>
              <w:bottom w:val="nil"/>
              <w:right w:val="nil"/>
            </w:tcBorders>
          </w:tcPr>
          <w:p w:rsidR="009354A8" w:rsidRPr="00F7290F" w:rsidRDefault="009354A8" w:rsidP="00D65D2E">
            <w:pPr>
              <w:keepNext/>
              <w:widowControl w:val="0"/>
              <w:jc w:val="center"/>
              <w:rPr>
                <w:highlight w:val="yellow"/>
                <w:lang w:val="uk-UA"/>
              </w:rPr>
            </w:pPr>
            <w:r w:rsidRPr="00F7290F">
              <w:rPr>
                <w:b/>
                <w:lang w:val="uk-UA"/>
              </w:rPr>
              <w:lastRenderedPageBreak/>
              <w:t>Професійно-технічні навчальні заклади</w:t>
            </w:r>
          </w:p>
        </w:tc>
        <w:tc>
          <w:tcPr>
            <w:tcW w:w="3803" w:type="dxa"/>
            <w:vMerge w:val="restart"/>
            <w:tcBorders>
              <w:top w:val="nil"/>
              <w:left w:val="nil"/>
              <w:bottom w:val="nil"/>
              <w:right w:val="nil"/>
            </w:tcBorders>
          </w:tcPr>
          <w:p w:rsidR="008A25CF" w:rsidRPr="00F7290F" w:rsidRDefault="008A25CF" w:rsidP="00D65D2E">
            <w:pPr>
              <w:keepNext/>
              <w:widowControl w:val="0"/>
              <w:spacing w:after="60"/>
              <w:ind w:firstLine="284"/>
              <w:jc w:val="both"/>
              <w:rPr>
                <w:color w:val="FF0000"/>
                <w:lang w:val="uk-UA"/>
              </w:rPr>
            </w:pPr>
          </w:p>
          <w:p w:rsidR="008A25CF" w:rsidRPr="00F7290F" w:rsidRDefault="008A25CF" w:rsidP="00D65D2E">
            <w:pPr>
              <w:keepNext/>
              <w:widowControl w:val="0"/>
              <w:spacing w:after="60"/>
              <w:ind w:firstLine="284"/>
              <w:jc w:val="both"/>
              <w:rPr>
                <w:color w:val="FF0000"/>
                <w:lang w:val="uk-UA"/>
              </w:rPr>
            </w:pPr>
          </w:p>
          <w:p w:rsidR="008A25CF" w:rsidRPr="00F7290F" w:rsidRDefault="008A25CF" w:rsidP="00D65D2E">
            <w:pPr>
              <w:keepNext/>
              <w:widowControl w:val="0"/>
              <w:spacing w:after="60"/>
              <w:ind w:firstLine="284"/>
              <w:jc w:val="both"/>
              <w:rPr>
                <w:color w:val="FF0000"/>
                <w:lang w:val="uk-UA"/>
              </w:rPr>
            </w:pPr>
          </w:p>
          <w:p w:rsidR="001270BF" w:rsidRPr="00F7290F" w:rsidRDefault="001270BF" w:rsidP="001270BF">
            <w:pPr>
              <w:keepNext/>
              <w:widowControl w:val="0"/>
              <w:spacing w:after="60"/>
              <w:ind w:firstLine="284"/>
              <w:jc w:val="both"/>
              <w:rPr>
                <w:lang w:val="uk-UA"/>
              </w:rPr>
            </w:pPr>
            <w:r w:rsidRPr="00F7290F">
              <w:rPr>
                <w:lang w:val="uk-UA"/>
              </w:rPr>
              <w:t>Мережа професійно-технічних навчальних закладів залишилась на рівні 2011 року; кількість учнів зменшилась на 6,3%.</w:t>
            </w:r>
          </w:p>
          <w:p w:rsidR="001270BF" w:rsidRPr="00F7290F" w:rsidRDefault="001270BF" w:rsidP="001270BF">
            <w:pPr>
              <w:keepNext/>
              <w:widowControl w:val="0"/>
              <w:spacing w:after="60"/>
              <w:ind w:firstLine="284"/>
              <w:jc w:val="both"/>
              <w:rPr>
                <w:lang w:val="uk-UA"/>
              </w:rPr>
            </w:pPr>
            <w:r w:rsidRPr="00F7290F">
              <w:rPr>
                <w:lang w:val="uk-UA"/>
              </w:rPr>
              <w:t xml:space="preserve">У 2012 році цими закладами випущено понад 11,8 тис. кваліфікованих робітників. </w:t>
            </w:r>
          </w:p>
          <w:p w:rsidR="009354A8" w:rsidRPr="00F7290F" w:rsidRDefault="009354A8" w:rsidP="00D65D2E">
            <w:pPr>
              <w:keepNext/>
              <w:widowControl w:val="0"/>
              <w:spacing w:after="60"/>
              <w:ind w:firstLine="284"/>
              <w:jc w:val="both"/>
              <w:rPr>
                <w:color w:val="FF0000"/>
                <w:highlight w:val="yellow"/>
                <w:lang w:val="uk-UA"/>
              </w:rPr>
            </w:pPr>
          </w:p>
        </w:tc>
      </w:tr>
      <w:tr w:rsidR="009354A8" w:rsidRPr="00F7290F" w:rsidTr="00C10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70"/>
        </w:trPr>
        <w:tc>
          <w:tcPr>
            <w:tcW w:w="6300" w:type="dxa"/>
            <w:tcBorders>
              <w:top w:val="nil"/>
              <w:left w:val="nil"/>
              <w:bottom w:val="nil"/>
              <w:right w:val="nil"/>
            </w:tcBorders>
          </w:tcPr>
          <w:p w:rsidR="009354A8" w:rsidRPr="00F7290F" w:rsidRDefault="009354A8" w:rsidP="00D65D2E">
            <w:pPr>
              <w:keepNext/>
              <w:widowControl w:val="0"/>
              <w:rPr>
                <w:color w:val="FF0000"/>
                <w:lang w:val="uk-UA"/>
              </w:rPr>
            </w:pPr>
            <w:r w:rsidRPr="00F7290F">
              <w:rPr>
                <w:noProof/>
                <w:color w:val="FF0000"/>
              </w:rPr>
              <w:drawing>
                <wp:inline distT="0" distB="0" distL="0" distR="0">
                  <wp:extent cx="3933825" cy="2228850"/>
                  <wp:effectExtent l="0" t="0" r="0" b="0"/>
                  <wp:docPr id="13"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3803" w:type="dxa"/>
            <w:vMerge/>
            <w:tcBorders>
              <w:top w:val="nil"/>
              <w:left w:val="nil"/>
              <w:bottom w:val="nil"/>
              <w:right w:val="nil"/>
            </w:tcBorders>
            <w:vAlign w:val="center"/>
          </w:tcPr>
          <w:p w:rsidR="009354A8" w:rsidRPr="00F7290F" w:rsidRDefault="009354A8" w:rsidP="00D65D2E">
            <w:pPr>
              <w:keepNext/>
              <w:widowControl w:val="0"/>
              <w:rPr>
                <w:color w:val="FF0000"/>
                <w:highlight w:val="yellow"/>
                <w:lang w:val="uk-UA"/>
              </w:rPr>
            </w:pPr>
          </w:p>
        </w:tc>
      </w:tr>
      <w:tr w:rsidR="008A25CF" w:rsidRPr="00F7290F" w:rsidTr="008A25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6300" w:type="dxa"/>
            <w:tcBorders>
              <w:top w:val="nil"/>
              <w:left w:val="nil"/>
              <w:bottom w:val="nil"/>
              <w:right w:val="nil"/>
            </w:tcBorders>
          </w:tcPr>
          <w:p w:rsidR="008A25CF" w:rsidRPr="00F7290F" w:rsidRDefault="008A25CF" w:rsidP="00D65D2E">
            <w:pPr>
              <w:keepNext/>
              <w:widowControl w:val="0"/>
              <w:spacing w:before="120"/>
              <w:jc w:val="center"/>
              <w:rPr>
                <w:b/>
                <w:lang w:val="uk-UA"/>
              </w:rPr>
            </w:pPr>
            <w:r w:rsidRPr="00F7290F">
              <w:rPr>
                <w:b/>
                <w:lang w:val="uk-UA"/>
              </w:rPr>
              <w:t xml:space="preserve">Динаміка усиновлення дітей-сиріт та дітей, </w:t>
            </w:r>
          </w:p>
          <w:p w:rsidR="008A25CF" w:rsidRPr="00F7290F" w:rsidRDefault="008A25CF" w:rsidP="00D65D2E">
            <w:pPr>
              <w:keepNext/>
              <w:widowControl w:val="0"/>
              <w:jc w:val="center"/>
              <w:rPr>
                <w:b/>
                <w:noProof/>
                <w:color w:val="FF0000"/>
                <w:lang w:val="uk-UA"/>
              </w:rPr>
            </w:pPr>
            <w:r w:rsidRPr="00F7290F">
              <w:rPr>
                <w:b/>
                <w:lang w:val="uk-UA"/>
              </w:rPr>
              <w:t>позбавлених батьківського піклування, осіб</w:t>
            </w:r>
          </w:p>
        </w:tc>
        <w:tc>
          <w:tcPr>
            <w:tcW w:w="3803" w:type="dxa"/>
            <w:tcBorders>
              <w:top w:val="nil"/>
              <w:left w:val="nil"/>
              <w:bottom w:val="nil"/>
              <w:right w:val="nil"/>
            </w:tcBorders>
          </w:tcPr>
          <w:p w:rsidR="008A25CF" w:rsidRPr="00F7290F" w:rsidRDefault="008A25CF" w:rsidP="00D65D2E">
            <w:pPr>
              <w:keepNext/>
              <w:widowControl w:val="0"/>
              <w:spacing w:after="60"/>
              <w:ind w:firstLine="284"/>
              <w:jc w:val="both"/>
              <w:rPr>
                <w:color w:val="FF0000"/>
                <w:lang w:val="uk-UA"/>
              </w:rPr>
            </w:pPr>
          </w:p>
        </w:tc>
      </w:tr>
      <w:tr w:rsidR="008A25CF" w:rsidRPr="00F7290F" w:rsidTr="0009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6300" w:type="dxa"/>
            <w:tcBorders>
              <w:top w:val="nil"/>
              <w:left w:val="nil"/>
              <w:bottom w:val="nil"/>
              <w:right w:val="nil"/>
            </w:tcBorders>
          </w:tcPr>
          <w:p w:rsidR="008A25CF" w:rsidRPr="00F7290F" w:rsidRDefault="00E25C8D" w:rsidP="00D65D2E">
            <w:pPr>
              <w:keepNext/>
              <w:widowControl w:val="0"/>
              <w:jc w:val="center"/>
              <w:rPr>
                <w:b/>
                <w:noProof/>
                <w:color w:val="FF0000"/>
                <w:lang w:val="uk-UA"/>
              </w:rPr>
            </w:pPr>
            <w:r w:rsidRPr="00F7290F">
              <w:rPr>
                <w:b/>
                <w:noProof/>
                <w:color w:val="FF0000"/>
              </w:rPr>
              <w:drawing>
                <wp:inline distT="0" distB="0" distL="0" distR="0">
                  <wp:extent cx="3860800" cy="2430780"/>
                  <wp:effectExtent l="0" t="0" r="0" b="0"/>
                  <wp:docPr id="9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3803" w:type="dxa"/>
            <w:vMerge w:val="restart"/>
            <w:tcBorders>
              <w:top w:val="nil"/>
              <w:left w:val="nil"/>
              <w:right w:val="nil"/>
            </w:tcBorders>
          </w:tcPr>
          <w:p w:rsidR="00E25C8D" w:rsidRPr="00F7290F" w:rsidRDefault="00E25C8D" w:rsidP="00E25C8D">
            <w:pPr>
              <w:keepNext/>
              <w:widowControl w:val="0"/>
              <w:spacing w:after="60"/>
              <w:ind w:firstLine="284"/>
              <w:jc w:val="both"/>
              <w:rPr>
                <w:lang w:val="uk-UA"/>
              </w:rPr>
            </w:pPr>
            <w:r w:rsidRPr="00F7290F">
              <w:rPr>
                <w:lang w:val="uk-UA"/>
              </w:rPr>
              <w:t>Загальна кількість бездогляд</w:t>
            </w:r>
            <w:r w:rsidRPr="00F7290F">
              <w:rPr>
                <w:lang w:val="uk-UA"/>
              </w:rPr>
              <w:softHyphen/>
              <w:t xml:space="preserve">них дітей зменшилась на 14% і становить 925 осіб, неблагополучних сімей – на 6,5% (1108 сімей), дітей-сиріт та дітей, позбавлених батьківського піклування – на 5% (9897 осіб). </w:t>
            </w:r>
          </w:p>
          <w:p w:rsidR="00E25C8D" w:rsidRPr="00F7290F" w:rsidRDefault="00E25C8D" w:rsidP="00E25C8D">
            <w:pPr>
              <w:keepNext/>
              <w:widowControl w:val="0"/>
              <w:spacing w:after="60"/>
              <w:ind w:firstLine="284"/>
              <w:jc w:val="both"/>
              <w:rPr>
                <w:lang w:val="uk-UA"/>
              </w:rPr>
            </w:pPr>
            <w:r w:rsidRPr="00F7290F">
              <w:rPr>
                <w:lang w:val="uk-UA"/>
              </w:rPr>
              <w:t>Частка дітей, усиновлених громадянами України, зменшилась на 33% і становить 260 осіб.</w:t>
            </w:r>
          </w:p>
          <w:p w:rsidR="00E25C8D" w:rsidRPr="00F7290F" w:rsidRDefault="00E25C8D" w:rsidP="00E25C8D">
            <w:pPr>
              <w:keepNext/>
              <w:widowControl w:val="0"/>
              <w:spacing w:after="60"/>
              <w:ind w:firstLine="284"/>
              <w:jc w:val="both"/>
              <w:rPr>
                <w:highlight w:val="yellow"/>
                <w:lang w:val="uk-UA"/>
              </w:rPr>
            </w:pPr>
            <w:r w:rsidRPr="00F7290F">
              <w:rPr>
                <w:lang w:val="uk-UA"/>
              </w:rPr>
              <w:t>Збільшилась кількість дитячих будинків сімейного типу з 29 од. до  38, в них дітей – з 188 осіб до                   242 (+29%).</w:t>
            </w:r>
          </w:p>
          <w:p w:rsidR="00E25C8D" w:rsidRPr="00F7290F" w:rsidRDefault="00E25C8D" w:rsidP="00E25C8D">
            <w:pPr>
              <w:keepNext/>
              <w:widowControl w:val="0"/>
              <w:spacing w:before="120" w:after="60"/>
              <w:ind w:firstLine="284"/>
              <w:jc w:val="both"/>
              <w:rPr>
                <w:lang w:val="uk-UA"/>
              </w:rPr>
            </w:pPr>
            <w:r w:rsidRPr="00F7290F">
              <w:rPr>
                <w:lang w:val="uk-UA"/>
              </w:rPr>
              <w:t xml:space="preserve">Протягом року створено                        26 прийомних сімей та 9 дитячих будинків сімейного типу, до яких влаштовано 33 </w:t>
            </w:r>
            <w:r w:rsidR="00F7290F" w:rsidRPr="00F7290F">
              <w:rPr>
                <w:lang w:val="uk-UA"/>
              </w:rPr>
              <w:t>дитини</w:t>
            </w:r>
            <w:r w:rsidRPr="00F7290F">
              <w:rPr>
                <w:lang w:val="uk-UA"/>
              </w:rPr>
              <w:t xml:space="preserve">. </w:t>
            </w:r>
          </w:p>
          <w:p w:rsidR="008A25CF" w:rsidRPr="00F7290F" w:rsidRDefault="00E25C8D" w:rsidP="00E25C8D">
            <w:pPr>
              <w:keepNext/>
              <w:widowControl w:val="0"/>
              <w:spacing w:after="60"/>
              <w:ind w:firstLine="284"/>
              <w:jc w:val="both"/>
              <w:rPr>
                <w:color w:val="FF0000"/>
                <w:lang w:val="uk-UA"/>
              </w:rPr>
            </w:pPr>
            <w:r w:rsidRPr="00F7290F">
              <w:rPr>
                <w:lang w:val="uk-UA"/>
              </w:rPr>
              <w:t>Протягом поточного року отримали житло 95 осіб із числа дітей-сиріт та дітей, позбавлених батьківського піклування, з них: 59 –  жиле приміщення та 36 осіб отримали  соціальне житло.</w:t>
            </w:r>
          </w:p>
        </w:tc>
      </w:tr>
      <w:tr w:rsidR="008A25CF" w:rsidRPr="00F7290F" w:rsidTr="0009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3"/>
        </w:trPr>
        <w:tc>
          <w:tcPr>
            <w:tcW w:w="6300" w:type="dxa"/>
            <w:tcBorders>
              <w:top w:val="nil"/>
              <w:left w:val="nil"/>
              <w:bottom w:val="nil"/>
              <w:right w:val="nil"/>
            </w:tcBorders>
          </w:tcPr>
          <w:p w:rsidR="008A25CF" w:rsidRPr="00F7290F" w:rsidRDefault="009732BB" w:rsidP="00D65D2E">
            <w:pPr>
              <w:keepNext/>
              <w:widowControl w:val="0"/>
              <w:jc w:val="center"/>
              <w:rPr>
                <w:b/>
                <w:lang w:val="uk-UA"/>
              </w:rPr>
            </w:pPr>
            <w:r w:rsidRPr="00F7290F">
              <w:rPr>
                <w:b/>
                <w:lang w:val="uk-UA"/>
              </w:rPr>
              <w:t xml:space="preserve">Загальна кількість </w:t>
            </w:r>
            <w:r w:rsidR="008A25CF" w:rsidRPr="00F7290F">
              <w:rPr>
                <w:b/>
                <w:lang w:val="uk-UA"/>
              </w:rPr>
              <w:t xml:space="preserve">дітей-сиріт та дітей, позбавлених </w:t>
            </w:r>
          </w:p>
          <w:p w:rsidR="008A25CF" w:rsidRPr="00F7290F" w:rsidRDefault="008A25CF" w:rsidP="00D65D2E">
            <w:pPr>
              <w:keepNext/>
              <w:widowControl w:val="0"/>
              <w:jc w:val="center"/>
              <w:rPr>
                <w:b/>
                <w:color w:val="FF0000"/>
                <w:lang w:val="uk-UA"/>
              </w:rPr>
            </w:pPr>
            <w:r w:rsidRPr="00F7290F">
              <w:rPr>
                <w:b/>
                <w:lang w:val="uk-UA"/>
              </w:rPr>
              <w:t>батьківського піклування, на кінець року</w:t>
            </w:r>
            <w:r w:rsidR="009732BB" w:rsidRPr="00F7290F">
              <w:rPr>
                <w:b/>
                <w:lang w:val="uk-UA"/>
              </w:rPr>
              <w:t>, осіб</w:t>
            </w:r>
          </w:p>
        </w:tc>
        <w:tc>
          <w:tcPr>
            <w:tcW w:w="3803" w:type="dxa"/>
            <w:vMerge/>
            <w:tcBorders>
              <w:left w:val="nil"/>
              <w:right w:val="nil"/>
            </w:tcBorders>
          </w:tcPr>
          <w:p w:rsidR="008A25CF" w:rsidRPr="00F7290F" w:rsidRDefault="008A25CF" w:rsidP="00D65D2E">
            <w:pPr>
              <w:keepNext/>
              <w:widowControl w:val="0"/>
              <w:rPr>
                <w:color w:val="FF0000"/>
                <w:highlight w:val="yellow"/>
                <w:lang w:val="uk-UA"/>
              </w:rPr>
            </w:pPr>
          </w:p>
        </w:tc>
      </w:tr>
      <w:tr w:rsidR="008A25CF" w:rsidRPr="00F7290F" w:rsidTr="0009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74"/>
        </w:trPr>
        <w:tc>
          <w:tcPr>
            <w:tcW w:w="6300" w:type="dxa"/>
            <w:tcBorders>
              <w:top w:val="nil"/>
              <w:left w:val="nil"/>
              <w:bottom w:val="nil"/>
              <w:right w:val="nil"/>
            </w:tcBorders>
          </w:tcPr>
          <w:p w:rsidR="008A25CF" w:rsidRPr="00F7290F" w:rsidRDefault="00E25C8D" w:rsidP="00D65D2E">
            <w:pPr>
              <w:keepNext/>
              <w:widowControl w:val="0"/>
              <w:jc w:val="center"/>
              <w:rPr>
                <w:b/>
                <w:color w:val="FF0000"/>
                <w:lang w:val="uk-UA"/>
              </w:rPr>
            </w:pPr>
            <w:r w:rsidRPr="00F7290F">
              <w:rPr>
                <w:b/>
                <w:noProof/>
                <w:color w:val="FF0000"/>
              </w:rPr>
              <w:drawing>
                <wp:inline distT="0" distB="0" distL="0" distR="0">
                  <wp:extent cx="3728085" cy="2071370"/>
                  <wp:effectExtent l="0" t="0" r="0" b="0"/>
                  <wp:docPr id="1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803" w:type="dxa"/>
            <w:vMerge/>
            <w:tcBorders>
              <w:left w:val="nil"/>
              <w:bottom w:val="nil"/>
              <w:right w:val="nil"/>
            </w:tcBorders>
          </w:tcPr>
          <w:p w:rsidR="008A25CF" w:rsidRPr="00F7290F" w:rsidRDefault="008A25CF" w:rsidP="00D65D2E">
            <w:pPr>
              <w:keepNext/>
              <w:widowControl w:val="0"/>
              <w:rPr>
                <w:color w:val="FF0000"/>
                <w:lang w:val="uk-UA"/>
              </w:rPr>
            </w:pPr>
          </w:p>
        </w:tc>
      </w:tr>
    </w:tbl>
    <w:p w:rsidR="009354A8" w:rsidRPr="00F7290F" w:rsidRDefault="009354A8" w:rsidP="00D65D2E">
      <w:pPr>
        <w:keepNext/>
        <w:widowControl w:val="0"/>
        <w:rPr>
          <w:color w:val="FF0000"/>
          <w:sz w:val="2"/>
          <w:szCs w:val="2"/>
          <w:lang w:val="uk-UA"/>
        </w:rPr>
      </w:pPr>
      <w:r w:rsidRPr="00F7290F">
        <w:rPr>
          <w:color w:val="FF0000"/>
          <w:lang w:val="uk-UA"/>
        </w:rPr>
        <w:br w:type="page"/>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0"/>
        <w:gridCol w:w="3803"/>
      </w:tblGrid>
      <w:tr w:rsidR="009354A8" w:rsidRPr="00F7290F" w:rsidTr="009A2B40">
        <w:trPr>
          <w:trHeight w:val="359"/>
        </w:trPr>
        <w:tc>
          <w:tcPr>
            <w:tcW w:w="6300" w:type="dxa"/>
            <w:tcBorders>
              <w:top w:val="nil"/>
              <w:left w:val="nil"/>
              <w:bottom w:val="nil"/>
              <w:right w:val="nil"/>
            </w:tcBorders>
          </w:tcPr>
          <w:p w:rsidR="009354A8" w:rsidRPr="00F7290F" w:rsidRDefault="009354A8" w:rsidP="00D65D2E">
            <w:pPr>
              <w:keepNext/>
              <w:widowControl w:val="0"/>
              <w:jc w:val="center"/>
              <w:rPr>
                <w:b/>
                <w:lang w:val="uk-UA"/>
              </w:rPr>
            </w:pPr>
            <w:r w:rsidRPr="00F7290F">
              <w:rPr>
                <w:b/>
                <w:lang w:val="uk-UA"/>
              </w:rPr>
              <w:lastRenderedPageBreak/>
              <w:t xml:space="preserve">Кількість закладів </w:t>
            </w:r>
          </w:p>
          <w:p w:rsidR="009354A8" w:rsidRPr="00F7290F" w:rsidRDefault="009354A8" w:rsidP="00D65D2E">
            <w:pPr>
              <w:keepNext/>
              <w:widowControl w:val="0"/>
              <w:jc w:val="center"/>
              <w:rPr>
                <w:b/>
                <w:color w:val="FF0000"/>
                <w:highlight w:val="yellow"/>
                <w:lang w:val="uk-UA"/>
              </w:rPr>
            </w:pPr>
            <w:r w:rsidRPr="00F7290F">
              <w:rPr>
                <w:b/>
                <w:lang w:val="uk-UA"/>
              </w:rPr>
              <w:t>культури клубного типу, одиниць</w:t>
            </w:r>
          </w:p>
        </w:tc>
        <w:tc>
          <w:tcPr>
            <w:tcW w:w="3803" w:type="dxa"/>
            <w:vMerge w:val="restart"/>
            <w:tcBorders>
              <w:top w:val="nil"/>
              <w:left w:val="nil"/>
              <w:bottom w:val="nil"/>
              <w:right w:val="nil"/>
            </w:tcBorders>
          </w:tcPr>
          <w:p w:rsidR="005D07E8" w:rsidRPr="00F7290F" w:rsidRDefault="005D07E8" w:rsidP="008D5E09">
            <w:pPr>
              <w:keepNext/>
              <w:widowControl w:val="0"/>
              <w:spacing w:after="60"/>
              <w:ind w:firstLine="284"/>
              <w:jc w:val="both"/>
              <w:rPr>
                <w:lang w:val="uk-UA"/>
              </w:rPr>
            </w:pPr>
          </w:p>
          <w:p w:rsidR="005D07E8" w:rsidRPr="00F7290F" w:rsidRDefault="005D07E8" w:rsidP="008D5E09">
            <w:pPr>
              <w:keepNext/>
              <w:widowControl w:val="0"/>
              <w:spacing w:after="60"/>
              <w:ind w:firstLine="284"/>
              <w:jc w:val="both"/>
              <w:rPr>
                <w:lang w:val="uk-UA"/>
              </w:rPr>
            </w:pPr>
          </w:p>
          <w:p w:rsidR="008D5E09" w:rsidRPr="00F7290F" w:rsidRDefault="008D5E09" w:rsidP="008D5E09">
            <w:pPr>
              <w:keepNext/>
              <w:widowControl w:val="0"/>
              <w:spacing w:after="60"/>
              <w:ind w:firstLine="284"/>
              <w:jc w:val="both"/>
              <w:rPr>
                <w:lang w:val="uk-UA"/>
              </w:rPr>
            </w:pPr>
            <w:r w:rsidRPr="00F7290F">
              <w:rPr>
                <w:lang w:val="uk-UA"/>
              </w:rPr>
              <w:t>В 2012 році, мережа закладів культури клубного типу залишилась на рівні  2011 року.</w:t>
            </w:r>
          </w:p>
          <w:p w:rsidR="008D5E09" w:rsidRPr="00F7290F" w:rsidRDefault="008D5E09" w:rsidP="008D5E09">
            <w:pPr>
              <w:keepNext/>
              <w:widowControl w:val="0"/>
              <w:spacing w:after="60"/>
              <w:ind w:firstLine="284"/>
              <w:jc w:val="both"/>
              <w:rPr>
                <w:lang w:val="uk-UA"/>
              </w:rPr>
            </w:pPr>
            <w:r w:rsidRPr="00F7290F">
              <w:rPr>
                <w:lang w:val="uk-UA"/>
              </w:rPr>
              <w:t>Обсяг наданих платних послуг закладами культури і мистецтва збільшився на               0,1 млн.грн. і склав                   40,6  млн.грн.</w:t>
            </w:r>
          </w:p>
          <w:p w:rsidR="008D5E09" w:rsidRPr="00F7290F" w:rsidRDefault="008D5E09" w:rsidP="008D5E09">
            <w:pPr>
              <w:keepNext/>
              <w:widowControl w:val="0"/>
              <w:spacing w:after="60"/>
              <w:ind w:firstLine="284"/>
              <w:jc w:val="both"/>
              <w:rPr>
                <w:lang w:val="uk-UA"/>
              </w:rPr>
            </w:pPr>
            <w:r w:rsidRPr="00F7290F">
              <w:rPr>
                <w:lang w:val="uk-UA"/>
              </w:rPr>
              <w:t xml:space="preserve">Збільшилась на 6 тис. одиниць кількість експонатів основного фонду музеїв. </w:t>
            </w:r>
          </w:p>
          <w:p w:rsidR="009354A8" w:rsidRPr="00F7290F" w:rsidRDefault="009354A8" w:rsidP="00D65D2E">
            <w:pPr>
              <w:keepNext/>
              <w:widowControl w:val="0"/>
              <w:spacing w:after="60"/>
              <w:ind w:firstLine="284"/>
              <w:jc w:val="both"/>
              <w:rPr>
                <w:color w:val="FF0000"/>
                <w:spacing w:val="-6"/>
                <w:lang w:val="uk-UA"/>
              </w:rPr>
            </w:pPr>
          </w:p>
        </w:tc>
      </w:tr>
      <w:tr w:rsidR="009354A8" w:rsidRPr="00F7290F" w:rsidTr="009A2B40">
        <w:trPr>
          <w:trHeight w:val="3425"/>
        </w:trPr>
        <w:tc>
          <w:tcPr>
            <w:tcW w:w="6300" w:type="dxa"/>
            <w:tcBorders>
              <w:top w:val="nil"/>
              <w:left w:val="nil"/>
              <w:bottom w:val="nil"/>
              <w:right w:val="nil"/>
            </w:tcBorders>
          </w:tcPr>
          <w:p w:rsidR="009354A8" w:rsidRPr="00F7290F" w:rsidRDefault="009354A8" w:rsidP="00D65D2E">
            <w:pPr>
              <w:keepNext/>
              <w:widowControl w:val="0"/>
              <w:jc w:val="center"/>
              <w:rPr>
                <w:color w:val="FF0000"/>
                <w:sz w:val="2"/>
                <w:szCs w:val="2"/>
                <w:lang w:val="uk-UA"/>
              </w:rPr>
            </w:pPr>
            <w:r w:rsidRPr="00F7290F">
              <w:rPr>
                <w:noProof/>
                <w:color w:val="FF0000"/>
              </w:rPr>
              <w:drawing>
                <wp:inline distT="0" distB="0" distL="0" distR="0">
                  <wp:extent cx="3593805" cy="2498651"/>
                  <wp:effectExtent l="0" t="0" r="0" b="0"/>
                  <wp:docPr id="17"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3803" w:type="dxa"/>
            <w:vMerge/>
            <w:tcBorders>
              <w:top w:val="nil"/>
              <w:left w:val="nil"/>
              <w:bottom w:val="nil"/>
              <w:right w:val="nil"/>
            </w:tcBorders>
            <w:vAlign w:val="center"/>
          </w:tcPr>
          <w:p w:rsidR="009354A8" w:rsidRPr="00F7290F" w:rsidRDefault="009354A8" w:rsidP="00D65D2E">
            <w:pPr>
              <w:keepNext/>
              <w:widowControl w:val="0"/>
              <w:rPr>
                <w:color w:val="FF0000"/>
                <w:lang w:val="uk-UA"/>
              </w:rPr>
            </w:pPr>
          </w:p>
        </w:tc>
      </w:tr>
      <w:tr w:rsidR="009534C5" w:rsidRPr="00F7290F" w:rsidTr="009A2B40">
        <w:trPr>
          <w:trHeight w:val="273"/>
        </w:trPr>
        <w:tc>
          <w:tcPr>
            <w:tcW w:w="10103" w:type="dxa"/>
            <w:gridSpan w:val="2"/>
            <w:tcBorders>
              <w:top w:val="nil"/>
              <w:left w:val="nil"/>
              <w:bottom w:val="nil"/>
              <w:right w:val="nil"/>
            </w:tcBorders>
          </w:tcPr>
          <w:p w:rsidR="009534C5" w:rsidRPr="00F7290F" w:rsidRDefault="008D5E09" w:rsidP="00D65D2E">
            <w:pPr>
              <w:keepNext/>
              <w:widowControl w:val="0"/>
              <w:spacing w:after="60"/>
              <w:ind w:firstLine="284"/>
              <w:jc w:val="both"/>
              <w:rPr>
                <w:color w:val="FF0000"/>
                <w:lang w:val="uk-UA"/>
              </w:rPr>
            </w:pPr>
            <w:r w:rsidRPr="00F7290F">
              <w:rPr>
                <w:lang w:val="uk-UA"/>
              </w:rPr>
              <w:t>Капітального ремонту потребують 67% шкіл естетичного виховання, 50% закладів культури клубного типу, 24% музеїв, 17,8% масових та універсальних бібліотек;  в аварійному стані знаходяться 7 закладів культури клубного типу,   2 школи естетичного виховання, бібліотека, музей.</w:t>
            </w:r>
          </w:p>
        </w:tc>
      </w:tr>
      <w:tr w:rsidR="009354A8" w:rsidRPr="00F7290F" w:rsidTr="009A2B40">
        <w:trPr>
          <w:trHeight w:val="273"/>
        </w:trPr>
        <w:tc>
          <w:tcPr>
            <w:tcW w:w="6300" w:type="dxa"/>
            <w:tcBorders>
              <w:top w:val="nil"/>
              <w:left w:val="nil"/>
              <w:bottom w:val="nil"/>
              <w:right w:val="nil"/>
            </w:tcBorders>
          </w:tcPr>
          <w:p w:rsidR="009354A8" w:rsidRPr="00F7290F" w:rsidRDefault="009354A8" w:rsidP="00D65D2E">
            <w:pPr>
              <w:keepNext/>
              <w:widowControl w:val="0"/>
              <w:tabs>
                <w:tab w:val="left" w:pos="2850"/>
              </w:tabs>
              <w:spacing w:before="120"/>
              <w:jc w:val="center"/>
              <w:rPr>
                <w:b/>
                <w:highlight w:val="yellow"/>
                <w:lang w:val="uk-UA"/>
              </w:rPr>
            </w:pPr>
            <w:r w:rsidRPr="00F7290F">
              <w:rPr>
                <w:b/>
                <w:lang w:val="uk-UA"/>
              </w:rPr>
              <w:t>Туристичні потоки, тис.осіб</w:t>
            </w:r>
          </w:p>
        </w:tc>
        <w:tc>
          <w:tcPr>
            <w:tcW w:w="3803" w:type="dxa"/>
            <w:vMerge w:val="restart"/>
            <w:tcBorders>
              <w:top w:val="nil"/>
              <w:left w:val="nil"/>
              <w:bottom w:val="nil"/>
              <w:right w:val="nil"/>
            </w:tcBorders>
          </w:tcPr>
          <w:p w:rsidR="005D07E8" w:rsidRPr="00F7290F" w:rsidRDefault="005D07E8" w:rsidP="008D5E09">
            <w:pPr>
              <w:keepNext/>
              <w:widowControl w:val="0"/>
              <w:spacing w:after="60"/>
              <w:ind w:firstLine="284"/>
              <w:jc w:val="both"/>
              <w:rPr>
                <w:lang w:val="uk-UA"/>
              </w:rPr>
            </w:pPr>
          </w:p>
          <w:p w:rsidR="005D07E8" w:rsidRPr="00F7290F" w:rsidRDefault="005D07E8" w:rsidP="008D5E09">
            <w:pPr>
              <w:keepNext/>
              <w:widowControl w:val="0"/>
              <w:spacing w:after="60"/>
              <w:ind w:firstLine="284"/>
              <w:jc w:val="both"/>
              <w:rPr>
                <w:lang w:val="uk-UA"/>
              </w:rPr>
            </w:pPr>
          </w:p>
          <w:p w:rsidR="008D5E09" w:rsidRPr="00F7290F" w:rsidRDefault="008D5E09" w:rsidP="008D5E09">
            <w:pPr>
              <w:keepNext/>
              <w:widowControl w:val="0"/>
              <w:spacing w:after="60"/>
              <w:ind w:firstLine="284"/>
              <w:jc w:val="both"/>
              <w:rPr>
                <w:lang w:val="uk-UA"/>
              </w:rPr>
            </w:pPr>
            <w:r w:rsidRPr="00F7290F">
              <w:rPr>
                <w:lang w:val="uk-UA"/>
              </w:rPr>
              <w:t>Чисельність громадян, які скористались туристичними послугами, порівняно з             2011 роком збільшилась на 10%, або на 15 тис.осіб.</w:t>
            </w:r>
          </w:p>
          <w:p w:rsidR="008D5E09" w:rsidRPr="00F7290F" w:rsidRDefault="008D5E09" w:rsidP="008D5E09">
            <w:pPr>
              <w:keepNext/>
              <w:widowControl w:val="0"/>
              <w:spacing w:after="60"/>
              <w:ind w:firstLine="284"/>
              <w:jc w:val="both"/>
              <w:rPr>
                <w:lang w:val="uk-UA"/>
              </w:rPr>
            </w:pPr>
            <w:r w:rsidRPr="00F7290F">
              <w:rPr>
                <w:lang w:val="uk-UA"/>
              </w:rPr>
              <w:t>Збільшилась чисельність іноземних туристів у 3,2 рази; туристів, що виїжджали за кордон – на 11,3%, охоплених внутрішнім туризмом – на 3,3%.</w:t>
            </w:r>
          </w:p>
          <w:p w:rsidR="009354A8" w:rsidRPr="00F7290F" w:rsidRDefault="008D5E09" w:rsidP="00F236D8">
            <w:pPr>
              <w:keepNext/>
              <w:widowControl w:val="0"/>
              <w:spacing w:after="120"/>
              <w:ind w:firstLine="249"/>
              <w:jc w:val="both"/>
              <w:rPr>
                <w:color w:val="FF0000"/>
                <w:highlight w:val="yellow"/>
                <w:lang w:val="uk-UA"/>
              </w:rPr>
            </w:pPr>
            <w:r w:rsidRPr="00F7290F">
              <w:rPr>
                <w:lang w:val="uk-UA"/>
              </w:rPr>
              <w:t>Обсяг наданих  туристичних послуг склав 495,5 млн.грн., що на 1% більше, ніж у  2011 році.</w:t>
            </w:r>
          </w:p>
        </w:tc>
      </w:tr>
      <w:tr w:rsidR="009354A8" w:rsidRPr="00F7290F" w:rsidTr="009A2B40">
        <w:trPr>
          <w:trHeight w:val="2998"/>
        </w:trPr>
        <w:tc>
          <w:tcPr>
            <w:tcW w:w="6300" w:type="dxa"/>
            <w:tcBorders>
              <w:top w:val="nil"/>
              <w:left w:val="nil"/>
              <w:bottom w:val="nil"/>
              <w:right w:val="nil"/>
            </w:tcBorders>
          </w:tcPr>
          <w:p w:rsidR="009354A8" w:rsidRPr="00F7290F" w:rsidRDefault="009354A8" w:rsidP="00D65D2E">
            <w:pPr>
              <w:keepNext/>
              <w:widowControl w:val="0"/>
              <w:tabs>
                <w:tab w:val="left" w:pos="2850"/>
              </w:tabs>
              <w:jc w:val="center"/>
              <w:rPr>
                <w:b/>
                <w:color w:val="FF0000"/>
                <w:lang w:val="uk-UA"/>
              </w:rPr>
            </w:pPr>
            <w:r w:rsidRPr="00F7290F">
              <w:rPr>
                <w:noProof/>
                <w:color w:val="FF0000"/>
              </w:rPr>
              <w:drawing>
                <wp:inline distT="0" distB="0" distL="0" distR="0">
                  <wp:extent cx="3946894" cy="3104707"/>
                  <wp:effectExtent l="19050" t="0" r="0" b="0"/>
                  <wp:docPr id="18"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3803" w:type="dxa"/>
            <w:vMerge/>
            <w:tcBorders>
              <w:top w:val="nil"/>
              <w:left w:val="nil"/>
              <w:bottom w:val="nil"/>
              <w:right w:val="nil"/>
            </w:tcBorders>
            <w:vAlign w:val="center"/>
          </w:tcPr>
          <w:p w:rsidR="009354A8" w:rsidRPr="00F7290F" w:rsidRDefault="009354A8" w:rsidP="00D65D2E">
            <w:pPr>
              <w:keepNext/>
              <w:widowControl w:val="0"/>
              <w:spacing w:after="60"/>
              <w:ind w:firstLine="284"/>
              <w:rPr>
                <w:color w:val="FF0000"/>
                <w:highlight w:val="yellow"/>
                <w:lang w:val="uk-UA"/>
              </w:rPr>
            </w:pPr>
          </w:p>
        </w:tc>
      </w:tr>
      <w:tr w:rsidR="009354A8" w:rsidRPr="00F7290F" w:rsidTr="009A2B40">
        <w:trPr>
          <w:trHeight w:val="223"/>
        </w:trPr>
        <w:tc>
          <w:tcPr>
            <w:tcW w:w="6300" w:type="dxa"/>
            <w:tcBorders>
              <w:top w:val="nil"/>
              <w:left w:val="nil"/>
              <w:bottom w:val="nil"/>
              <w:right w:val="nil"/>
            </w:tcBorders>
          </w:tcPr>
          <w:p w:rsidR="009354A8" w:rsidRPr="00F7290F" w:rsidRDefault="009354A8" w:rsidP="00D65D2E">
            <w:pPr>
              <w:keepNext/>
              <w:widowControl w:val="0"/>
              <w:spacing w:before="120"/>
              <w:jc w:val="center"/>
              <w:rPr>
                <w:b/>
                <w:lang w:val="uk-UA"/>
              </w:rPr>
            </w:pPr>
            <w:r w:rsidRPr="00F7290F">
              <w:rPr>
                <w:b/>
                <w:lang w:val="uk-UA"/>
              </w:rPr>
              <w:t>Кількість населення, яке займається фізичною культурою і спортом, тис.осіб</w:t>
            </w:r>
          </w:p>
        </w:tc>
        <w:tc>
          <w:tcPr>
            <w:tcW w:w="3803" w:type="dxa"/>
            <w:vMerge w:val="restart"/>
            <w:tcBorders>
              <w:top w:val="nil"/>
              <w:left w:val="nil"/>
              <w:right w:val="nil"/>
            </w:tcBorders>
          </w:tcPr>
          <w:p w:rsidR="005B6FE9" w:rsidRPr="00F7290F" w:rsidRDefault="005B6FE9" w:rsidP="00D65D2E">
            <w:pPr>
              <w:keepNext/>
              <w:widowControl w:val="0"/>
              <w:spacing w:after="60"/>
              <w:ind w:firstLine="284"/>
              <w:jc w:val="both"/>
              <w:rPr>
                <w:color w:val="FF0000"/>
                <w:lang w:val="uk-UA"/>
              </w:rPr>
            </w:pPr>
          </w:p>
          <w:p w:rsidR="005D07E8" w:rsidRPr="00F7290F" w:rsidRDefault="005D07E8" w:rsidP="002942A7">
            <w:pPr>
              <w:keepNext/>
              <w:widowControl w:val="0"/>
              <w:spacing w:after="60"/>
              <w:ind w:firstLine="284"/>
              <w:jc w:val="both"/>
              <w:rPr>
                <w:lang w:val="uk-UA"/>
              </w:rPr>
            </w:pPr>
          </w:p>
          <w:p w:rsidR="005D07E8" w:rsidRPr="00F7290F" w:rsidRDefault="005D07E8" w:rsidP="002942A7">
            <w:pPr>
              <w:keepNext/>
              <w:widowControl w:val="0"/>
              <w:spacing w:after="60"/>
              <w:ind w:firstLine="284"/>
              <w:jc w:val="both"/>
              <w:rPr>
                <w:lang w:val="uk-UA"/>
              </w:rPr>
            </w:pPr>
          </w:p>
          <w:p w:rsidR="002942A7" w:rsidRPr="00F7290F" w:rsidRDefault="002942A7" w:rsidP="002942A7">
            <w:pPr>
              <w:keepNext/>
              <w:widowControl w:val="0"/>
              <w:spacing w:after="60"/>
              <w:ind w:firstLine="284"/>
              <w:jc w:val="both"/>
              <w:rPr>
                <w:lang w:val="uk-UA"/>
              </w:rPr>
            </w:pPr>
            <w:r w:rsidRPr="00F7290F">
              <w:rPr>
                <w:lang w:val="uk-UA"/>
              </w:rPr>
              <w:t>Кількість населення, яке займається  фізичною культурою і спортом, збільшилась на 0,6 тис. осіб.</w:t>
            </w:r>
          </w:p>
          <w:p w:rsidR="009354A8" w:rsidRPr="00F7290F" w:rsidRDefault="002942A7" w:rsidP="002942A7">
            <w:pPr>
              <w:keepNext/>
              <w:widowControl w:val="0"/>
              <w:spacing w:after="60"/>
              <w:ind w:firstLine="284"/>
              <w:jc w:val="both"/>
              <w:rPr>
                <w:color w:val="FF0000"/>
                <w:lang w:val="uk-UA"/>
              </w:rPr>
            </w:pPr>
            <w:r w:rsidRPr="00F7290F">
              <w:rPr>
                <w:lang w:val="uk-UA"/>
              </w:rPr>
              <w:t xml:space="preserve"> Питома вага населення, яке займається фізичною культурою та спортом, складає 16,9%.</w:t>
            </w:r>
          </w:p>
        </w:tc>
      </w:tr>
      <w:tr w:rsidR="009354A8" w:rsidRPr="00F7290F" w:rsidTr="009A2B40">
        <w:trPr>
          <w:trHeight w:val="2164"/>
        </w:trPr>
        <w:tc>
          <w:tcPr>
            <w:tcW w:w="6300" w:type="dxa"/>
            <w:tcBorders>
              <w:top w:val="nil"/>
              <w:left w:val="nil"/>
              <w:bottom w:val="nil"/>
              <w:right w:val="nil"/>
            </w:tcBorders>
          </w:tcPr>
          <w:p w:rsidR="009354A8" w:rsidRPr="00F7290F" w:rsidRDefault="009354A8" w:rsidP="00D65D2E">
            <w:pPr>
              <w:keepNext/>
              <w:widowControl w:val="0"/>
              <w:jc w:val="center"/>
              <w:rPr>
                <w:b/>
                <w:color w:val="FF0000"/>
                <w:lang w:val="uk-UA"/>
              </w:rPr>
            </w:pPr>
            <w:r w:rsidRPr="00F7290F">
              <w:rPr>
                <w:b/>
                <w:noProof/>
                <w:color w:val="FF0000"/>
              </w:rPr>
              <w:drawing>
                <wp:inline distT="0" distB="0" distL="0" distR="0">
                  <wp:extent cx="3870251" cy="1605516"/>
                  <wp:effectExtent l="0" t="0" r="0" b="0"/>
                  <wp:docPr id="19"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354A8" w:rsidRPr="00F7290F" w:rsidRDefault="009354A8" w:rsidP="00D65D2E">
            <w:pPr>
              <w:keepNext/>
              <w:widowControl w:val="0"/>
              <w:jc w:val="center"/>
              <w:rPr>
                <w:color w:val="FF0000"/>
                <w:highlight w:val="yellow"/>
                <w:lang w:val="uk-UA"/>
              </w:rPr>
            </w:pPr>
          </w:p>
        </w:tc>
        <w:tc>
          <w:tcPr>
            <w:tcW w:w="3803" w:type="dxa"/>
            <w:vMerge/>
            <w:tcBorders>
              <w:left w:val="nil"/>
              <w:bottom w:val="nil"/>
              <w:right w:val="nil"/>
            </w:tcBorders>
          </w:tcPr>
          <w:p w:rsidR="009354A8" w:rsidRPr="00F7290F" w:rsidRDefault="009354A8" w:rsidP="00D65D2E">
            <w:pPr>
              <w:keepNext/>
              <w:widowControl w:val="0"/>
              <w:spacing w:after="60"/>
              <w:ind w:firstLine="284"/>
              <w:jc w:val="both"/>
              <w:rPr>
                <w:color w:val="FF0000"/>
                <w:highlight w:val="yellow"/>
                <w:lang w:val="uk-UA"/>
              </w:rPr>
            </w:pPr>
          </w:p>
        </w:tc>
      </w:tr>
    </w:tbl>
    <w:p w:rsidR="002942A7" w:rsidRPr="00F7290F" w:rsidRDefault="002942A7" w:rsidP="005D07E8">
      <w:pPr>
        <w:keepNext/>
        <w:widowControl w:val="0"/>
        <w:spacing w:after="120" w:line="276" w:lineRule="auto"/>
        <w:ind w:firstLine="709"/>
        <w:jc w:val="both"/>
        <w:rPr>
          <w:lang w:val="uk-UA"/>
        </w:rPr>
      </w:pPr>
      <w:r w:rsidRPr="00F7290F">
        <w:rPr>
          <w:lang w:val="uk-UA"/>
        </w:rPr>
        <w:lastRenderedPageBreak/>
        <w:t xml:space="preserve">Протягом року в області проведено міжнародні турніри: зі стрибків з жердиною «Зірки жердини», з боксу серед професіоналів, Всесвітньої федерації танцювального спорту «Кубок Губернатора – Донбас 2012», з велоспорту «Гран-прі Донецька 2012», з </w:t>
      </w:r>
      <w:r w:rsidR="00F7290F" w:rsidRPr="00F7290F">
        <w:rPr>
          <w:lang w:val="uk-UA"/>
        </w:rPr>
        <w:t>настільного</w:t>
      </w:r>
      <w:r w:rsidRPr="00F7290F">
        <w:rPr>
          <w:lang w:val="uk-UA"/>
        </w:rPr>
        <w:t xml:space="preserve"> тенісу «Україна NORD OPEN», з греко - римської боротьби, з тенісу «Кубок Віккорт», з кінного спорту «Донбас Тур 2012», з дзюдо на призи Заслуженого тренера України Ю. Зусера серед молоді до 23 років, з велоспорту маунтенбайку на призи спортивного клубу «ІСD», чемпіонат Європи з пауерліфтінгу, матчі фінальної частини чемпіонату Європи 2012 року з футболу.</w:t>
      </w:r>
    </w:p>
    <w:p w:rsidR="000D1E64" w:rsidRPr="00F7290F" w:rsidRDefault="000D1E64" w:rsidP="005D07E8">
      <w:pPr>
        <w:keepNext/>
        <w:widowControl w:val="0"/>
        <w:spacing w:after="120" w:line="276" w:lineRule="auto"/>
        <w:ind w:firstLine="709"/>
        <w:jc w:val="both"/>
        <w:rPr>
          <w:spacing w:val="-6"/>
          <w:lang w:val="uk-UA"/>
        </w:rPr>
      </w:pPr>
      <w:r w:rsidRPr="00F7290F">
        <w:rPr>
          <w:spacing w:val="-6"/>
          <w:lang w:val="uk-UA"/>
        </w:rPr>
        <w:t>Забезпечено виконання заходів Державної цільової програми з підготовки та проведення в Україні фінальної частини чемпіонату Європи 2012 року з футболу.</w:t>
      </w:r>
    </w:p>
    <w:p w:rsidR="000D1E64" w:rsidRPr="00F7290F" w:rsidRDefault="000D1E64" w:rsidP="005D07E8">
      <w:pPr>
        <w:keepNext/>
        <w:widowControl w:val="0"/>
        <w:spacing w:after="120" w:line="276" w:lineRule="auto"/>
        <w:ind w:firstLine="709"/>
        <w:jc w:val="both"/>
        <w:rPr>
          <w:lang w:val="uk-UA"/>
        </w:rPr>
      </w:pPr>
      <w:r w:rsidRPr="00F7290F">
        <w:rPr>
          <w:lang w:val="uk-UA"/>
        </w:rPr>
        <w:t>14 травня 2012 року відбулося відкриття нового терміналу КП «Міжнародний аеропорт Донецьк ім. С.С. Прокоф’єва», пропускною спроможністю 3100 пасажирів на годину (при піковому навантаженні). Будівля нового терміналу відповідає всім міжнародним стандартам і вимогам з обслуговування пасажирів, термінал оснащений сучасною оглядової технікою.</w:t>
      </w:r>
    </w:p>
    <w:p w:rsidR="000D1E64" w:rsidRPr="00F7290F" w:rsidRDefault="000D1E64" w:rsidP="005D07E8">
      <w:pPr>
        <w:keepNext/>
        <w:widowControl w:val="0"/>
        <w:spacing w:after="120" w:line="276" w:lineRule="auto"/>
        <w:ind w:firstLine="709"/>
        <w:jc w:val="both"/>
        <w:rPr>
          <w:lang w:val="uk-UA"/>
        </w:rPr>
      </w:pPr>
      <w:r w:rsidRPr="00F7290F">
        <w:rPr>
          <w:lang w:val="uk-UA"/>
        </w:rPr>
        <w:t>Нова штучна злітно-посадкова смуга дозволяє приймати усі типи повітряних суден.</w:t>
      </w:r>
    </w:p>
    <w:p w:rsidR="000D1E64" w:rsidRPr="00F7290F" w:rsidRDefault="000D1E64" w:rsidP="005D07E8">
      <w:pPr>
        <w:keepNext/>
        <w:widowControl w:val="0"/>
        <w:spacing w:after="120" w:line="276" w:lineRule="auto"/>
        <w:ind w:firstLine="709"/>
        <w:jc w:val="both"/>
        <w:rPr>
          <w:lang w:val="uk-UA"/>
        </w:rPr>
      </w:pPr>
      <w:r w:rsidRPr="00F7290F">
        <w:rPr>
          <w:lang w:val="uk-UA"/>
        </w:rPr>
        <w:t>В цілому станом на 01.09.2012 заходи з розвитку Донецького аеропорту профінансовано в обсязі 1073,9 млн.грн.</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21 травня 2012 року відкрито новий вокзальний комплекс залізничної станції «Донецьк», який складається з реконструйованої основної будівлі вокзалу, збудованих приміського і транзитних вокзалів, двох торгових комплексів, двох конкорсів та приміської автостанції. </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Реконструйований вокзальний комплекс зможе обслуговувати на рівні </w:t>
      </w:r>
      <w:r w:rsidR="00F236D8">
        <w:rPr>
          <w:lang w:val="uk-UA"/>
        </w:rPr>
        <w:t xml:space="preserve">                        </w:t>
      </w:r>
      <w:r w:rsidRPr="00F7290F">
        <w:rPr>
          <w:lang w:val="uk-UA"/>
        </w:rPr>
        <w:t>35000 пасажирів на добу. Суттєво зросла кількість місць в кімнатах відпочинку та залах очікування – до 510, створені комфортні умови для переміщення та перебування людей з обмеженими фізичними можливостями.</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Відповідно до Державної цільової Програми ЄВРО-2012 на оновлення парку тролейбусів та автобусів на умовах відкриття кредитної лінії спрямовано 111,2 млн.грн. за рахунок коштів міського бюджету. У поточному році приймаюче місто Донецьк отримало </w:t>
      </w:r>
      <w:r w:rsidR="00F236D8">
        <w:rPr>
          <w:lang w:val="uk-UA"/>
        </w:rPr>
        <w:t xml:space="preserve">            </w:t>
      </w:r>
      <w:r w:rsidRPr="00F7290F">
        <w:rPr>
          <w:lang w:val="uk-UA"/>
        </w:rPr>
        <w:t xml:space="preserve">17 тролейбусів. </w:t>
      </w:r>
    </w:p>
    <w:p w:rsidR="000D1E64" w:rsidRPr="00F7290F" w:rsidRDefault="000D1E64" w:rsidP="005D07E8">
      <w:pPr>
        <w:keepNext/>
        <w:widowControl w:val="0"/>
        <w:spacing w:after="120" w:line="276" w:lineRule="auto"/>
        <w:ind w:firstLine="709"/>
        <w:jc w:val="both"/>
        <w:rPr>
          <w:lang w:val="uk-UA"/>
        </w:rPr>
      </w:pPr>
      <w:r w:rsidRPr="00F7290F">
        <w:rPr>
          <w:lang w:val="uk-UA"/>
        </w:rPr>
        <w:t>На будівництво, реконструкцію, капітальний ремонт мереж і споруд централізованого водопостачання виділено 0,3 млн.грн. з міського бюджету.</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Завершено будівництво транспортної розв'язки в районі стадіону «Донбас Арена», а також реконструкцію та капітальний ремонт автодоріг в центральній частині міста, виконані капітальні ремонти під'їзних автодоріг і доріг на території лікарень міста. </w:t>
      </w:r>
    </w:p>
    <w:p w:rsidR="000D1E64" w:rsidRPr="00F7290F" w:rsidRDefault="000D1E64" w:rsidP="005D07E8">
      <w:pPr>
        <w:keepNext/>
        <w:widowControl w:val="0"/>
        <w:spacing w:after="120" w:line="276" w:lineRule="auto"/>
        <w:ind w:firstLine="709"/>
        <w:jc w:val="both"/>
        <w:rPr>
          <w:lang w:val="uk-UA"/>
        </w:rPr>
      </w:pPr>
      <w:r w:rsidRPr="00F7290F">
        <w:rPr>
          <w:lang w:val="uk-UA"/>
        </w:rPr>
        <w:t>На будівництво зон паркування для відстою транспорту виділено 16,3 млн.грн. з міського бюджету.</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Побудовано і реконструйовано 11 готелів на 984 номери, з яких 5 – у м. Донецьку. </w:t>
      </w:r>
    </w:p>
    <w:p w:rsidR="000E079E" w:rsidRPr="00F7290F" w:rsidRDefault="000D1E64" w:rsidP="009A2B40">
      <w:pPr>
        <w:keepNext/>
        <w:widowControl w:val="0"/>
        <w:spacing w:after="120" w:line="276" w:lineRule="auto"/>
        <w:ind w:firstLine="709"/>
        <w:jc w:val="both"/>
        <w:rPr>
          <w:color w:val="FF0000"/>
          <w:lang w:val="uk-UA"/>
        </w:rPr>
      </w:pPr>
      <w:r w:rsidRPr="00F7290F">
        <w:rPr>
          <w:lang w:val="uk-UA"/>
        </w:rPr>
        <w:t xml:space="preserve">В цілому станом на 01.09.2012 на фінансування заходів Програми ЄВРО 2012 було спрямовано 3,1 млрд.грн., в тому числі за рахунок державних коштів – 2,9 млрд.грн., місцевих бюджетів – 0,2 млрд.грн. </w:t>
      </w:r>
    </w:p>
    <w:tbl>
      <w:tblPr>
        <w:tblW w:w="10103" w:type="dxa"/>
        <w:tblInd w:w="-72" w:type="dxa"/>
        <w:tblLayout w:type="fixed"/>
        <w:tblLook w:val="01E0"/>
      </w:tblPr>
      <w:tblGrid>
        <w:gridCol w:w="5709"/>
        <w:gridCol w:w="283"/>
        <w:gridCol w:w="142"/>
        <w:gridCol w:w="283"/>
        <w:gridCol w:w="3686"/>
      </w:tblGrid>
      <w:tr w:rsidR="00FD11E9" w:rsidRPr="00F7290F" w:rsidTr="00D67E50">
        <w:tc>
          <w:tcPr>
            <w:tcW w:w="6134" w:type="dxa"/>
            <w:gridSpan w:val="3"/>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lastRenderedPageBreak/>
              <w:t xml:space="preserve">Надходження забруднюючих речовин </w:t>
            </w:r>
          </w:p>
          <w:p w:rsidR="00FD11E9" w:rsidRPr="00F7290F" w:rsidRDefault="00FD11E9" w:rsidP="00D65D2E">
            <w:pPr>
              <w:keepNext/>
              <w:widowControl w:val="0"/>
              <w:jc w:val="center"/>
              <w:rPr>
                <w:b/>
                <w:color w:val="000000" w:themeColor="text1"/>
                <w:lang w:val="uk-UA"/>
              </w:rPr>
            </w:pPr>
            <w:r w:rsidRPr="00F7290F">
              <w:rPr>
                <w:b/>
                <w:color w:val="000000" w:themeColor="text1"/>
                <w:lang w:val="uk-UA"/>
              </w:rPr>
              <w:t>в атмосферне повітря, тис.т</w:t>
            </w:r>
          </w:p>
        </w:tc>
        <w:tc>
          <w:tcPr>
            <w:tcW w:w="3969" w:type="dxa"/>
            <w:gridSpan w:val="2"/>
            <w:vMerge w:val="restart"/>
          </w:tcPr>
          <w:p w:rsidR="00FD11E9" w:rsidRPr="00F7290F" w:rsidRDefault="00FD11E9" w:rsidP="00D65D2E">
            <w:pPr>
              <w:keepNext/>
              <w:widowControl w:val="0"/>
              <w:spacing w:after="60"/>
              <w:ind w:firstLine="284"/>
              <w:jc w:val="both"/>
              <w:rPr>
                <w:color w:val="000000" w:themeColor="text1"/>
                <w:spacing w:val="-2"/>
                <w:lang w:val="uk-UA"/>
              </w:rPr>
            </w:pPr>
            <w:r w:rsidRPr="00F7290F">
              <w:rPr>
                <w:color w:val="000000" w:themeColor="text1"/>
                <w:spacing w:val="-2"/>
                <w:lang w:val="uk-UA"/>
              </w:rPr>
              <w:t>Область за станом  навколи</w:t>
            </w:r>
            <w:r w:rsidR="00E00427" w:rsidRPr="00F7290F">
              <w:rPr>
                <w:color w:val="000000" w:themeColor="text1"/>
                <w:spacing w:val="-2"/>
                <w:lang w:val="uk-UA"/>
              </w:rPr>
              <w:softHyphen/>
            </w:r>
            <w:r w:rsidRPr="00F7290F">
              <w:rPr>
                <w:color w:val="000000" w:themeColor="text1"/>
                <w:spacing w:val="-2"/>
                <w:lang w:val="uk-UA"/>
              </w:rPr>
              <w:t xml:space="preserve">шнього природного середовища </w:t>
            </w:r>
            <w:r w:rsidR="007508F9" w:rsidRPr="00F7290F">
              <w:rPr>
                <w:color w:val="000000" w:themeColor="text1"/>
                <w:spacing w:val="-2"/>
                <w:lang w:val="uk-UA"/>
              </w:rPr>
              <w:t>є</w:t>
            </w:r>
            <w:r w:rsidRPr="00F7290F">
              <w:rPr>
                <w:color w:val="000000" w:themeColor="text1"/>
                <w:spacing w:val="-2"/>
                <w:lang w:val="uk-UA"/>
              </w:rPr>
              <w:t xml:space="preserve"> най</w:t>
            </w:r>
            <w:r w:rsidRPr="00F7290F">
              <w:rPr>
                <w:color w:val="000000" w:themeColor="text1"/>
                <w:spacing w:val="-2"/>
                <w:lang w:val="uk-UA"/>
              </w:rPr>
              <w:softHyphen/>
              <w:t>більш забрудненим регіоном країни.</w:t>
            </w:r>
          </w:p>
          <w:p w:rsidR="00FD11E9" w:rsidRPr="00F7290F" w:rsidRDefault="007508F9" w:rsidP="00D65D2E">
            <w:pPr>
              <w:keepNext/>
              <w:widowControl w:val="0"/>
              <w:spacing w:after="60"/>
              <w:ind w:firstLine="284"/>
              <w:jc w:val="both"/>
              <w:rPr>
                <w:color w:val="000000" w:themeColor="text1"/>
                <w:spacing w:val="-2"/>
                <w:lang w:val="uk-UA"/>
              </w:rPr>
            </w:pPr>
            <w:r w:rsidRPr="00F7290F">
              <w:rPr>
                <w:color w:val="000000" w:themeColor="text1"/>
                <w:lang w:val="uk-UA"/>
              </w:rPr>
              <w:t>З 2009 року спостерігається</w:t>
            </w:r>
            <w:r w:rsidR="007A114B" w:rsidRPr="00F7290F">
              <w:rPr>
                <w:color w:val="000000" w:themeColor="text1"/>
                <w:lang w:val="uk-UA"/>
              </w:rPr>
              <w:t xml:space="preserve"> тенденція до росту о</w:t>
            </w:r>
            <w:r w:rsidR="00FD11E9" w:rsidRPr="00F7290F">
              <w:rPr>
                <w:color w:val="000000" w:themeColor="text1"/>
                <w:lang w:val="uk-UA"/>
              </w:rPr>
              <w:t>бсяг</w:t>
            </w:r>
            <w:r w:rsidRPr="00F7290F">
              <w:rPr>
                <w:color w:val="000000" w:themeColor="text1"/>
                <w:lang w:val="uk-UA"/>
              </w:rPr>
              <w:t>у</w:t>
            </w:r>
            <w:r w:rsidR="00FD11E9" w:rsidRPr="00F7290F">
              <w:rPr>
                <w:color w:val="000000" w:themeColor="text1"/>
                <w:lang w:val="uk-UA"/>
              </w:rPr>
              <w:t xml:space="preserve"> викидів забруднюю</w:t>
            </w:r>
            <w:r w:rsidR="00FD11E9" w:rsidRPr="00F7290F">
              <w:rPr>
                <w:color w:val="000000" w:themeColor="text1"/>
                <w:lang w:val="uk-UA"/>
              </w:rPr>
              <w:softHyphen/>
              <w:t>чих речовин в атмосферне повітря</w:t>
            </w:r>
            <w:r w:rsidRPr="00F7290F">
              <w:rPr>
                <w:color w:val="000000" w:themeColor="text1"/>
                <w:lang w:val="uk-UA"/>
              </w:rPr>
              <w:t xml:space="preserve"> та збільшення частки </w:t>
            </w:r>
            <w:r w:rsidR="002D7951" w:rsidRPr="00F7290F">
              <w:rPr>
                <w:color w:val="000000" w:themeColor="text1"/>
                <w:lang w:val="uk-UA"/>
              </w:rPr>
              <w:t>області до 25,1% у загальноукраїнському показнику. В</w:t>
            </w:r>
            <w:r w:rsidR="00FD11E9" w:rsidRPr="00F7290F">
              <w:rPr>
                <w:color w:val="000000" w:themeColor="text1"/>
                <w:lang w:val="uk-UA"/>
              </w:rPr>
              <w:t xml:space="preserve"> 201</w:t>
            </w:r>
            <w:r w:rsidR="007A114B" w:rsidRPr="00F7290F">
              <w:rPr>
                <w:color w:val="000000" w:themeColor="text1"/>
                <w:lang w:val="uk-UA"/>
              </w:rPr>
              <w:t>1</w:t>
            </w:r>
            <w:r w:rsidR="00FD11E9" w:rsidRPr="00F7290F">
              <w:rPr>
                <w:color w:val="000000" w:themeColor="text1"/>
                <w:lang w:val="uk-UA"/>
              </w:rPr>
              <w:t xml:space="preserve"> році до рівня 20</w:t>
            </w:r>
            <w:r w:rsidR="007A114B" w:rsidRPr="00F7290F">
              <w:rPr>
                <w:color w:val="000000" w:themeColor="text1"/>
                <w:lang w:val="uk-UA"/>
              </w:rPr>
              <w:t>10</w:t>
            </w:r>
            <w:r w:rsidR="00FD11E9" w:rsidRPr="00F7290F">
              <w:rPr>
                <w:color w:val="000000" w:themeColor="text1"/>
                <w:lang w:val="uk-UA"/>
              </w:rPr>
              <w:t xml:space="preserve"> року </w:t>
            </w:r>
            <w:r w:rsidR="002D7951" w:rsidRPr="00F7290F">
              <w:rPr>
                <w:color w:val="000000" w:themeColor="text1"/>
                <w:lang w:val="uk-UA"/>
              </w:rPr>
              <w:t>викиди збільшились</w:t>
            </w:r>
            <w:r w:rsidRPr="00F7290F">
              <w:rPr>
                <w:color w:val="000000" w:themeColor="text1"/>
                <w:lang w:val="uk-UA"/>
              </w:rPr>
              <w:t xml:space="preserve"> </w:t>
            </w:r>
            <w:r w:rsidR="00FD11E9" w:rsidRPr="00F7290F">
              <w:rPr>
                <w:color w:val="000000" w:themeColor="text1"/>
                <w:lang w:val="uk-UA"/>
              </w:rPr>
              <w:t xml:space="preserve">на </w:t>
            </w:r>
            <w:r w:rsidRPr="00F7290F">
              <w:rPr>
                <w:color w:val="000000" w:themeColor="text1"/>
                <w:lang w:val="uk-UA"/>
              </w:rPr>
              <w:t>8,8</w:t>
            </w:r>
            <w:r w:rsidR="00FD11E9" w:rsidRPr="00F7290F">
              <w:rPr>
                <w:color w:val="000000" w:themeColor="text1"/>
                <w:lang w:val="uk-UA"/>
              </w:rPr>
              <w:t xml:space="preserve">% </w:t>
            </w:r>
            <w:r w:rsidRPr="00F7290F">
              <w:rPr>
                <w:color w:val="000000" w:themeColor="text1"/>
                <w:lang w:val="uk-UA"/>
              </w:rPr>
              <w:t>.</w:t>
            </w:r>
          </w:p>
        </w:tc>
      </w:tr>
      <w:tr w:rsidR="00FD11E9" w:rsidRPr="00F7290F" w:rsidTr="00D67E50">
        <w:trPr>
          <w:trHeight w:val="2730"/>
        </w:trPr>
        <w:tc>
          <w:tcPr>
            <w:tcW w:w="6134" w:type="dxa"/>
            <w:gridSpan w:val="3"/>
          </w:tcPr>
          <w:p w:rsidR="00FD11E9" w:rsidRPr="00F7290F" w:rsidRDefault="00FD11E9" w:rsidP="00D65D2E">
            <w:pPr>
              <w:keepNext/>
              <w:widowControl w:val="0"/>
              <w:jc w:val="center"/>
              <w:rPr>
                <w:b/>
                <w:color w:val="000000" w:themeColor="text1"/>
                <w:sz w:val="2"/>
                <w:szCs w:val="2"/>
                <w:lang w:val="uk-UA"/>
              </w:rPr>
            </w:pPr>
            <w:r w:rsidRPr="00F7290F">
              <w:rPr>
                <w:b/>
                <w:noProof/>
                <w:color w:val="000000" w:themeColor="text1"/>
              </w:rPr>
              <w:drawing>
                <wp:inline distT="0" distB="0" distL="0" distR="0">
                  <wp:extent cx="3874770" cy="1725930"/>
                  <wp:effectExtent l="0" t="0" r="0" b="0"/>
                  <wp:docPr id="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3969" w:type="dxa"/>
            <w:gridSpan w:val="2"/>
            <w:vMerge/>
          </w:tcPr>
          <w:p w:rsidR="00FD11E9" w:rsidRPr="00F7290F" w:rsidRDefault="00FD11E9" w:rsidP="00D65D2E">
            <w:pPr>
              <w:keepNext/>
              <w:widowControl w:val="0"/>
              <w:spacing w:after="120"/>
              <w:ind w:firstLine="284"/>
              <w:jc w:val="both"/>
              <w:rPr>
                <w:color w:val="000000" w:themeColor="text1"/>
                <w:spacing w:val="-2"/>
                <w:lang w:val="uk-UA"/>
              </w:rPr>
            </w:pPr>
          </w:p>
        </w:tc>
      </w:tr>
      <w:tr w:rsidR="00FD11E9" w:rsidRPr="00F7290F" w:rsidTr="00D67E50">
        <w:tc>
          <w:tcPr>
            <w:tcW w:w="10103" w:type="dxa"/>
            <w:gridSpan w:val="5"/>
          </w:tcPr>
          <w:p w:rsidR="00FD11E9" w:rsidRPr="00F7290F" w:rsidRDefault="00FD11E9" w:rsidP="00D65D2E">
            <w:pPr>
              <w:keepNext/>
              <w:widowControl w:val="0"/>
              <w:ind w:firstLine="284"/>
              <w:jc w:val="both"/>
              <w:rPr>
                <w:color w:val="000000" w:themeColor="text1"/>
                <w:lang w:val="uk-UA"/>
              </w:rPr>
            </w:pPr>
            <w:r w:rsidRPr="00F7290F">
              <w:rPr>
                <w:color w:val="000000" w:themeColor="text1"/>
                <w:lang w:val="uk-UA"/>
              </w:rPr>
              <w:t>Щільність викидів у розра</w:t>
            </w:r>
            <w:r w:rsidRPr="00F7290F">
              <w:rPr>
                <w:color w:val="000000" w:themeColor="text1"/>
                <w:lang w:val="uk-UA"/>
              </w:rPr>
              <w:softHyphen/>
              <w:t>хунку на квадратний кілометр території сягнула 6</w:t>
            </w:r>
            <w:r w:rsidR="007508F9" w:rsidRPr="00F7290F">
              <w:rPr>
                <w:color w:val="000000" w:themeColor="text1"/>
                <w:lang w:val="uk-UA"/>
              </w:rPr>
              <w:t>5,3</w:t>
            </w:r>
            <w:r w:rsidRPr="00F7290F">
              <w:rPr>
                <w:color w:val="000000" w:themeColor="text1"/>
                <w:lang w:val="uk-UA"/>
              </w:rPr>
              <w:t xml:space="preserve"> т, що  в</w:t>
            </w:r>
            <w:r w:rsidRPr="00F7290F">
              <w:rPr>
                <w:b/>
                <w:color w:val="000000" w:themeColor="text1"/>
                <w:lang w:val="uk-UA"/>
              </w:rPr>
              <w:t xml:space="preserve">             </w:t>
            </w:r>
            <w:r w:rsidRPr="00F7290F">
              <w:rPr>
                <w:color w:val="000000" w:themeColor="text1"/>
                <w:lang w:val="uk-UA"/>
              </w:rPr>
              <w:t>5,</w:t>
            </w:r>
            <w:r w:rsidR="007508F9" w:rsidRPr="00F7290F">
              <w:rPr>
                <w:color w:val="000000" w:themeColor="text1"/>
                <w:lang w:val="uk-UA"/>
              </w:rPr>
              <w:t>7</w:t>
            </w:r>
            <w:r w:rsidRPr="00F7290F">
              <w:rPr>
                <w:color w:val="000000" w:themeColor="text1"/>
                <w:lang w:val="uk-UA"/>
              </w:rPr>
              <w:t xml:space="preserve"> рази більше, ніж в середньому по Україні, та суттєво вище, ніж в інших промислово-розвинутих регіонах країни.</w:t>
            </w:r>
          </w:p>
          <w:p w:rsidR="00FD11E9" w:rsidRPr="00F7290F" w:rsidRDefault="002D7951" w:rsidP="00DE14BA">
            <w:pPr>
              <w:keepNext/>
              <w:widowControl w:val="0"/>
              <w:spacing w:after="120"/>
              <w:ind w:firstLine="284"/>
              <w:jc w:val="both"/>
              <w:rPr>
                <w:color w:val="000000" w:themeColor="text1"/>
                <w:spacing w:val="-4"/>
                <w:lang w:val="uk-UA"/>
              </w:rPr>
            </w:pPr>
            <w:r w:rsidRPr="00F7290F">
              <w:rPr>
                <w:color w:val="000000" w:themeColor="text1"/>
                <w:spacing w:val="-4"/>
                <w:lang w:val="uk-UA"/>
              </w:rPr>
              <w:t>Основними забруднювачами атмосферного повітря в регіоні є підприємства металургії, вугільн</w:t>
            </w:r>
            <w:r w:rsidR="00073564" w:rsidRPr="00F7290F">
              <w:rPr>
                <w:color w:val="000000" w:themeColor="text1"/>
                <w:spacing w:val="-4"/>
                <w:lang w:val="uk-UA"/>
              </w:rPr>
              <w:t>ої промисловості</w:t>
            </w:r>
            <w:r w:rsidRPr="00F7290F">
              <w:rPr>
                <w:color w:val="000000" w:themeColor="text1"/>
                <w:spacing w:val="-4"/>
                <w:lang w:val="uk-UA"/>
              </w:rPr>
              <w:t xml:space="preserve"> та підприємства-виробники електроенергії, на які у 2011 році припадало 92,9% загального обсягу викидів по області. Значне навантаження на повітряний басейн спостерігається в м.Маріуполі, на який припало чверть усіх викидів по області (382,4 тис.т).</w:t>
            </w:r>
          </w:p>
        </w:tc>
      </w:tr>
      <w:tr w:rsidR="009864D3" w:rsidRPr="00F7290F" w:rsidTr="00D67E50">
        <w:tc>
          <w:tcPr>
            <w:tcW w:w="5992" w:type="dxa"/>
            <w:gridSpan w:val="2"/>
          </w:tcPr>
          <w:p w:rsidR="009864D3" w:rsidRPr="00F7290F" w:rsidRDefault="009864D3" w:rsidP="00D65D2E">
            <w:pPr>
              <w:keepNext/>
              <w:widowControl w:val="0"/>
              <w:jc w:val="center"/>
              <w:rPr>
                <w:b/>
                <w:color w:val="000000" w:themeColor="text1"/>
                <w:lang w:val="uk-UA"/>
              </w:rPr>
            </w:pPr>
            <w:r w:rsidRPr="00F7290F">
              <w:rPr>
                <w:b/>
                <w:color w:val="000000" w:themeColor="text1"/>
                <w:lang w:val="uk-UA"/>
              </w:rPr>
              <w:t xml:space="preserve">Обсяги скинутих у поверхневі водні об’єкти </w:t>
            </w:r>
          </w:p>
          <w:p w:rsidR="009864D3" w:rsidRPr="00F7290F" w:rsidRDefault="009864D3" w:rsidP="00D65D2E">
            <w:pPr>
              <w:keepNext/>
              <w:widowControl w:val="0"/>
              <w:jc w:val="center"/>
              <w:rPr>
                <w:b/>
                <w:noProof/>
                <w:color w:val="FF0000"/>
                <w:lang w:val="uk-UA"/>
              </w:rPr>
            </w:pPr>
            <w:r w:rsidRPr="00F7290F">
              <w:rPr>
                <w:b/>
                <w:color w:val="000000" w:themeColor="text1"/>
                <w:lang w:val="uk-UA"/>
              </w:rPr>
              <w:t>зворотних (стічних) вод, млн.куб.м</w:t>
            </w:r>
          </w:p>
        </w:tc>
        <w:tc>
          <w:tcPr>
            <w:tcW w:w="4111" w:type="dxa"/>
            <w:gridSpan w:val="3"/>
            <w:vMerge w:val="restart"/>
          </w:tcPr>
          <w:p w:rsidR="009864D3" w:rsidRPr="00F7290F" w:rsidRDefault="009864D3" w:rsidP="00D65D2E">
            <w:pPr>
              <w:keepNext/>
              <w:widowControl w:val="0"/>
              <w:spacing w:after="60"/>
              <w:ind w:firstLine="284"/>
              <w:jc w:val="both"/>
              <w:rPr>
                <w:color w:val="000000" w:themeColor="text1"/>
                <w:spacing w:val="-6"/>
                <w:lang w:val="uk-UA"/>
              </w:rPr>
            </w:pPr>
            <w:r w:rsidRPr="00F7290F">
              <w:rPr>
                <w:color w:val="000000" w:themeColor="text1"/>
                <w:spacing w:val="-6"/>
                <w:lang w:val="uk-UA"/>
              </w:rPr>
              <w:t>У 2011 році скид</w:t>
            </w:r>
            <w:r w:rsidR="001D0605" w:rsidRPr="00F7290F">
              <w:rPr>
                <w:color w:val="000000" w:themeColor="text1"/>
                <w:spacing w:val="-6"/>
                <w:lang w:val="uk-UA"/>
              </w:rPr>
              <w:t>и</w:t>
            </w:r>
            <w:r w:rsidRPr="00F7290F">
              <w:rPr>
                <w:color w:val="000000" w:themeColor="text1"/>
                <w:spacing w:val="-6"/>
                <w:lang w:val="uk-UA"/>
              </w:rPr>
              <w:t xml:space="preserve"> забруднених зворотних вод у поверхневі водні об’єкти </w:t>
            </w:r>
            <w:r w:rsidR="001D0605" w:rsidRPr="00F7290F">
              <w:rPr>
                <w:color w:val="000000" w:themeColor="text1"/>
                <w:spacing w:val="-6"/>
                <w:lang w:val="uk-UA"/>
              </w:rPr>
              <w:t xml:space="preserve">в області </w:t>
            </w:r>
            <w:r w:rsidRPr="00F7290F">
              <w:rPr>
                <w:color w:val="000000" w:themeColor="text1"/>
                <w:spacing w:val="-6"/>
                <w:lang w:val="uk-UA"/>
              </w:rPr>
              <w:t xml:space="preserve">в розрахунку на </w:t>
            </w:r>
            <w:r w:rsidR="00F236D8">
              <w:rPr>
                <w:color w:val="000000" w:themeColor="text1"/>
                <w:spacing w:val="-6"/>
                <w:lang w:val="uk-UA"/>
              </w:rPr>
              <w:t xml:space="preserve">               </w:t>
            </w:r>
            <w:r w:rsidRPr="00F7290F">
              <w:rPr>
                <w:color w:val="000000" w:themeColor="text1"/>
                <w:spacing w:val="-6"/>
                <w:lang w:val="uk-UA"/>
              </w:rPr>
              <w:t>1 особу скла</w:t>
            </w:r>
            <w:r w:rsidR="001D0605" w:rsidRPr="00F7290F">
              <w:rPr>
                <w:color w:val="000000" w:themeColor="text1"/>
                <w:spacing w:val="-6"/>
                <w:lang w:val="uk-UA"/>
              </w:rPr>
              <w:t>ли</w:t>
            </w:r>
            <w:r w:rsidRPr="00F7290F">
              <w:rPr>
                <w:color w:val="000000" w:themeColor="text1"/>
                <w:spacing w:val="-6"/>
                <w:lang w:val="uk-UA"/>
              </w:rPr>
              <w:t xml:space="preserve"> 125 м³, що у 3,6 рази більше, ніж у середньому по Україні (35 м³).</w:t>
            </w:r>
          </w:p>
          <w:p w:rsidR="009864D3" w:rsidRPr="00F7290F" w:rsidRDefault="009864D3" w:rsidP="00D65D2E">
            <w:pPr>
              <w:keepNext/>
              <w:widowControl w:val="0"/>
              <w:ind w:firstLine="284"/>
              <w:jc w:val="both"/>
              <w:rPr>
                <w:color w:val="FF0000"/>
                <w:spacing w:val="-6"/>
                <w:lang w:val="uk-UA"/>
              </w:rPr>
            </w:pPr>
            <w:r w:rsidRPr="00F7290F">
              <w:rPr>
                <w:color w:val="000000" w:themeColor="text1"/>
                <w:spacing w:val="-2"/>
                <w:lang w:val="uk-UA"/>
              </w:rPr>
              <w:t>Основними причинами скидання забруднених стоків у поверхневі водойми були нестача у більшості населених пунктів області центрального водопостачання, низька якість очищення зворотної води, незадовільний стан функціонуючих очисних споруд.</w:t>
            </w:r>
          </w:p>
        </w:tc>
      </w:tr>
      <w:tr w:rsidR="009864D3" w:rsidRPr="00F7290F" w:rsidTr="00D67E50">
        <w:tc>
          <w:tcPr>
            <w:tcW w:w="5992" w:type="dxa"/>
            <w:gridSpan w:val="2"/>
          </w:tcPr>
          <w:p w:rsidR="009864D3" w:rsidRPr="00F7290F" w:rsidRDefault="009864D3" w:rsidP="00D65D2E">
            <w:pPr>
              <w:keepNext/>
              <w:widowControl w:val="0"/>
              <w:spacing w:before="120"/>
              <w:jc w:val="center"/>
              <w:rPr>
                <w:b/>
                <w:color w:val="FF0000"/>
                <w:lang w:val="uk-UA"/>
              </w:rPr>
            </w:pPr>
            <w:r w:rsidRPr="00F7290F">
              <w:rPr>
                <w:b/>
                <w:noProof/>
                <w:color w:val="FF0000"/>
              </w:rPr>
              <w:drawing>
                <wp:inline distT="0" distB="0" distL="0" distR="0">
                  <wp:extent cx="3762375" cy="2124075"/>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111" w:type="dxa"/>
            <w:gridSpan w:val="3"/>
            <w:vMerge/>
          </w:tcPr>
          <w:p w:rsidR="009864D3" w:rsidRPr="00F7290F" w:rsidRDefault="009864D3" w:rsidP="00D65D2E">
            <w:pPr>
              <w:keepNext/>
              <w:widowControl w:val="0"/>
              <w:spacing w:before="120" w:after="60"/>
              <w:ind w:firstLine="284"/>
              <w:jc w:val="both"/>
              <w:rPr>
                <w:color w:val="FF0000"/>
                <w:spacing w:val="-6"/>
                <w:lang w:val="uk-UA"/>
              </w:rPr>
            </w:pPr>
          </w:p>
        </w:tc>
      </w:tr>
      <w:tr w:rsidR="00FD11E9" w:rsidRPr="00F7290F" w:rsidTr="00D67E50">
        <w:tc>
          <w:tcPr>
            <w:tcW w:w="5992" w:type="dxa"/>
            <w:gridSpan w:val="2"/>
          </w:tcPr>
          <w:p w:rsidR="00FD11E9" w:rsidRPr="00F7290F" w:rsidRDefault="00FD11E9" w:rsidP="00D65D2E">
            <w:pPr>
              <w:keepNext/>
              <w:widowControl w:val="0"/>
              <w:spacing w:before="120"/>
              <w:jc w:val="center"/>
              <w:rPr>
                <w:b/>
                <w:color w:val="000000" w:themeColor="text1"/>
                <w:lang w:val="uk-UA"/>
              </w:rPr>
            </w:pPr>
            <w:r w:rsidRPr="00F7290F">
              <w:rPr>
                <w:b/>
                <w:color w:val="000000" w:themeColor="text1"/>
                <w:lang w:val="uk-UA"/>
              </w:rPr>
              <w:t>Утворення відходів І-І</w:t>
            </w:r>
            <w:r w:rsidR="00BE6310" w:rsidRPr="00F7290F">
              <w:rPr>
                <w:b/>
                <w:color w:val="000000" w:themeColor="text1"/>
                <w:lang w:val="uk-UA"/>
              </w:rPr>
              <w:t>V</w:t>
            </w:r>
            <w:r w:rsidRPr="00F7290F">
              <w:rPr>
                <w:b/>
                <w:color w:val="000000" w:themeColor="text1"/>
                <w:lang w:val="uk-UA"/>
              </w:rPr>
              <w:t xml:space="preserve"> класів небезпеки, </w:t>
            </w:r>
            <w:r w:rsidR="00BE6310" w:rsidRPr="00F7290F">
              <w:rPr>
                <w:b/>
                <w:color w:val="000000" w:themeColor="text1"/>
                <w:lang w:val="uk-UA"/>
              </w:rPr>
              <w:t>млн.</w:t>
            </w:r>
            <w:r w:rsidRPr="00F7290F">
              <w:rPr>
                <w:b/>
                <w:color w:val="000000" w:themeColor="text1"/>
                <w:lang w:val="uk-UA"/>
              </w:rPr>
              <w:t>т</w:t>
            </w:r>
          </w:p>
        </w:tc>
        <w:tc>
          <w:tcPr>
            <w:tcW w:w="4111" w:type="dxa"/>
            <w:gridSpan w:val="3"/>
            <w:vMerge w:val="restart"/>
          </w:tcPr>
          <w:p w:rsidR="0029280D" w:rsidRPr="00F7290F" w:rsidRDefault="0029280D" w:rsidP="00D65D2E">
            <w:pPr>
              <w:keepNext/>
              <w:widowControl w:val="0"/>
              <w:ind w:firstLine="249"/>
              <w:jc w:val="both"/>
              <w:rPr>
                <w:color w:val="000000" w:themeColor="text1"/>
                <w:lang w:val="uk-UA"/>
              </w:rPr>
            </w:pPr>
            <w:r w:rsidRPr="00F7290F">
              <w:rPr>
                <w:color w:val="000000" w:themeColor="text1"/>
                <w:lang w:val="uk-UA"/>
              </w:rPr>
              <w:t>На почат</w:t>
            </w:r>
            <w:r w:rsidR="00DF4CD3" w:rsidRPr="00F7290F">
              <w:rPr>
                <w:color w:val="000000" w:themeColor="text1"/>
                <w:lang w:val="uk-UA"/>
              </w:rPr>
              <w:t>ок</w:t>
            </w:r>
            <w:r w:rsidRPr="00F7290F">
              <w:rPr>
                <w:color w:val="000000" w:themeColor="text1"/>
                <w:lang w:val="uk-UA"/>
              </w:rPr>
              <w:t xml:space="preserve"> 2012 року в спеціально відведених місцях та на території підприємств області накопичилось майже 2,7 млрд.т відходів І-ІV класів небезпеки (18,5% від загального обсягу по країні), </w:t>
            </w:r>
            <w:r w:rsidR="00BE6310" w:rsidRPr="00F7290F">
              <w:rPr>
                <w:color w:val="000000" w:themeColor="text1"/>
                <w:lang w:val="uk-UA"/>
              </w:rPr>
              <w:t xml:space="preserve">з яких </w:t>
            </w:r>
            <w:r w:rsidR="00614986" w:rsidRPr="00F7290F">
              <w:rPr>
                <w:color w:val="000000" w:themeColor="text1"/>
                <w:lang w:val="uk-UA"/>
              </w:rPr>
              <w:t xml:space="preserve">5,4 млн.т </w:t>
            </w:r>
            <w:r w:rsidR="00BE6310" w:rsidRPr="00F7290F">
              <w:rPr>
                <w:color w:val="000000" w:themeColor="text1"/>
                <w:lang w:val="uk-UA"/>
              </w:rPr>
              <w:t xml:space="preserve">- </w:t>
            </w:r>
            <w:r w:rsidRPr="00F7290F">
              <w:rPr>
                <w:color w:val="000000" w:themeColor="text1"/>
                <w:lang w:val="uk-UA"/>
              </w:rPr>
              <w:t>найбільш небезпечні відходи І-ІІІ класів небезпеки</w:t>
            </w:r>
            <w:r w:rsidR="00614986" w:rsidRPr="00F7290F">
              <w:rPr>
                <w:color w:val="000000" w:themeColor="text1"/>
                <w:lang w:val="uk-UA"/>
              </w:rPr>
              <w:t xml:space="preserve"> (майже 28% загального обсягу по країні)</w:t>
            </w:r>
            <w:r w:rsidRPr="00F7290F">
              <w:rPr>
                <w:color w:val="000000" w:themeColor="text1"/>
                <w:lang w:val="uk-UA"/>
              </w:rPr>
              <w:t>.</w:t>
            </w:r>
          </w:p>
          <w:p w:rsidR="00FD11E9" w:rsidRPr="00F7290F" w:rsidRDefault="0029280D" w:rsidP="00614986">
            <w:pPr>
              <w:keepNext/>
              <w:widowControl w:val="0"/>
              <w:ind w:firstLine="284"/>
              <w:jc w:val="both"/>
              <w:rPr>
                <w:color w:val="000000" w:themeColor="text1"/>
                <w:spacing w:val="-2"/>
                <w:lang w:val="uk-UA"/>
              </w:rPr>
            </w:pPr>
            <w:r w:rsidRPr="00F7290F">
              <w:rPr>
                <w:color w:val="000000" w:themeColor="text1"/>
                <w:lang w:val="uk-UA"/>
              </w:rPr>
              <w:t>Протягом 2011 року було утилізо</w:t>
            </w:r>
            <w:r w:rsidR="00F40A8B" w:rsidRPr="00F7290F">
              <w:rPr>
                <w:color w:val="000000" w:themeColor="text1"/>
                <w:lang w:val="uk-UA"/>
              </w:rPr>
              <w:t>вано та</w:t>
            </w:r>
            <w:r w:rsidRPr="00F7290F">
              <w:rPr>
                <w:color w:val="000000" w:themeColor="text1"/>
                <w:lang w:val="uk-UA"/>
              </w:rPr>
              <w:t xml:space="preserve"> перероблено 65,</w:t>
            </w:r>
            <w:r w:rsidR="00614986" w:rsidRPr="00F7290F">
              <w:rPr>
                <w:color w:val="000000" w:themeColor="text1"/>
                <w:lang w:val="uk-UA"/>
              </w:rPr>
              <w:t>8</w:t>
            </w:r>
            <w:r w:rsidRPr="00F7290F">
              <w:rPr>
                <w:color w:val="000000" w:themeColor="text1"/>
                <w:lang w:val="uk-UA"/>
              </w:rPr>
              <w:t xml:space="preserve">% утворених на території області відходів І-ІІІ класів небезпеки </w:t>
            </w:r>
            <w:r w:rsidR="00F236D8">
              <w:rPr>
                <w:color w:val="000000" w:themeColor="text1"/>
                <w:lang w:val="uk-UA"/>
              </w:rPr>
              <w:t xml:space="preserve">                              </w:t>
            </w:r>
            <w:r w:rsidRPr="00F7290F">
              <w:rPr>
                <w:color w:val="000000" w:themeColor="text1"/>
                <w:lang w:val="uk-UA"/>
              </w:rPr>
              <w:t xml:space="preserve">(в середньому по Україні </w:t>
            </w:r>
            <w:r w:rsidR="00BE6310" w:rsidRPr="00F7290F">
              <w:rPr>
                <w:color w:val="000000" w:themeColor="text1"/>
                <w:lang w:val="uk-UA"/>
              </w:rPr>
              <w:t xml:space="preserve">- </w:t>
            </w:r>
            <w:r w:rsidRPr="00F7290F">
              <w:rPr>
                <w:color w:val="000000" w:themeColor="text1"/>
                <w:lang w:val="uk-UA"/>
              </w:rPr>
              <w:t>41,7%).</w:t>
            </w:r>
            <w:r w:rsidRPr="00F7290F">
              <w:rPr>
                <w:color w:val="000000" w:themeColor="text1"/>
                <w:sz w:val="22"/>
                <w:szCs w:val="22"/>
                <w:lang w:val="uk-UA"/>
              </w:rPr>
              <w:t xml:space="preserve">  </w:t>
            </w:r>
          </w:p>
        </w:tc>
      </w:tr>
      <w:tr w:rsidR="00FD11E9" w:rsidRPr="00F7290F" w:rsidTr="00D67E50">
        <w:tc>
          <w:tcPr>
            <w:tcW w:w="5992" w:type="dxa"/>
            <w:gridSpan w:val="2"/>
          </w:tcPr>
          <w:p w:rsidR="00FD11E9" w:rsidRPr="00F7290F" w:rsidRDefault="00DA474E" w:rsidP="00D65D2E">
            <w:pPr>
              <w:keepNext/>
              <w:widowControl w:val="0"/>
              <w:jc w:val="center"/>
              <w:rPr>
                <w:b/>
                <w:color w:val="000000" w:themeColor="text1"/>
                <w:lang w:val="uk-UA"/>
              </w:rPr>
            </w:pPr>
            <w:r w:rsidRPr="00F7290F">
              <w:rPr>
                <w:b/>
                <w:noProof/>
                <w:color w:val="000000" w:themeColor="text1"/>
              </w:rPr>
              <w:drawing>
                <wp:inline distT="0" distB="0" distL="0" distR="0">
                  <wp:extent cx="3762375" cy="18383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111" w:type="dxa"/>
            <w:gridSpan w:val="3"/>
            <w:vMerge/>
          </w:tcPr>
          <w:p w:rsidR="00FD11E9" w:rsidRPr="00F7290F" w:rsidRDefault="00FD11E9" w:rsidP="00D65D2E">
            <w:pPr>
              <w:keepNext/>
              <w:widowControl w:val="0"/>
              <w:spacing w:after="120"/>
              <w:ind w:firstLine="284"/>
              <w:jc w:val="both"/>
              <w:rPr>
                <w:color w:val="000000" w:themeColor="text1"/>
                <w:spacing w:val="-2"/>
                <w:lang w:val="uk-UA"/>
              </w:rPr>
            </w:pPr>
          </w:p>
        </w:tc>
      </w:tr>
      <w:tr w:rsidR="00FD11E9" w:rsidRPr="00F7290F" w:rsidTr="00D67E50">
        <w:tc>
          <w:tcPr>
            <w:tcW w:w="10103" w:type="dxa"/>
            <w:gridSpan w:val="5"/>
          </w:tcPr>
          <w:p w:rsidR="00FD11E9" w:rsidRPr="00F7290F" w:rsidRDefault="000F3761" w:rsidP="00D65D2E">
            <w:pPr>
              <w:keepNext/>
              <w:widowControl w:val="0"/>
              <w:spacing w:line="228" w:lineRule="auto"/>
              <w:ind w:firstLine="709"/>
              <w:jc w:val="both"/>
              <w:rPr>
                <w:color w:val="000000" w:themeColor="text1"/>
                <w:spacing w:val="-2"/>
                <w:lang w:val="uk-UA"/>
              </w:rPr>
            </w:pPr>
            <w:r w:rsidRPr="00F7290F">
              <w:rPr>
                <w:color w:val="000000" w:themeColor="text1"/>
                <w:lang w:val="uk-UA"/>
              </w:rPr>
              <w:t xml:space="preserve">Основними </w:t>
            </w:r>
            <w:r w:rsidR="007768BF" w:rsidRPr="00F7290F">
              <w:rPr>
                <w:color w:val="000000" w:themeColor="text1"/>
                <w:lang w:val="uk-UA"/>
              </w:rPr>
              <w:t>«</w:t>
            </w:r>
            <w:r w:rsidRPr="00F7290F">
              <w:rPr>
                <w:color w:val="000000" w:themeColor="text1"/>
                <w:lang w:val="uk-UA"/>
              </w:rPr>
              <w:t>постачальниками</w:t>
            </w:r>
            <w:r w:rsidR="007768BF" w:rsidRPr="00F7290F">
              <w:rPr>
                <w:color w:val="000000" w:themeColor="text1"/>
                <w:lang w:val="uk-UA"/>
              </w:rPr>
              <w:t>»</w:t>
            </w:r>
            <w:r w:rsidRPr="00F7290F">
              <w:rPr>
                <w:color w:val="000000" w:themeColor="text1"/>
                <w:lang w:val="uk-UA"/>
              </w:rPr>
              <w:t xml:space="preserve"> відходів є підприємства вугільної промисло</w:t>
            </w:r>
            <w:r w:rsidR="00BE6310" w:rsidRPr="00F7290F">
              <w:rPr>
                <w:color w:val="000000" w:themeColor="text1"/>
                <w:lang w:val="uk-UA"/>
              </w:rPr>
              <w:t>вості (</w:t>
            </w:r>
            <w:r w:rsidRPr="00F7290F">
              <w:rPr>
                <w:color w:val="000000" w:themeColor="text1"/>
                <w:lang w:val="uk-UA"/>
              </w:rPr>
              <w:t>43% обласного обсягу</w:t>
            </w:r>
            <w:r w:rsidR="00BE6310" w:rsidRPr="00F7290F">
              <w:rPr>
                <w:color w:val="000000" w:themeColor="text1"/>
                <w:lang w:val="uk-UA"/>
              </w:rPr>
              <w:t>)</w:t>
            </w:r>
            <w:r w:rsidRPr="00F7290F">
              <w:rPr>
                <w:color w:val="000000" w:themeColor="text1"/>
                <w:lang w:val="uk-UA"/>
              </w:rPr>
              <w:t xml:space="preserve">, підприємства з добування неенергетичних корисних копалин </w:t>
            </w:r>
            <w:r w:rsidR="00BE6310" w:rsidRPr="00F7290F">
              <w:rPr>
                <w:color w:val="000000" w:themeColor="text1"/>
                <w:lang w:val="uk-UA"/>
              </w:rPr>
              <w:t>(</w:t>
            </w:r>
            <w:r w:rsidRPr="00F7290F">
              <w:rPr>
                <w:color w:val="000000" w:themeColor="text1"/>
                <w:lang w:val="uk-UA"/>
              </w:rPr>
              <w:t>23,6%</w:t>
            </w:r>
            <w:r w:rsidR="00BE6310" w:rsidRPr="00F7290F">
              <w:rPr>
                <w:color w:val="000000" w:themeColor="text1"/>
                <w:lang w:val="uk-UA"/>
              </w:rPr>
              <w:t>)</w:t>
            </w:r>
            <w:r w:rsidRPr="00F7290F">
              <w:rPr>
                <w:color w:val="000000" w:themeColor="text1"/>
                <w:lang w:val="uk-UA"/>
              </w:rPr>
              <w:t xml:space="preserve">, металургійного комплексу </w:t>
            </w:r>
            <w:r w:rsidR="00BE6310" w:rsidRPr="00F7290F">
              <w:rPr>
                <w:color w:val="000000" w:themeColor="text1"/>
                <w:lang w:val="uk-UA"/>
              </w:rPr>
              <w:t>(</w:t>
            </w:r>
            <w:r w:rsidRPr="00F7290F">
              <w:rPr>
                <w:color w:val="000000" w:themeColor="text1"/>
                <w:lang w:val="uk-UA"/>
              </w:rPr>
              <w:t>21,2%</w:t>
            </w:r>
            <w:r w:rsidR="00BE6310" w:rsidRPr="00F7290F">
              <w:rPr>
                <w:color w:val="000000" w:themeColor="text1"/>
                <w:lang w:val="uk-UA"/>
              </w:rPr>
              <w:t>) та</w:t>
            </w:r>
            <w:r w:rsidRPr="00F7290F">
              <w:rPr>
                <w:color w:val="000000" w:themeColor="text1"/>
                <w:lang w:val="uk-UA"/>
              </w:rPr>
              <w:t xml:space="preserve"> електроенергетики </w:t>
            </w:r>
            <w:r w:rsidR="00BE6310" w:rsidRPr="00F7290F">
              <w:rPr>
                <w:color w:val="000000" w:themeColor="text1"/>
                <w:lang w:val="uk-UA"/>
              </w:rPr>
              <w:t>(</w:t>
            </w:r>
            <w:r w:rsidRPr="00F7290F">
              <w:rPr>
                <w:color w:val="000000" w:themeColor="text1"/>
                <w:lang w:val="uk-UA"/>
              </w:rPr>
              <w:t>6,1%</w:t>
            </w:r>
            <w:r w:rsidR="00BE6310" w:rsidRPr="00F7290F">
              <w:rPr>
                <w:color w:val="000000" w:themeColor="text1"/>
                <w:lang w:val="uk-UA"/>
              </w:rPr>
              <w:t>)</w:t>
            </w:r>
            <w:r w:rsidRPr="00F7290F">
              <w:rPr>
                <w:color w:val="000000" w:themeColor="text1"/>
                <w:lang w:val="uk-UA"/>
              </w:rPr>
              <w:t>. У 2011</w:t>
            </w:r>
            <w:r w:rsidR="00BE6310" w:rsidRPr="00F7290F">
              <w:rPr>
                <w:color w:val="000000" w:themeColor="text1"/>
                <w:lang w:val="uk-UA"/>
              </w:rPr>
              <w:t xml:space="preserve"> році</w:t>
            </w:r>
            <w:r w:rsidRPr="00F7290F">
              <w:rPr>
                <w:color w:val="000000" w:themeColor="text1"/>
                <w:lang w:val="uk-UA"/>
              </w:rPr>
              <w:t xml:space="preserve"> в Маріуполі утворилося 15,7% обласного обсягу відходів, у Докучаєвську –</w:t>
            </w:r>
            <w:r w:rsidR="00DF4CD3" w:rsidRPr="00F7290F">
              <w:rPr>
                <w:color w:val="000000" w:themeColor="text1"/>
                <w:lang w:val="uk-UA"/>
              </w:rPr>
              <w:t xml:space="preserve"> </w:t>
            </w:r>
            <w:r w:rsidRPr="00F7290F">
              <w:rPr>
                <w:color w:val="000000" w:themeColor="text1"/>
                <w:lang w:val="uk-UA"/>
              </w:rPr>
              <w:t xml:space="preserve">15,3%, у Донецьку – 11,4%. </w:t>
            </w:r>
          </w:p>
        </w:tc>
      </w:tr>
      <w:tr w:rsidR="00FD11E9" w:rsidRPr="00F7290F" w:rsidTr="00D67E50">
        <w:trPr>
          <w:trHeight w:val="299"/>
        </w:trPr>
        <w:tc>
          <w:tcPr>
            <w:tcW w:w="5992" w:type="dxa"/>
            <w:gridSpan w:val="2"/>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lastRenderedPageBreak/>
              <w:t>Природно-заповідний фонд</w:t>
            </w:r>
          </w:p>
        </w:tc>
        <w:tc>
          <w:tcPr>
            <w:tcW w:w="4111" w:type="dxa"/>
            <w:gridSpan w:val="3"/>
            <w:vMerge w:val="restart"/>
          </w:tcPr>
          <w:p w:rsidR="00DE3581" w:rsidRPr="00F7290F" w:rsidRDefault="00DE3581" w:rsidP="00D65D2E">
            <w:pPr>
              <w:keepNext/>
              <w:widowControl w:val="0"/>
              <w:ind w:firstLine="284"/>
              <w:jc w:val="both"/>
              <w:rPr>
                <w:color w:val="000000" w:themeColor="text1"/>
                <w:lang w:val="uk-UA"/>
              </w:rPr>
            </w:pPr>
            <w:r w:rsidRPr="00F7290F">
              <w:rPr>
                <w:color w:val="000000" w:themeColor="text1"/>
                <w:lang w:val="uk-UA"/>
              </w:rPr>
              <w:t>Станом на 01.</w:t>
            </w:r>
            <w:r w:rsidR="00614986" w:rsidRPr="00F7290F">
              <w:rPr>
                <w:color w:val="000000" w:themeColor="text1"/>
                <w:lang w:val="uk-UA"/>
              </w:rPr>
              <w:t>01</w:t>
            </w:r>
            <w:r w:rsidRPr="00F7290F">
              <w:rPr>
                <w:color w:val="000000" w:themeColor="text1"/>
                <w:lang w:val="uk-UA"/>
              </w:rPr>
              <w:t>.201</w:t>
            </w:r>
            <w:r w:rsidR="00614986" w:rsidRPr="00F7290F">
              <w:rPr>
                <w:color w:val="000000" w:themeColor="text1"/>
                <w:lang w:val="uk-UA"/>
              </w:rPr>
              <w:t>3</w:t>
            </w:r>
            <w:r w:rsidRPr="00F7290F">
              <w:rPr>
                <w:color w:val="000000" w:themeColor="text1"/>
                <w:lang w:val="uk-UA"/>
              </w:rPr>
              <w:t xml:space="preserve"> кількість об’єктів природно-заповідного фонду становила 11</w:t>
            </w:r>
            <w:r w:rsidR="00614986" w:rsidRPr="00F7290F">
              <w:rPr>
                <w:color w:val="000000" w:themeColor="text1"/>
                <w:lang w:val="uk-UA"/>
              </w:rPr>
              <w:t>4</w:t>
            </w:r>
            <w:r w:rsidRPr="00F7290F">
              <w:rPr>
                <w:color w:val="000000" w:themeColor="text1"/>
                <w:lang w:val="uk-UA"/>
              </w:rPr>
              <w:t xml:space="preserve"> одиниць фактичною площею 91,8 тис.га, або 3,46% території області.</w:t>
            </w:r>
          </w:p>
          <w:p w:rsidR="00FD11E9" w:rsidRPr="00F7290F" w:rsidRDefault="00DE3581" w:rsidP="00D65D2E">
            <w:pPr>
              <w:keepNext/>
              <w:widowControl w:val="0"/>
              <w:ind w:firstLine="284"/>
              <w:jc w:val="both"/>
              <w:rPr>
                <w:color w:val="000000" w:themeColor="text1"/>
                <w:spacing w:val="-2"/>
                <w:lang w:val="uk-UA"/>
              </w:rPr>
            </w:pPr>
            <w:r w:rsidRPr="00F7290F">
              <w:rPr>
                <w:color w:val="000000" w:themeColor="text1"/>
                <w:spacing w:val="-4"/>
                <w:lang w:val="uk-UA"/>
              </w:rPr>
              <w:t xml:space="preserve">До складу мережі природно-заповідного фонду області входять Український степовий природний заповідник, національні природні парки </w:t>
            </w:r>
            <w:r w:rsidR="007768BF" w:rsidRPr="00F7290F">
              <w:rPr>
                <w:color w:val="000000" w:themeColor="text1"/>
                <w:spacing w:val="-4"/>
                <w:lang w:val="uk-UA"/>
              </w:rPr>
              <w:t>«</w:t>
            </w:r>
            <w:r w:rsidRPr="00F7290F">
              <w:rPr>
                <w:color w:val="000000" w:themeColor="text1"/>
                <w:spacing w:val="-4"/>
                <w:lang w:val="uk-UA"/>
              </w:rPr>
              <w:t>Святі Гори</w:t>
            </w:r>
            <w:r w:rsidR="007768BF" w:rsidRPr="00F7290F">
              <w:rPr>
                <w:color w:val="000000" w:themeColor="text1"/>
                <w:spacing w:val="-4"/>
                <w:lang w:val="uk-UA"/>
              </w:rPr>
              <w:t>»</w:t>
            </w:r>
            <w:r w:rsidRPr="00F7290F">
              <w:rPr>
                <w:color w:val="000000" w:themeColor="text1"/>
                <w:spacing w:val="-4"/>
                <w:lang w:val="uk-UA"/>
              </w:rPr>
              <w:t xml:space="preserve">, </w:t>
            </w:r>
            <w:r w:rsidR="007768BF" w:rsidRPr="00F7290F">
              <w:rPr>
                <w:color w:val="000000" w:themeColor="text1"/>
                <w:spacing w:val="-4"/>
                <w:lang w:val="uk-UA"/>
              </w:rPr>
              <w:t>«</w:t>
            </w:r>
            <w:r w:rsidRPr="00F7290F">
              <w:rPr>
                <w:color w:val="000000" w:themeColor="text1"/>
                <w:spacing w:val="-4"/>
                <w:lang w:val="uk-UA"/>
              </w:rPr>
              <w:t>Меотида</w:t>
            </w:r>
            <w:r w:rsidR="007768BF" w:rsidRPr="00F7290F">
              <w:rPr>
                <w:color w:val="000000" w:themeColor="text1"/>
                <w:spacing w:val="-4"/>
                <w:lang w:val="uk-UA"/>
              </w:rPr>
              <w:t>»</w:t>
            </w:r>
            <w:r w:rsidRPr="00F7290F">
              <w:rPr>
                <w:color w:val="000000" w:themeColor="text1"/>
                <w:spacing w:val="-4"/>
                <w:lang w:val="uk-UA"/>
              </w:rPr>
              <w:t>, Донецький ботанічний сад НАН України загальнодержавного значення,</w:t>
            </w:r>
            <w:r w:rsidRPr="00F7290F">
              <w:rPr>
                <w:color w:val="000000" w:themeColor="text1"/>
                <w:lang w:val="uk-UA"/>
              </w:rPr>
              <w:t xml:space="preserve"> </w:t>
            </w:r>
          </w:p>
        </w:tc>
      </w:tr>
      <w:tr w:rsidR="00FD11E9" w:rsidRPr="00F7290F" w:rsidTr="00314E3C">
        <w:trPr>
          <w:trHeight w:val="3093"/>
        </w:trPr>
        <w:tc>
          <w:tcPr>
            <w:tcW w:w="5992" w:type="dxa"/>
            <w:gridSpan w:val="2"/>
          </w:tcPr>
          <w:p w:rsidR="00FD11E9" w:rsidRPr="00F7290F" w:rsidRDefault="00FD11E9" w:rsidP="00D65D2E">
            <w:pPr>
              <w:keepNext/>
              <w:widowControl w:val="0"/>
              <w:rPr>
                <w:color w:val="000000" w:themeColor="text1"/>
                <w:lang w:val="uk-UA"/>
              </w:rPr>
            </w:pPr>
            <w:r w:rsidRPr="00F7290F">
              <w:rPr>
                <w:noProof/>
                <w:color w:val="000000" w:themeColor="text1"/>
              </w:rPr>
              <w:drawing>
                <wp:inline distT="0" distB="0" distL="0" distR="0">
                  <wp:extent cx="3657600" cy="1819275"/>
                  <wp:effectExtent l="0" t="0" r="0" b="0"/>
                  <wp:docPr id="3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111" w:type="dxa"/>
            <w:gridSpan w:val="3"/>
            <w:vMerge/>
          </w:tcPr>
          <w:p w:rsidR="00FD11E9" w:rsidRPr="00F7290F" w:rsidRDefault="00FD11E9" w:rsidP="00D65D2E">
            <w:pPr>
              <w:keepNext/>
              <w:widowControl w:val="0"/>
              <w:spacing w:after="60"/>
              <w:ind w:firstLine="284"/>
              <w:jc w:val="both"/>
              <w:rPr>
                <w:color w:val="000000" w:themeColor="text1"/>
                <w:lang w:val="uk-UA"/>
              </w:rPr>
            </w:pPr>
          </w:p>
        </w:tc>
      </w:tr>
      <w:tr w:rsidR="00FD11E9" w:rsidRPr="00F7290F" w:rsidTr="00D67E50">
        <w:tc>
          <w:tcPr>
            <w:tcW w:w="10103" w:type="dxa"/>
            <w:gridSpan w:val="5"/>
          </w:tcPr>
          <w:p w:rsidR="00FD11E9" w:rsidRPr="00F7290F" w:rsidRDefault="00314E3C" w:rsidP="00323153">
            <w:pPr>
              <w:keepNext/>
              <w:widowControl w:val="0"/>
              <w:spacing w:after="120"/>
              <w:jc w:val="both"/>
              <w:rPr>
                <w:color w:val="000000" w:themeColor="text1"/>
                <w:lang w:val="uk-UA"/>
              </w:rPr>
            </w:pPr>
            <w:r w:rsidRPr="00F7290F">
              <w:rPr>
                <w:color w:val="000000" w:themeColor="text1"/>
                <w:lang w:val="uk-UA"/>
              </w:rPr>
              <w:t xml:space="preserve">регіональні ландшафтні парки </w:t>
            </w:r>
            <w:r w:rsidR="007768BF" w:rsidRPr="00F7290F">
              <w:rPr>
                <w:color w:val="000000" w:themeColor="text1"/>
                <w:lang w:val="uk-UA"/>
              </w:rPr>
              <w:t>«</w:t>
            </w:r>
            <w:r w:rsidRPr="00F7290F">
              <w:rPr>
                <w:color w:val="000000" w:themeColor="text1"/>
                <w:lang w:val="uk-UA"/>
              </w:rPr>
              <w:t>Клебан-Бик</w:t>
            </w:r>
            <w:r w:rsidR="007768BF" w:rsidRPr="00F7290F">
              <w:rPr>
                <w:color w:val="000000" w:themeColor="text1"/>
                <w:lang w:val="uk-UA"/>
              </w:rPr>
              <w:t>»</w:t>
            </w:r>
            <w:r w:rsidRPr="00F7290F">
              <w:rPr>
                <w:color w:val="000000" w:themeColor="text1"/>
                <w:lang w:val="uk-UA"/>
              </w:rPr>
              <w:t xml:space="preserve">, </w:t>
            </w:r>
            <w:r w:rsidR="007768BF" w:rsidRPr="00F7290F">
              <w:rPr>
                <w:color w:val="000000" w:themeColor="text1"/>
                <w:lang w:val="uk-UA"/>
              </w:rPr>
              <w:t>«</w:t>
            </w:r>
            <w:r w:rsidRPr="00F7290F">
              <w:rPr>
                <w:color w:val="000000" w:themeColor="text1"/>
                <w:lang w:val="uk-UA"/>
              </w:rPr>
              <w:t>Донецький кряж</w:t>
            </w:r>
            <w:r w:rsidR="007768BF" w:rsidRPr="00F7290F">
              <w:rPr>
                <w:color w:val="000000" w:themeColor="text1"/>
                <w:lang w:val="uk-UA"/>
              </w:rPr>
              <w:t>»</w:t>
            </w:r>
            <w:r w:rsidRPr="00F7290F">
              <w:rPr>
                <w:color w:val="000000" w:themeColor="text1"/>
                <w:lang w:val="uk-UA"/>
              </w:rPr>
              <w:t xml:space="preserve">, </w:t>
            </w:r>
            <w:r w:rsidR="007768BF" w:rsidRPr="00F7290F">
              <w:rPr>
                <w:color w:val="000000" w:themeColor="text1"/>
                <w:lang w:val="uk-UA"/>
              </w:rPr>
              <w:t>«</w:t>
            </w:r>
            <w:r w:rsidRPr="00F7290F">
              <w:rPr>
                <w:color w:val="000000" w:themeColor="text1"/>
                <w:lang w:val="uk-UA"/>
              </w:rPr>
              <w:t>Меотида</w:t>
            </w:r>
            <w:r w:rsidR="007768BF" w:rsidRPr="00F7290F">
              <w:rPr>
                <w:color w:val="000000" w:themeColor="text1"/>
                <w:lang w:val="uk-UA"/>
              </w:rPr>
              <w:t>»</w:t>
            </w:r>
            <w:r w:rsidRPr="00F7290F">
              <w:rPr>
                <w:color w:val="000000" w:themeColor="text1"/>
                <w:lang w:val="uk-UA"/>
              </w:rPr>
              <w:t xml:space="preserve">, </w:t>
            </w:r>
            <w:r w:rsidR="007768BF" w:rsidRPr="00F7290F">
              <w:rPr>
                <w:color w:val="000000" w:themeColor="text1"/>
                <w:lang w:val="uk-UA"/>
              </w:rPr>
              <w:t>«</w:t>
            </w:r>
            <w:r w:rsidRPr="00F7290F">
              <w:rPr>
                <w:color w:val="000000" w:themeColor="text1"/>
                <w:lang w:val="uk-UA"/>
              </w:rPr>
              <w:t>Краматорський</w:t>
            </w:r>
            <w:r w:rsidR="007768BF" w:rsidRPr="00F7290F">
              <w:rPr>
                <w:color w:val="000000" w:themeColor="text1"/>
                <w:lang w:val="uk-UA"/>
              </w:rPr>
              <w:t>»</w:t>
            </w:r>
            <w:r w:rsidRPr="00F7290F">
              <w:rPr>
                <w:color w:val="000000" w:themeColor="text1"/>
                <w:lang w:val="uk-UA"/>
              </w:rPr>
              <w:t xml:space="preserve">, </w:t>
            </w:r>
            <w:r w:rsidR="007768BF" w:rsidRPr="00F7290F">
              <w:rPr>
                <w:color w:val="000000" w:themeColor="text1"/>
                <w:lang w:val="uk-UA"/>
              </w:rPr>
              <w:t>«</w:t>
            </w:r>
            <w:r w:rsidR="00E202F8" w:rsidRPr="00F7290F">
              <w:rPr>
                <w:color w:val="000000" w:themeColor="text1"/>
                <w:lang w:val="uk-UA"/>
              </w:rPr>
              <w:t>Зуївський</w:t>
            </w:r>
            <w:r w:rsidR="007768BF" w:rsidRPr="00F7290F">
              <w:rPr>
                <w:color w:val="000000" w:themeColor="text1"/>
                <w:lang w:val="uk-UA"/>
              </w:rPr>
              <w:t>»</w:t>
            </w:r>
            <w:r w:rsidRPr="00F7290F">
              <w:rPr>
                <w:color w:val="000000" w:themeColor="text1"/>
                <w:lang w:val="uk-UA"/>
              </w:rPr>
              <w:t xml:space="preserve"> та </w:t>
            </w:r>
            <w:r w:rsidR="007768BF" w:rsidRPr="00F7290F">
              <w:rPr>
                <w:color w:val="000000" w:themeColor="text1"/>
                <w:lang w:val="uk-UA"/>
              </w:rPr>
              <w:t>«</w:t>
            </w:r>
            <w:r w:rsidRPr="00F7290F">
              <w:rPr>
                <w:color w:val="000000" w:themeColor="text1"/>
                <w:lang w:val="uk-UA"/>
              </w:rPr>
              <w:t>Слов`янський курорт</w:t>
            </w:r>
            <w:r w:rsidR="007768BF" w:rsidRPr="00F7290F">
              <w:rPr>
                <w:color w:val="000000" w:themeColor="text1"/>
                <w:lang w:val="uk-UA"/>
              </w:rPr>
              <w:t>»</w:t>
            </w:r>
            <w:r w:rsidR="00323153" w:rsidRPr="00F7290F">
              <w:rPr>
                <w:color w:val="000000" w:themeColor="text1"/>
                <w:lang w:val="uk-UA"/>
              </w:rPr>
              <w:t>, 51 заказник, 40</w:t>
            </w:r>
            <w:r w:rsidRPr="00F7290F">
              <w:rPr>
                <w:color w:val="000000" w:themeColor="text1"/>
                <w:lang w:val="uk-UA"/>
              </w:rPr>
              <w:t xml:space="preserve"> пам`яток природи, 12 заповідних урочищ та </w:t>
            </w:r>
            <w:r w:rsidR="00323153" w:rsidRPr="00F7290F">
              <w:rPr>
                <w:color w:val="000000" w:themeColor="text1"/>
                <w:lang w:val="uk-UA"/>
              </w:rPr>
              <w:t xml:space="preserve">2 </w:t>
            </w:r>
            <w:r w:rsidRPr="00F7290F">
              <w:rPr>
                <w:color w:val="000000" w:themeColor="text1"/>
                <w:lang w:val="uk-UA"/>
              </w:rPr>
              <w:t>парк</w:t>
            </w:r>
            <w:r w:rsidR="00323153" w:rsidRPr="00F7290F">
              <w:rPr>
                <w:color w:val="000000" w:themeColor="text1"/>
                <w:lang w:val="uk-UA"/>
              </w:rPr>
              <w:t>а</w:t>
            </w:r>
            <w:r w:rsidRPr="00F7290F">
              <w:rPr>
                <w:color w:val="000000" w:themeColor="text1"/>
                <w:lang w:val="uk-UA"/>
              </w:rPr>
              <w:t>-пам`ятк</w:t>
            </w:r>
            <w:r w:rsidR="00323153" w:rsidRPr="00F7290F">
              <w:rPr>
                <w:color w:val="000000" w:themeColor="text1"/>
                <w:lang w:val="uk-UA"/>
              </w:rPr>
              <w:t>и</w:t>
            </w:r>
            <w:r w:rsidRPr="00F7290F">
              <w:rPr>
                <w:color w:val="000000" w:themeColor="text1"/>
                <w:lang w:val="uk-UA"/>
              </w:rPr>
              <w:t xml:space="preserve"> садово-паркового мистецтва місцевого значення.</w:t>
            </w:r>
          </w:p>
        </w:tc>
      </w:tr>
      <w:tr w:rsidR="00A1085A" w:rsidRPr="00F7290F" w:rsidTr="00D67E50">
        <w:tc>
          <w:tcPr>
            <w:tcW w:w="6417" w:type="dxa"/>
            <w:gridSpan w:val="4"/>
          </w:tcPr>
          <w:p w:rsidR="00A1085A" w:rsidRPr="00F7290F" w:rsidRDefault="00A1085A" w:rsidP="00D65D2E">
            <w:pPr>
              <w:keepNext/>
              <w:widowControl w:val="0"/>
              <w:jc w:val="center"/>
              <w:rPr>
                <w:b/>
                <w:color w:val="000000" w:themeColor="text1"/>
                <w:lang w:val="uk-UA"/>
              </w:rPr>
            </w:pPr>
            <w:r w:rsidRPr="00F7290F">
              <w:rPr>
                <w:b/>
                <w:color w:val="000000" w:themeColor="text1"/>
                <w:lang w:val="uk-UA"/>
              </w:rPr>
              <w:t>Екологічні платежі за забруднення навколишнього природного середовища, млн.грн.</w:t>
            </w:r>
          </w:p>
        </w:tc>
        <w:tc>
          <w:tcPr>
            <w:tcW w:w="3686" w:type="dxa"/>
            <w:vMerge w:val="restart"/>
          </w:tcPr>
          <w:p w:rsidR="004A42E1" w:rsidRPr="00F7290F" w:rsidRDefault="004A42E1" w:rsidP="00D65D2E">
            <w:pPr>
              <w:keepNext/>
              <w:widowControl w:val="0"/>
              <w:ind w:firstLine="360"/>
              <w:jc w:val="both"/>
              <w:rPr>
                <w:color w:val="000000" w:themeColor="text1"/>
                <w:lang w:val="uk-UA"/>
              </w:rPr>
            </w:pPr>
          </w:p>
          <w:p w:rsidR="004A42E1" w:rsidRPr="00F7290F" w:rsidRDefault="004A42E1" w:rsidP="00D65D2E">
            <w:pPr>
              <w:keepNext/>
              <w:widowControl w:val="0"/>
              <w:ind w:firstLine="360"/>
              <w:jc w:val="both"/>
              <w:rPr>
                <w:color w:val="000000" w:themeColor="text1"/>
                <w:lang w:val="uk-UA"/>
              </w:rPr>
            </w:pPr>
          </w:p>
          <w:p w:rsidR="004A42E1" w:rsidRPr="00F7290F" w:rsidRDefault="004A42E1" w:rsidP="00D65D2E">
            <w:pPr>
              <w:keepNext/>
              <w:widowControl w:val="0"/>
              <w:ind w:firstLine="360"/>
              <w:jc w:val="both"/>
              <w:rPr>
                <w:color w:val="000000" w:themeColor="text1"/>
                <w:lang w:val="uk-UA"/>
              </w:rPr>
            </w:pPr>
          </w:p>
          <w:p w:rsidR="00A1085A" w:rsidRPr="00F7290F" w:rsidRDefault="00F40A8B" w:rsidP="00D65D2E">
            <w:pPr>
              <w:keepNext/>
              <w:widowControl w:val="0"/>
              <w:ind w:firstLine="360"/>
              <w:jc w:val="both"/>
              <w:rPr>
                <w:color w:val="000000" w:themeColor="text1"/>
                <w:lang w:val="uk-UA"/>
              </w:rPr>
            </w:pPr>
            <w:r w:rsidRPr="00F7290F">
              <w:rPr>
                <w:color w:val="000000" w:themeColor="text1"/>
                <w:lang w:val="uk-UA"/>
              </w:rPr>
              <w:t xml:space="preserve">У 2011 році </w:t>
            </w:r>
            <w:r w:rsidR="00CD7FE4" w:rsidRPr="00F7290F">
              <w:rPr>
                <w:color w:val="000000" w:themeColor="text1"/>
                <w:lang w:val="uk-UA"/>
              </w:rPr>
              <w:t>рівень виконання зобов’язань зі сплати екологіч</w:t>
            </w:r>
            <w:r w:rsidR="00CD7FE4" w:rsidRPr="00F7290F">
              <w:rPr>
                <w:color w:val="000000" w:themeColor="text1"/>
                <w:lang w:val="uk-UA"/>
              </w:rPr>
              <w:softHyphen/>
              <w:t xml:space="preserve">них платежів </w:t>
            </w:r>
            <w:r w:rsidR="00917F55" w:rsidRPr="00F7290F">
              <w:rPr>
                <w:color w:val="000000" w:themeColor="text1"/>
                <w:lang w:val="uk-UA"/>
              </w:rPr>
              <w:t>до</w:t>
            </w:r>
            <w:r w:rsidR="00A1085A" w:rsidRPr="00F7290F">
              <w:rPr>
                <w:color w:val="000000" w:themeColor="text1"/>
                <w:lang w:val="uk-UA"/>
              </w:rPr>
              <w:t xml:space="preserve"> попередн</w:t>
            </w:r>
            <w:r w:rsidR="00917F55" w:rsidRPr="00F7290F">
              <w:rPr>
                <w:color w:val="000000" w:themeColor="text1"/>
                <w:lang w:val="uk-UA"/>
              </w:rPr>
              <w:t>ього</w:t>
            </w:r>
            <w:r w:rsidR="00A1085A" w:rsidRPr="00F7290F">
              <w:rPr>
                <w:color w:val="000000" w:themeColor="text1"/>
                <w:lang w:val="uk-UA"/>
              </w:rPr>
              <w:t xml:space="preserve"> рок</w:t>
            </w:r>
            <w:r w:rsidR="00917F55" w:rsidRPr="00F7290F">
              <w:rPr>
                <w:color w:val="000000" w:themeColor="text1"/>
                <w:lang w:val="uk-UA"/>
              </w:rPr>
              <w:t>у</w:t>
            </w:r>
            <w:r w:rsidR="00A1085A" w:rsidRPr="00F7290F">
              <w:rPr>
                <w:color w:val="000000" w:themeColor="text1"/>
                <w:lang w:val="uk-UA"/>
              </w:rPr>
              <w:t xml:space="preserve"> збільшився на 16,5 відс</w:t>
            </w:r>
            <w:r w:rsidR="004A42E1" w:rsidRPr="00F7290F">
              <w:rPr>
                <w:color w:val="000000" w:themeColor="text1"/>
                <w:lang w:val="uk-UA"/>
              </w:rPr>
              <w:t>.</w:t>
            </w:r>
            <w:r w:rsidR="00A1085A" w:rsidRPr="00F7290F">
              <w:rPr>
                <w:color w:val="000000" w:themeColor="text1"/>
                <w:lang w:val="uk-UA"/>
              </w:rPr>
              <w:t xml:space="preserve"> пункти. </w:t>
            </w:r>
          </w:p>
          <w:p w:rsidR="00A1085A" w:rsidRPr="00F7290F" w:rsidRDefault="00A1085A" w:rsidP="00D65D2E">
            <w:pPr>
              <w:keepNext/>
              <w:widowControl w:val="0"/>
              <w:ind w:firstLine="360"/>
              <w:jc w:val="both"/>
              <w:rPr>
                <w:color w:val="000000" w:themeColor="text1"/>
                <w:lang w:val="uk-UA"/>
              </w:rPr>
            </w:pPr>
          </w:p>
        </w:tc>
      </w:tr>
      <w:tr w:rsidR="00A1085A" w:rsidRPr="00F7290F" w:rsidTr="00D67E50">
        <w:tc>
          <w:tcPr>
            <w:tcW w:w="6417" w:type="dxa"/>
            <w:gridSpan w:val="4"/>
          </w:tcPr>
          <w:p w:rsidR="00A1085A" w:rsidRPr="00F7290F" w:rsidRDefault="00A1085A" w:rsidP="00D65D2E">
            <w:pPr>
              <w:keepNext/>
              <w:widowControl w:val="0"/>
              <w:tabs>
                <w:tab w:val="left" w:pos="709"/>
              </w:tabs>
              <w:jc w:val="center"/>
              <w:rPr>
                <w:b/>
                <w:color w:val="FF0000"/>
                <w:lang w:val="uk-UA"/>
              </w:rPr>
            </w:pPr>
            <w:r w:rsidRPr="00F7290F">
              <w:rPr>
                <w:b/>
                <w:noProof/>
                <w:color w:val="FF0000"/>
              </w:rPr>
              <w:drawing>
                <wp:inline distT="0" distB="0" distL="0" distR="0">
                  <wp:extent cx="3870251" cy="2020186"/>
                  <wp:effectExtent l="0" t="0" r="0" b="0"/>
                  <wp:docPr id="1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3686" w:type="dxa"/>
            <w:vMerge/>
          </w:tcPr>
          <w:p w:rsidR="00A1085A" w:rsidRPr="00F7290F" w:rsidRDefault="00A1085A" w:rsidP="00D65D2E">
            <w:pPr>
              <w:keepNext/>
              <w:widowControl w:val="0"/>
              <w:spacing w:after="60"/>
              <w:ind w:firstLine="284"/>
              <w:jc w:val="both"/>
              <w:rPr>
                <w:color w:val="FF0000"/>
                <w:lang w:val="uk-UA"/>
              </w:rPr>
            </w:pPr>
          </w:p>
        </w:tc>
      </w:tr>
      <w:tr w:rsidR="00FD11E9" w:rsidRPr="00F7290F" w:rsidTr="00D67E50">
        <w:tc>
          <w:tcPr>
            <w:tcW w:w="10103" w:type="dxa"/>
            <w:gridSpan w:val="5"/>
          </w:tcPr>
          <w:p w:rsidR="004A42E1" w:rsidRPr="00F7290F" w:rsidRDefault="004A42E1" w:rsidP="00D65D2E">
            <w:pPr>
              <w:keepNext/>
              <w:widowControl w:val="0"/>
              <w:ind w:firstLine="360"/>
              <w:jc w:val="both"/>
              <w:rPr>
                <w:color w:val="000000" w:themeColor="text1"/>
                <w:lang w:val="uk-UA"/>
              </w:rPr>
            </w:pPr>
            <w:r w:rsidRPr="00F7290F">
              <w:rPr>
                <w:color w:val="000000" w:themeColor="text1"/>
                <w:lang w:val="uk-UA"/>
              </w:rPr>
              <w:t>Протягом 2011 року підприємствам, організаціям та установам області було пред’явлено екологічних платежів на суму 588,7 млн.грн. (на 19,6% більше, ніж у 2010 році), у тому числі  496,1 млн.грн. – екологічний податок за забруднення навколишнього природного середовища, 92,6 млн.грн. – сума штрафних санкцій за порушення природоохоронного законодавства, фактично сплачено - 461,1 млн.грн. (на 51,7% більше).</w:t>
            </w:r>
          </w:p>
          <w:p w:rsidR="00FD11E9" w:rsidRPr="00F7290F" w:rsidRDefault="00A1085A" w:rsidP="00323153">
            <w:pPr>
              <w:keepNext/>
              <w:widowControl w:val="0"/>
              <w:ind w:firstLine="284"/>
              <w:jc w:val="both"/>
              <w:rPr>
                <w:color w:val="000000" w:themeColor="text1"/>
                <w:lang w:val="uk-UA"/>
              </w:rPr>
            </w:pPr>
            <w:r w:rsidRPr="00F7290F">
              <w:rPr>
                <w:color w:val="000000" w:themeColor="text1"/>
                <w:lang w:val="uk-UA"/>
              </w:rPr>
              <w:t>Більша частин</w:t>
            </w:r>
            <w:r w:rsidR="00323153" w:rsidRPr="00F7290F">
              <w:rPr>
                <w:color w:val="000000" w:themeColor="text1"/>
                <w:lang w:val="uk-UA"/>
              </w:rPr>
              <w:t>а</w:t>
            </w:r>
            <w:r w:rsidRPr="00F7290F">
              <w:rPr>
                <w:color w:val="000000" w:themeColor="text1"/>
                <w:lang w:val="uk-UA"/>
              </w:rPr>
              <w:t xml:space="preserve"> платежів надійшла від </w:t>
            </w:r>
            <w:r w:rsidRPr="00F7290F">
              <w:rPr>
                <w:color w:val="000000" w:themeColor="text1"/>
                <w:spacing w:val="-6"/>
                <w:lang w:val="uk-UA"/>
              </w:rPr>
              <w:t>підприємств</w:t>
            </w:r>
            <w:r w:rsidRPr="00F7290F">
              <w:rPr>
                <w:color w:val="000000" w:themeColor="text1"/>
                <w:lang w:val="uk-UA"/>
              </w:rPr>
              <w:t xml:space="preserve"> </w:t>
            </w:r>
            <w:r w:rsidRPr="00F7290F">
              <w:rPr>
                <w:color w:val="000000" w:themeColor="text1"/>
                <w:spacing w:val="-6"/>
                <w:lang w:val="uk-UA"/>
              </w:rPr>
              <w:t>міст Дебальцеве (7</w:t>
            </w:r>
            <w:r w:rsidR="00323153" w:rsidRPr="00F7290F">
              <w:rPr>
                <w:color w:val="000000" w:themeColor="text1"/>
                <w:spacing w:val="-6"/>
                <w:lang w:val="uk-UA"/>
              </w:rPr>
              <w:t>9,2</w:t>
            </w:r>
            <w:r w:rsidRPr="00F7290F">
              <w:rPr>
                <w:color w:val="000000" w:themeColor="text1"/>
                <w:spacing w:val="-6"/>
                <w:lang w:val="uk-UA"/>
              </w:rPr>
              <w:t xml:space="preserve"> млн.грн.)</w:t>
            </w:r>
            <w:r w:rsidRPr="00F7290F">
              <w:rPr>
                <w:color w:val="000000" w:themeColor="text1"/>
                <w:lang w:val="uk-UA"/>
              </w:rPr>
              <w:t xml:space="preserve">, </w:t>
            </w:r>
            <w:r w:rsidRPr="00F7290F">
              <w:rPr>
                <w:color w:val="000000" w:themeColor="text1"/>
                <w:spacing w:val="-6"/>
                <w:lang w:val="uk-UA"/>
              </w:rPr>
              <w:t xml:space="preserve">Маріуполь (59,5 млн.грн.), </w:t>
            </w:r>
            <w:r w:rsidRPr="00F7290F">
              <w:rPr>
                <w:color w:val="000000" w:themeColor="text1"/>
                <w:lang w:val="uk-UA"/>
              </w:rPr>
              <w:t>Харцизьк (57,4 млн.грн.),</w:t>
            </w:r>
            <w:r w:rsidR="00323153" w:rsidRPr="00F7290F">
              <w:rPr>
                <w:color w:val="000000" w:themeColor="text1"/>
                <w:lang w:val="uk-UA"/>
              </w:rPr>
              <w:t xml:space="preserve"> Донецьк (45,4 млн.грн.)</w:t>
            </w:r>
            <w:r w:rsidRPr="00F7290F">
              <w:rPr>
                <w:color w:val="000000" w:themeColor="text1"/>
                <w:lang w:val="uk-UA"/>
              </w:rPr>
              <w:t xml:space="preserve"> Мар’їнського (64,6 млн.грн.) та Старобешівського</w:t>
            </w:r>
            <w:r w:rsidR="00323153" w:rsidRPr="00F7290F">
              <w:rPr>
                <w:color w:val="000000" w:themeColor="text1"/>
                <w:lang w:val="uk-UA"/>
              </w:rPr>
              <w:t xml:space="preserve"> (42 млн.грн.)</w:t>
            </w:r>
            <w:r w:rsidRPr="00F7290F">
              <w:rPr>
                <w:color w:val="000000" w:themeColor="text1"/>
                <w:lang w:val="uk-UA"/>
              </w:rPr>
              <w:t xml:space="preserve"> районів.</w:t>
            </w:r>
          </w:p>
        </w:tc>
      </w:tr>
      <w:tr w:rsidR="00FD11E9" w:rsidRPr="008E4FA0" w:rsidTr="00D67E50">
        <w:tc>
          <w:tcPr>
            <w:tcW w:w="5709" w:type="dxa"/>
          </w:tcPr>
          <w:p w:rsidR="00FD11E9" w:rsidRPr="00F7290F" w:rsidRDefault="00FD11E9" w:rsidP="00D65D2E">
            <w:pPr>
              <w:keepNext/>
              <w:widowControl w:val="0"/>
              <w:spacing w:before="120"/>
              <w:jc w:val="center"/>
              <w:rPr>
                <w:b/>
                <w:color w:val="000000" w:themeColor="text1"/>
                <w:lang w:val="uk-UA"/>
              </w:rPr>
            </w:pPr>
            <w:r w:rsidRPr="00F7290F">
              <w:rPr>
                <w:b/>
                <w:color w:val="000000" w:themeColor="text1"/>
                <w:lang w:val="uk-UA"/>
              </w:rPr>
              <w:t>Податковий борг до місцевих бюджетів по збору за забруднення навколишнього природного середовища, млн.грн.</w:t>
            </w:r>
          </w:p>
        </w:tc>
        <w:tc>
          <w:tcPr>
            <w:tcW w:w="4394" w:type="dxa"/>
            <w:gridSpan w:val="4"/>
            <w:vMerge w:val="restart"/>
          </w:tcPr>
          <w:p w:rsidR="00D67E50" w:rsidRPr="00F7290F" w:rsidRDefault="00D67E50" w:rsidP="00D65D2E">
            <w:pPr>
              <w:keepNext/>
              <w:widowControl w:val="0"/>
              <w:ind w:firstLine="284"/>
              <w:jc w:val="both"/>
              <w:rPr>
                <w:color w:val="000000" w:themeColor="text1"/>
                <w:lang w:val="uk-UA"/>
              </w:rPr>
            </w:pPr>
            <w:r w:rsidRPr="00F7290F">
              <w:rPr>
                <w:color w:val="000000" w:themeColor="text1"/>
                <w:lang w:val="uk-UA"/>
              </w:rPr>
              <w:t>Р</w:t>
            </w:r>
            <w:r w:rsidR="004A42E1" w:rsidRPr="00F7290F">
              <w:rPr>
                <w:color w:val="000000" w:themeColor="text1"/>
                <w:lang w:val="uk-UA"/>
              </w:rPr>
              <w:t>озмір недоїмки до місцевих бюджетів по збору за забруднення навколишнього природного сере</w:t>
            </w:r>
            <w:r w:rsidRPr="00F7290F">
              <w:rPr>
                <w:color w:val="000000" w:themeColor="text1"/>
                <w:lang w:val="uk-UA"/>
              </w:rPr>
              <w:t xml:space="preserve">довища </w:t>
            </w:r>
            <w:r w:rsidR="004A42E1" w:rsidRPr="00F7290F">
              <w:rPr>
                <w:color w:val="000000" w:themeColor="text1"/>
                <w:lang w:val="uk-UA"/>
              </w:rPr>
              <w:t>порівняно</w:t>
            </w:r>
            <w:r w:rsidR="002B506B" w:rsidRPr="00F7290F">
              <w:rPr>
                <w:color w:val="000000" w:themeColor="text1"/>
                <w:lang w:val="uk-UA"/>
              </w:rPr>
              <w:t xml:space="preserve"> </w:t>
            </w:r>
            <w:r w:rsidRPr="00F7290F">
              <w:rPr>
                <w:color w:val="000000" w:themeColor="text1"/>
                <w:lang w:val="uk-UA"/>
              </w:rPr>
              <w:t>з</w:t>
            </w:r>
            <w:r w:rsidR="00B75850" w:rsidRPr="00F7290F">
              <w:rPr>
                <w:color w:val="000000" w:themeColor="text1"/>
                <w:lang w:val="uk-UA"/>
              </w:rPr>
              <w:t xml:space="preserve"> сумою на початок 201</w:t>
            </w:r>
            <w:r w:rsidR="00323153" w:rsidRPr="00F7290F">
              <w:rPr>
                <w:color w:val="000000" w:themeColor="text1"/>
                <w:lang w:val="uk-UA"/>
              </w:rPr>
              <w:t>2</w:t>
            </w:r>
            <w:r w:rsidRPr="00F7290F">
              <w:rPr>
                <w:color w:val="000000" w:themeColor="text1"/>
                <w:lang w:val="uk-UA"/>
              </w:rPr>
              <w:t xml:space="preserve"> рок</w:t>
            </w:r>
            <w:r w:rsidR="00B75850" w:rsidRPr="00F7290F">
              <w:rPr>
                <w:color w:val="000000" w:themeColor="text1"/>
                <w:lang w:val="uk-UA"/>
              </w:rPr>
              <w:t>у</w:t>
            </w:r>
            <w:r w:rsidRPr="00F7290F">
              <w:rPr>
                <w:color w:val="000000" w:themeColor="text1"/>
                <w:lang w:val="uk-UA"/>
              </w:rPr>
              <w:t xml:space="preserve"> знизився на </w:t>
            </w:r>
            <w:r w:rsidR="00323153" w:rsidRPr="00F7290F">
              <w:rPr>
                <w:color w:val="000000" w:themeColor="text1"/>
                <w:lang w:val="uk-UA"/>
              </w:rPr>
              <w:t>7,0</w:t>
            </w:r>
            <w:r w:rsidRPr="00F7290F">
              <w:rPr>
                <w:color w:val="000000" w:themeColor="text1"/>
                <w:lang w:val="uk-UA"/>
              </w:rPr>
              <w:t>%.</w:t>
            </w:r>
          </w:p>
          <w:p w:rsidR="00FD11E9" w:rsidRPr="00F7290F" w:rsidRDefault="004A42E1" w:rsidP="00323153">
            <w:pPr>
              <w:keepNext/>
              <w:widowControl w:val="0"/>
              <w:ind w:firstLine="284"/>
              <w:jc w:val="both"/>
              <w:rPr>
                <w:color w:val="000000" w:themeColor="text1"/>
                <w:lang w:val="uk-UA"/>
              </w:rPr>
            </w:pPr>
            <w:r w:rsidRPr="00F7290F">
              <w:rPr>
                <w:color w:val="000000" w:themeColor="text1"/>
                <w:lang w:val="uk-UA"/>
              </w:rPr>
              <w:t>Найбільшу заборгованість по зборам за забруднення навколиш</w:t>
            </w:r>
            <w:r w:rsidR="00D67E50" w:rsidRPr="00F7290F">
              <w:rPr>
                <w:color w:val="000000" w:themeColor="text1"/>
                <w:lang w:val="uk-UA"/>
              </w:rPr>
              <w:softHyphen/>
            </w:r>
            <w:r w:rsidRPr="00F7290F">
              <w:rPr>
                <w:color w:val="000000" w:themeColor="text1"/>
                <w:lang w:val="uk-UA"/>
              </w:rPr>
              <w:t>нього природ</w:t>
            </w:r>
            <w:r w:rsidR="00D67E50" w:rsidRPr="00F7290F">
              <w:rPr>
                <w:color w:val="000000" w:themeColor="text1"/>
                <w:lang w:val="uk-UA"/>
              </w:rPr>
              <w:softHyphen/>
            </w:r>
            <w:r w:rsidRPr="00F7290F">
              <w:rPr>
                <w:color w:val="000000" w:themeColor="text1"/>
                <w:lang w:val="uk-UA"/>
              </w:rPr>
              <w:t>ного середовища мають підприємства міст Селидове (5,</w:t>
            </w:r>
            <w:r w:rsidR="00323153" w:rsidRPr="00F7290F">
              <w:rPr>
                <w:color w:val="000000" w:themeColor="text1"/>
                <w:lang w:val="uk-UA"/>
              </w:rPr>
              <w:t>0</w:t>
            </w:r>
            <w:r w:rsidRPr="00F7290F">
              <w:rPr>
                <w:color w:val="000000" w:themeColor="text1"/>
                <w:lang w:val="uk-UA"/>
              </w:rPr>
              <w:t xml:space="preserve"> млн.грн), </w:t>
            </w:r>
            <w:r w:rsidR="00323153" w:rsidRPr="00F7290F">
              <w:rPr>
                <w:color w:val="000000" w:themeColor="text1"/>
                <w:lang w:val="uk-UA"/>
              </w:rPr>
              <w:t>Макіївка</w:t>
            </w:r>
            <w:r w:rsidRPr="00F7290F">
              <w:rPr>
                <w:color w:val="000000" w:themeColor="text1"/>
                <w:lang w:val="uk-UA"/>
              </w:rPr>
              <w:t xml:space="preserve"> (4,</w:t>
            </w:r>
            <w:r w:rsidR="00323153" w:rsidRPr="00F7290F">
              <w:rPr>
                <w:color w:val="000000" w:themeColor="text1"/>
                <w:lang w:val="uk-UA"/>
              </w:rPr>
              <w:t>0</w:t>
            </w:r>
            <w:r w:rsidRPr="00F7290F">
              <w:rPr>
                <w:color w:val="000000" w:themeColor="text1"/>
                <w:lang w:val="uk-UA"/>
              </w:rPr>
              <w:t xml:space="preserve"> млн.грн.) і </w:t>
            </w:r>
            <w:r w:rsidR="00323153" w:rsidRPr="00F7290F">
              <w:rPr>
                <w:color w:val="000000" w:themeColor="text1"/>
                <w:lang w:val="uk-UA"/>
              </w:rPr>
              <w:t>Єнакієве</w:t>
            </w:r>
            <w:r w:rsidRPr="00F7290F">
              <w:rPr>
                <w:color w:val="000000" w:themeColor="text1"/>
                <w:lang w:val="uk-UA"/>
              </w:rPr>
              <w:t xml:space="preserve"> (</w:t>
            </w:r>
            <w:r w:rsidR="00323153" w:rsidRPr="00F7290F">
              <w:rPr>
                <w:color w:val="000000" w:themeColor="text1"/>
                <w:lang w:val="uk-UA"/>
              </w:rPr>
              <w:t>3,7</w:t>
            </w:r>
            <w:r w:rsidRPr="00F7290F">
              <w:rPr>
                <w:color w:val="000000" w:themeColor="text1"/>
                <w:lang w:val="uk-UA"/>
              </w:rPr>
              <w:t xml:space="preserve"> млн.грн), </w:t>
            </w:r>
            <w:r w:rsidR="00323153" w:rsidRPr="00F7290F">
              <w:rPr>
                <w:color w:val="000000" w:themeColor="text1"/>
                <w:lang w:val="uk-UA"/>
              </w:rPr>
              <w:t xml:space="preserve">Донецьк (2,5 млн.грн.), </w:t>
            </w:r>
            <w:r w:rsidRPr="00F7290F">
              <w:rPr>
                <w:color w:val="000000" w:themeColor="text1"/>
                <w:lang w:val="uk-UA"/>
              </w:rPr>
              <w:t xml:space="preserve">Шахтарського </w:t>
            </w:r>
            <w:r w:rsidR="00323153" w:rsidRPr="00F7290F">
              <w:rPr>
                <w:color w:val="000000" w:themeColor="text1"/>
                <w:lang w:val="uk-UA"/>
              </w:rPr>
              <w:t xml:space="preserve">району </w:t>
            </w:r>
            <w:r w:rsidRPr="00F7290F">
              <w:rPr>
                <w:color w:val="000000" w:themeColor="text1"/>
                <w:lang w:val="uk-UA"/>
              </w:rPr>
              <w:t>(</w:t>
            </w:r>
            <w:r w:rsidR="00323153" w:rsidRPr="00F7290F">
              <w:rPr>
                <w:color w:val="000000" w:themeColor="text1"/>
                <w:lang w:val="uk-UA"/>
              </w:rPr>
              <w:t>4,1 млн.грн.)</w:t>
            </w:r>
            <w:r w:rsidRPr="00F7290F">
              <w:rPr>
                <w:color w:val="000000" w:themeColor="text1"/>
                <w:lang w:val="uk-UA"/>
              </w:rPr>
              <w:t xml:space="preserve">.  </w:t>
            </w:r>
          </w:p>
        </w:tc>
      </w:tr>
      <w:tr w:rsidR="00FD11E9" w:rsidRPr="00F7290F" w:rsidTr="00D67E50">
        <w:tc>
          <w:tcPr>
            <w:tcW w:w="5709" w:type="dxa"/>
          </w:tcPr>
          <w:p w:rsidR="00FD11E9" w:rsidRPr="00F7290F" w:rsidRDefault="00FD11E9" w:rsidP="00D65D2E">
            <w:pPr>
              <w:keepNext/>
              <w:widowControl w:val="0"/>
              <w:jc w:val="center"/>
              <w:rPr>
                <w:color w:val="FF0000"/>
                <w:sz w:val="2"/>
                <w:szCs w:val="2"/>
                <w:lang w:val="uk-UA"/>
              </w:rPr>
            </w:pPr>
            <w:r w:rsidRPr="00F7290F">
              <w:rPr>
                <w:noProof/>
                <w:color w:val="FF0000"/>
                <w:sz w:val="2"/>
                <w:szCs w:val="2"/>
              </w:rPr>
              <w:drawing>
                <wp:inline distT="0" distB="0" distL="0" distR="0">
                  <wp:extent cx="3448050" cy="1543050"/>
                  <wp:effectExtent l="0" t="0" r="0" b="0"/>
                  <wp:docPr id="3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394" w:type="dxa"/>
            <w:gridSpan w:val="4"/>
            <w:vMerge/>
          </w:tcPr>
          <w:p w:rsidR="00FD11E9" w:rsidRPr="00F7290F" w:rsidRDefault="00FD11E9" w:rsidP="00D65D2E">
            <w:pPr>
              <w:keepNext/>
              <w:widowControl w:val="0"/>
              <w:ind w:firstLine="284"/>
              <w:jc w:val="both"/>
              <w:rPr>
                <w:color w:val="FF0000"/>
                <w:lang w:val="uk-UA"/>
              </w:rPr>
            </w:pPr>
          </w:p>
        </w:tc>
      </w:tr>
    </w:tbl>
    <w:p w:rsidR="00F40A8B" w:rsidRPr="00F7290F" w:rsidRDefault="00F40A8B" w:rsidP="00D65D2E">
      <w:pPr>
        <w:keepNext/>
        <w:widowControl w:val="0"/>
        <w:rPr>
          <w:color w:val="FF0000"/>
          <w:lang w:val="uk-UA"/>
        </w:rPr>
      </w:pPr>
      <w:r w:rsidRPr="00F7290F">
        <w:rPr>
          <w:color w:val="FF0000"/>
          <w:lang w:val="uk-UA"/>
        </w:rPr>
        <w:br w:type="page"/>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92"/>
        <w:gridCol w:w="4111"/>
      </w:tblGrid>
      <w:tr w:rsidR="00FD11E9" w:rsidRPr="00F7290F" w:rsidTr="007C06C7">
        <w:trPr>
          <w:trHeight w:val="80"/>
        </w:trPr>
        <w:tc>
          <w:tcPr>
            <w:tcW w:w="5992" w:type="dxa"/>
            <w:tcBorders>
              <w:top w:val="nil"/>
              <w:left w:val="nil"/>
              <w:bottom w:val="nil"/>
              <w:right w:val="nil"/>
            </w:tcBorders>
          </w:tcPr>
          <w:p w:rsidR="00FD11E9" w:rsidRPr="00F7290F" w:rsidRDefault="009534C5" w:rsidP="00D65D2E">
            <w:pPr>
              <w:keepNext/>
              <w:widowControl w:val="0"/>
              <w:jc w:val="center"/>
              <w:rPr>
                <w:noProof/>
                <w:color w:val="000000" w:themeColor="text1"/>
                <w:lang w:val="uk-UA"/>
              </w:rPr>
            </w:pPr>
            <w:r w:rsidRPr="00F7290F">
              <w:rPr>
                <w:color w:val="FF0000"/>
                <w:lang w:val="uk-UA"/>
              </w:rPr>
              <w:lastRenderedPageBreak/>
              <w:br w:type="page"/>
            </w:r>
            <w:r w:rsidR="00FD11E9" w:rsidRPr="00F7290F">
              <w:rPr>
                <w:color w:val="FF0000"/>
                <w:lang w:val="uk-UA"/>
              </w:rPr>
              <w:br w:type="page"/>
            </w:r>
            <w:r w:rsidR="00FD11E9" w:rsidRPr="00F7290F">
              <w:rPr>
                <w:color w:val="FF0000"/>
                <w:lang w:val="uk-UA"/>
              </w:rPr>
              <w:br w:type="page"/>
            </w:r>
            <w:r w:rsidR="00FD11E9" w:rsidRPr="00F7290F">
              <w:rPr>
                <w:color w:val="FF0000"/>
                <w:lang w:val="uk-UA"/>
              </w:rPr>
              <w:br w:type="page"/>
            </w:r>
            <w:r w:rsidR="00FD11E9" w:rsidRPr="00F7290F">
              <w:rPr>
                <w:b/>
                <w:color w:val="000000" w:themeColor="text1"/>
                <w:lang w:val="uk-UA"/>
              </w:rPr>
              <w:t>Динаміка фінансових  результатів діяльності                             основного кола підприємств області, млрд.грн.</w:t>
            </w:r>
          </w:p>
        </w:tc>
        <w:tc>
          <w:tcPr>
            <w:tcW w:w="4111" w:type="dxa"/>
            <w:tcBorders>
              <w:top w:val="nil"/>
              <w:left w:val="nil"/>
              <w:bottom w:val="nil"/>
              <w:right w:val="nil"/>
            </w:tcBorders>
          </w:tcPr>
          <w:p w:rsidR="00FD11E9" w:rsidRPr="00F7290F" w:rsidRDefault="00FD11E9" w:rsidP="00D65D2E">
            <w:pPr>
              <w:keepNext/>
              <w:widowControl w:val="0"/>
              <w:ind w:firstLine="431"/>
              <w:jc w:val="both"/>
              <w:rPr>
                <w:color w:val="FF0000"/>
                <w:lang w:val="uk-UA"/>
              </w:rPr>
            </w:pPr>
          </w:p>
        </w:tc>
      </w:tr>
      <w:tr w:rsidR="009B63C9" w:rsidRPr="00F7290F" w:rsidTr="00C12D29">
        <w:trPr>
          <w:trHeight w:val="80"/>
        </w:trPr>
        <w:tc>
          <w:tcPr>
            <w:tcW w:w="5992" w:type="dxa"/>
            <w:tcBorders>
              <w:top w:val="nil"/>
              <w:left w:val="nil"/>
              <w:bottom w:val="nil"/>
              <w:right w:val="nil"/>
            </w:tcBorders>
          </w:tcPr>
          <w:p w:rsidR="009B63C9" w:rsidRPr="00F7290F" w:rsidRDefault="00914A69" w:rsidP="00D65D2E">
            <w:pPr>
              <w:keepNext/>
              <w:widowControl w:val="0"/>
              <w:jc w:val="center"/>
              <w:rPr>
                <w:noProof/>
                <w:color w:val="FF0000"/>
                <w:lang w:val="uk-UA"/>
              </w:rPr>
            </w:pPr>
            <w:r w:rsidRPr="00914A69">
              <w:rPr>
                <w:noProof/>
                <w:color w:val="FF0000"/>
                <w:sz w:val="23"/>
                <w:szCs w:val="23"/>
                <w:lang w:val="uk-UA"/>
              </w:rPr>
              <w:pict>
                <v:group id="_x0000_s1219" style="position:absolute;left:0;text-align:left;margin-left:7.5pt;margin-top:108.85pt;width:270.2pt;height:28.5pt;z-index:251718656;mso-position-horizontal-relative:text;mso-position-vertical-relative:text" coordorigin="1884,4765" coordsize="5648,570">
                  <v:rect id="_x0000_s1220" style="position:absolute;left:1884;top:4891;width:818;height:391" stroked="f">
                    <v:textbox style="mso-next-textbox:#_x0000_s1220">
                      <w:txbxContent>
                        <w:p w:rsidR="00FC0B4D" w:rsidRPr="008347A7" w:rsidRDefault="00FC0B4D" w:rsidP="00FD11E9">
                          <w:pPr>
                            <w:jc w:val="center"/>
                            <w:rPr>
                              <w:sz w:val="20"/>
                              <w:szCs w:val="20"/>
                            </w:rPr>
                          </w:pPr>
                          <w:r w:rsidRPr="008347A7">
                            <w:rPr>
                              <w:sz w:val="20"/>
                              <w:szCs w:val="20"/>
                            </w:rPr>
                            <w:t>200</w:t>
                          </w:r>
                          <w:r>
                            <w:rPr>
                              <w:sz w:val="20"/>
                              <w:szCs w:val="20"/>
                            </w:rPr>
                            <w:t>8</w:t>
                          </w:r>
                        </w:p>
                      </w:txbxContent>
                    </v:textbox>
                  </v:rect>
                  <v:rect id="_x0000_s1221" style="position:absolute;left:3102;top:4908;width:818;height:391" stroked="f">
                    <v:textbox style="mso-next-textbox:#_x0000_s1221">
                      <w:txbxContent>
                        <w:p w:rsidR="00FC0B4D" w:rsidRPr="008347A7" w:rsidRDefault="00FC0B4D" w:rsidP="00FD11E9">
                          <w:pPr>
                            <w:jc w:val="center"/>
                            <w:rPr>
                              <w:sz w:val="20"/>
                              <w:szCs w:val="20"/>
                            </w:rPr>
                          </w:pPr>
                          <w:r w:rsidRPr="008347A7">
                            <w:rPr>
                              <w:sz w:val="20"/>
                              <w:szCs w:val="20"/>
                            </w:rPr>
                            <w:t>200</w:t>
                          </w:r>
                          <w:r>
                            <w:rPr>
                              <w:sz w:val="20"/>
                              <w:szCs w:val="20"/>
                            </w:rPr>
                            <w:t>9</w:t>
                          </w:r>
                        </w:p>
                      </w:txbxContent>
                    </v:textbox>
                  </v:rect>
                  <v:rect id="_x0000_s1222" style="position:absolute;left:4258;top:4926;width:818;height:391" stroked="f">
                    <v:textbox style="mso-next-textbox:#_x0000_s1222">
                      <w:txbxContent>
                        <w:p w:rsidR="00FC0B4D" w:rsidRPr="008347A7" w:rsidRDefault="00FC0B4D" w:rsidP="00FD11E9">
                          <w:pPr>
                            <w:jc w:val="center"/>
                            <w:rPr>
                              <w:sz w:val="20"/>
                              <w:szCs w:val="20"/>
                            </w:rPr>
                          </w:pPr>
                          <w:r w:rsidRPr="008347A7">
                            <w:rPr>
                              <w:sz w:val="20"/>
                              <w:szCs w:val="20"/>
                            </w:rPr>
                            <w:t>20</w:t>
                          </w:r>
                          <w:r>
                            <w:rPr>
                              <w:sz w:val="20"/>
                              <w:szCs w:val="20"/>
                            </w:rPr>
                            <w:t>10</w:t>
                          </w:r>
                        </w:p>
                      </w:txbxContent>
                    </v:textbox>
                  </v:rect>
                  <v:rect id="_x0000_s1223" style="position:absolute;left:5467;top:4926;width:818;height:391" stroked="f">
                    <v:textbox style="mso-next-textbox:#_x0000_s1223">
                      <w:txbxContent>
                        <w:p w:rsidR="00FC0B4D" w:rsidRPr="008347A7" w:rsidRDefault="00FC0B4D" w:rsidP="00FD11E9">
                          <w:pPr>
                            <w:jc w:val="center"/>
                            <w:rPr>
                              <w:sz w:val="20"/>
                              <w:szCs w:val="20"/>
                            </w:rPr>
                          </w:pPr>
                          <w:r w:rsidRPr="008347A7">
                            <w:rPr>
                              <w:sz w:val="20"/>
                              <w:szCs w:val="20"/>
                            </w:rPr>
                            <w:t>20</w:t>
                          </w:r>
                          <w:r>
                            <w:rPr>
                              <w:sz w:val="20"/>
                              <w:szCs w:val="20"/>
                            </w:rPr>
                            <w:t>11</w:t>
                          </w:r>
                        </w:p>
                      </w:txbxContent>
                    </v:textbox>
                  </v:rect>
                  <v:rect id="_x0000_s1224" style="position:absolute;left:6714;top:4765;width:818;height:570" stroked="f">
                    <v:textbox style="mso-next-textbox:#_x0000_s1224">
                      <w:txbxContent>
                        <w:p w:rsidR="00FC0B4D" w:rsidRPr="008347A7" w:rsidRDefault="00FC0B4D" w:rsidP="00FD11E9">
                          <w:pPr>
                            <w:jc w:val="center"/>
                            <w:rPr>
                              <w:sz w:val="20"/>
                              <w:szCs w:val="20"/>
                              <w:lang w:val="uk-UA"/>
                            </w:rPr>
                          </w:pPr>
                          <w:r w:rsidRPr="008347A7">
                            <w:rPr>
                              <w:sz w:val="20"/>
                              <w:szCs w:val="20"/>
                            </w:rPr>
                            <w:t>20</w:t>
                          </w:r>
                          <w:r>
                            <w:rPr>
                              <w:sz w:val="20"/>
                              <w:szCs w:val="20"/>
                            </w:rPr>
                            <w:t xml:space="preserve">12 </w:t>
                          </w:r>
                          <w:r>
                            <w:rPr>
                              <w:sz w:val="20"/>
                              <w:szCs w:val="20"/>
                              <w:lang w:val="uk-UA"/>
                            </w:rPr>
                            <w:t>очік.</w:t>
                          </w:r>
                        </w:p>
                      </w:txbxContent>
                    </v:textbox>
                  </v:rect>
                </v:group>
              </w:pict>
            </w:r>
            <w:r w:rsidR="009B63C9" w:rsidRPr="00F7290F">
              <w:rPr>
                <w:noProof/>
                <w:color w:val="FF0000"/>
              </w:rPr>
              <w:drawing>
                <wp:inline distT="0" distB="0" distL="0" distR="0">
                  <wp:extent cx="3615070" cy="1935126"/>
                  <wp:effectExtent l="0" t="0" r="0" b="0"/>
                  <wp:docPr id="8" name="Объект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111" w:type="dxa"/>
            <w:vMerge w:val="restart"/>
            <w:tcBorders>
              <w:top w:val="nil"/>
              <w:left w:val="nil"/>
              <w:right w:val="nil"/>
            </w:tcBorders>
          </w:tcPr>
          <w:p w:rsidR="009B63C9" w:rsidRPr="00F7290F" w:rsidRDefault="009B63C9" w:rsidP="00D65D2E">
            <w:pPr>
              <w:keepNext/>
              <w:widowControl w:val="0"/>
              <w:ind w:firstLine="284"/>
              <w:jc w:val="both"/>
              <w:rPr>
                <w:color w:val="FF0000"/>
                <w:sz w:val="23"/>
                <w:szCs w:val="23"/>
                <w:lang w:val="uk-UA"/>
              </w:rPr>
            </w:pPr>
          </w:p>
          <w:p w:rsidR="00E62B95" w:rsidRPr="00F7290F" w:rsidRDefault="00E62B95" w:rsidP="00D65D2E">
            <w:pPr>
              <w:keepNext/>
              <w:widowControl w:val="0"/>
              <w:spacing w:after="120"/>
              <w:ind w:firstLine="284"/>
              <w:jc w:val="both"/>
              <w:rPr>
                <w:color w:val="000000" w:themeColor="text1"/>
                <w:lang w:val="uk-UA"/>
              </w:rPr>
            </w:pPr>
            <w:r w:rsidRPr="00F7290F">
              <w:rPr>
                <w:color w:val="000000" w:themeColor="text1"/>
                <w:lang w:val="uk-UA"/>
              </w:rPr>
              <w:t>У 2012 році очікується отримати від’ємний  фінансовий результат від звичайної діяльності до оподаткування в сумі                        3,0 млрд.грн. збитків проти               11,5 млрд.грн. прибутку у                         2011 році.</w:t>
            </w:r>
          </w:p>
          <w:p w:rsidR="009B63C9" w:rsidRPr="00F7290F" w:rsidRDefault="009B63C9" w:rsidP="00D65D2E">
            <w:pPr>
              <w:keepNext/>
              <w:widowControl w:val="0"/>
              <w:spacing w:after="120"/>
              <w:ind w:firstLine="284"/>
              <w:jc w:val="both"/>
              <w:rPr>
                <w:color w:val="FF0000"/>
                <w:lang w:val="uk-UA"/>
              </w:rPr>
            </w:pPr>
            <w:r w:rsidRPr="00F7290F">
              <w:rPr>
                <w:color w:val="FF0000"/>
                <w:lang w:val="uk-UA"/>
              </w:rPr>
              <w:t xml:space="preserve">                    </w:t>
            </w:r>
          </w:p>
          <w:p w:rsidR="000D537E" w:rsidRPr="00F7290F" w:rsidRDefault="000D537E" w:rsidP="00D65D2E">
            <w:pPr>
              <w:keepNext/>
              <w:widowControl w:val="0"/>
              <w:spacing w:after="60"/>
              <w:ind w:firstLine="284"/>
              <w:jc w:val="both"/>
              <w:rPr>
                <w:color w:val="FF0000"/>
                <w:lang w:val="uk-UA"/>
              </w:rPr>
            </w:pPr>
          </w:p>
          <w:p w:rsidR="006D1F2B" w:rsidRPr="00F7290F" w:rsidRDefault="006D1F2B" w:rsidP="006D1F2B">
            <w:pPr>
              <w:keepNext/>
              <w:widowControl w:val="0"/>
              <w:spacing w:after="60"/>
              <w:ind w:firstLine="284"/>
              <w:jc w:val="both"/>
              <w:rPr>
                <w:lang w:val="uk-UA"/>
              </w:rPr>
            </w:pPr>
            <w:r w:rsidRPr="00F7290F">
              <w:rPr>
                <w:lang w:val="uk-UA"/>
              </w:rPr>
              <w:t xml:space="preserve">Обсяг надходжень податків, зборів та інших обов’язкових платежів до бюджетів усіх рівнів склав               27,6 млрд.грн., що на 6,7% більше, ніж в 2011 році, в тому числі до державного бюджету – </w:t>
            </w:r>
            <w:r w:rsidRPr="00F7290F">
              <w:rPr>
                <w:spacing w:val="12"/>
                <w:lang w:val="uk-UA"/>
              </w:rPr>
              <w:t>17,1 млрд.грн, що на 2,3%</w:t>
            </w:r>
            <w:r w:rsidRPr="00F7290F">
              <w:rPr>
                <w:spacing w:val="-4"/>
                <w:lang w:val="uk-UA"/>
              </w:rPr>
              <w:t xml:space="preserve"> більше.</w:t>
            </w:r>
          </w:p>
          <w:p w:rsidR="009B63C9" w:rsidRPr="00F7290F" w:rsidRDefault="006D1F2B" w:rsidP="006D1F2B">
            <w:pPr>
              <w:keepNext/>
              <w:widowControl w:val="0"/>
              <w:ind w:firstLine="284"/>
              <w:jc w:val="both"/>
              <w:rPr>
                <w:color w:val="FF0000"/>
                <w:lang w:val="uk-UA"/>
              </w:rPr>
            </w:pPr>
            <w:r w:rsidRPr="00F7290F">
              <w:rPr>
                <w:lang w:val="uk-UA"/>
              </w:rPr>
              <w:t>Податковий борг з початку року зменшився на 14,3% і на 01.01.2013 становив 1,1 млрд.грн., в тому числі до державного бюджету –                   0,8 млрд.грн. (на 19,2% менше).</w:t>
            </w:r>
          </w:p>
        </w:tc>
      </w:tr>
      <w:tr w:rsidR="009B63C9" w:rsidRPr="00F7290F" w:rsidTr="00C12D29">
        <w:trPr>
          <w:trHeight w:val="359"/>
        </w:trPr>
        <w:tc>
          <w:tcPr>
            <w:tcW w:w="5992" w:type="dxa"/>
            <w:tcBorders>
              <w:top w:val="nil"/>
              <w:left w:val="nil"/>
              <w:bottom w:val="nil"/>
              <w:right w:val="nil"/>
            </w:tcBorders>
          </w:tcPr>
          <w:p w:rsidR="009B63C9" w:rsidRPr="00F7290F" w:rsidRDefault="009B63C9" w:rsidP="00D65D2E">
            <w:pPr>
              <w:keepNext/>
              <w:widowControl w:val="0"/>
              <w:jc w:val="center"/>
              <w:rPr>
                <w:b/>
                <w:color w:val="000000" w:themeColor="text1"/>
                <w:lang w:val="uk-UA"/>
              </w:rPr>
            </w:pPr>
            <w:r w:rsidRPr="00F7290F">
              <w:rPr>
                <w:b/>
                <w:color w:val="000000" w:themeColor="text1"/>
                <w:lang w:val="uk-UA"/>
              </w:rPr>
              <w:t>Динаміка збору податків, зборів та інших обов'язкових платежів до бюджетів усіх рівнів, млрд.грн.</w:t>
            </w:r>
          </w:p>
        </w:tc>
        <w:tc>
          <w:tcPr>
            <w:tcW w:w="4111" w:type="dxa"/>
            <w:vMerge/>
            <w:tcBorders>
              <w:left w:val="nil"/>
              <w:right w:val="nil"/>
            </w:tcBorders>
          </w:tcPr>
          <w:p w:rsidR="009B63C9" w:rsidRPr="00F7290F" w:rsidRDefault="009B63C9" w:rsidP="00D65D2E">
            <w:pPr>
              <w:keepNext/>
              <w:widowControl w:val="0"/>
              <w:ind w:firstLine="284"/>
              <w:jc w:val="both"/>
              <w:rPr>
                <w:color w:val="FF0000"/>
                <w:lang w:val="uk-UA"/>
              </w:rPr>
            </w:pPr>
          </w:p>
        </w:tc>
      </w:tr>
      <w:tr w:rsidR="009B63C9" w:rsidRPr="00F7290F" w:rsidTr="00C12D29">
        <w:trPr>
          <w:trHeight w:val="80"/>
        </w:trPr>
        <w:tc>
          <w:tcPr>
            <w:tcW w:w="5992" w:type="dxa"/>
            <w:tcBorders>
              <w:top w:val="nil"/>
              <w:left w:val="nil"/>
              <w:bottom w:val="nil"/>
              <w:right w:val="nil"/>
            </w:tcBorders>
          </w:tcPr>
          <w:p w:rsidR="009B63C9" w:rsidRPr="00F7290F" w:rsidRDefault="009B63C9" w:rsidP="00D65D2E">
            <w:pPr>
              <w:keepNext/>
              <w:widowControl w:val="0"/>
              <w:ind w:left="-113"/>
              <w:rPr>
                <w:color w:val="FF0000"/>
                <w:sz w:val="4"/>
                <w:szCs w:val="4"/>
                <w:lang w:val="uk-UA"/>
              </w:rPr>
            </w:pPr>
            <w:r w:rsidRPr="00F7290F">
              <w:rPr>
                <w:noProof/>
                <w:color w:val="FF0000"/>
              </w:rPr>
              <w:drawing>
                <wp:inline distT="0" distB="0" distL="0" distR="0">
                  <wp:extent cx="3714750" cy="1543050"/>
                  <wp:effectExtent l="0" t="0" r="0" b="0"/>
                  <wp:docPr id="12"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111" w:type="dxa"/>
            <w:vMerge/>
            <w:tcBorders>
              <w:left w:val="nil"/>
              <w:bottom w:val="nil"/>
              <w:right w:val="nil"/>
            </w:tcBorders>
            <w:vAlign w:val="center"/>
          </w:tcPr>
          <w:p w:rsidR="009B63C9" w:rsidRPr="00F7290F" w:rsidRDefault="009B63C9" w:rsidP="00D65D2E">
            <w:pPr>
              <w:keepNext/>
              <w:widowControl w:val="0"/>
              <w:rPr>
                <w:color w:val="FF0000"/>
                <w:lang w:val="uk-UA"/>
              </w:rPr>
            </w:pPr>
          </w:p>
        </w:tc>
      </w:tr>
      <w:tr w:rsidR="00FD11E9" w:rsidRPr="00F7290F" w:rsidTr="009B63C9">
        <w:trPr>
          <w:trHeight w:val="359"/>
        </w:trPr>
        <w:tc>
          <w:tcPr>
            <w:tcW w:w="5992" w:type="dxa"/>
            <w:tcBorders>
              <w:top w:val="nil"/>
              <w:left w:val="nil"/>
              <w:bottom w:val="nil"/>
              <w:right w:val="nil"/>
            </w:tcBorders>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t>Динаміка доходів бюджету області, млрд.грн.</w:t>
            </w:r>
          </w:p>
        </w:tc>
        <w:tc>
          <w:tcPr>
            <w:tcW w:w="4111" w:type="dxa"/>
            <w:vMerge w:val="restart"/>
            <w:tcBorders>
              <w:top w:val="nil"/>
              <w:left w:val="nil"/>
              <w:bottom w:val="nil"/>
              <w:right w:val="nil"/>
            </w:tcBorders>
          </w:tcPr>
          <w:p w:rsidR="000D537E" w:rsidRPr="00F7290F" w:rsidRDefault="000D537E" w:rsidP="00D65D2E">
            <w:pPr>
              <w:keepNext/>
              <w:widowControl w:val="0"/>
              <w:spacing w:before="240" w:after="60"/>
              <w:ind w:firstLine="284"/>
              <w:jc w:val="both"/>
              <w:rPr>
                <w:color w:val="FF0000"/>
                <w:lang w:val="uk-UA"/>
              </w:rPr>
            </w:pPr>
          </w:p>
          <w:p w:rsidR="0004262B" w:rsidRPr="00F7290F" w:rsidRDefault="0004262B" w:rsidP="0004262B">
            <w:pPr>
              <w:keepNext/>
              <w:widowControl w:val="0"/>
              <w:spacing w:before="240" w:after="60"/>
              <w:ind w:firstLine="284"/>
              <w:jc w:val="both"/>
              <w:rPr>
                <w:lang w:val="uk-UA"/>
              </w:rPr>
            </w:pPr>
            <w:r w:rsidRPr="00F7290F">
              <w:rPr>
                <w:lang w:val="uk-UA"/>
              </w:rPr>
              <w:t>До місцевих бюджетів надійшло доходів (без трансфертів) у сумі                      11,6 млрд.грн., що на 14,9% більше, ніж у 2011 році.</w:t>
            </w:r>
          </w:p>
          <w:p w:rsidR="00FD11E9" w:rsidRPr="00F7290F" w:rsidRDefault="0004262B" w:rsidP="0004262B">
            <w:pPr>
              <w:keepNext/>
              <w:widowControl w:val="0"/>
              <w:spacing w:before="240" w:after="60"/>
              <w:ind w:firstLine="284"/>
              <w:jc w:val="both"/>
              <w:rPr>
                <w:color w:val="FF0000"/>
                <w:spacing w:val="-6"/>
                <w:lang w:val="uk-UA"/>
              </w:rPr>
            </w:pPr>
            <w:r w:rsidRPr="00F7290F">
              <w:rPr>
                <w:lang w:val="uk-UA"/>
              </w:rPr>
              <w:t>Трансферти з державного бюджету збільшились на 48,7% і склали 10,8 млрд.грн.</w:t>
            </w:r>
            <w:r w:rsidRPr="00F7290F">
              <w:rPr>
                <w:color w:val="FF0000"/>
                <w:spacing w:val="-6"/>
                <w:lang w:val="uk-UA"/>
              </w:rPr>
              <w:t xml:space="preserve"> </w:t>
            </w:r>
          </w:p>
        </w:tc>
      </w:tr>
      <w:tr w:rsidR="00FD11E9" w:rsidRPr="00F7290F" w:rsidTr="009B63C9">
        <w:trPr>
          <w:trHeight w:val="2563"/>
        </w:trPr>
        <w:tc>
          <w:tcPr>
            <w:tcW w:w="5992" w:type="dxa"/>
            <w:tcBorders>
              <w:top w:val="nil"/>
              <w:left w:val="nil"/>
              <w:bottom w:val="nil"/>
              <w:right w:val="nil"/>
            </w:tcBorders>
          </w:tcPr>
          <w:p w:rsidR="00FD11E9" w:rsidRPr="00F7290F" w:rsidRDefault="00FD11E9" w:rsidP="00D65D2E">
            <w:pPr>
              <w:keepNext/>
              <w:widowControl w:val="0"/>
              <w:jc w:val="center"/>
              <w:rPr>
                <w:b/>
                <w:color w:val="FF0000"/>
                <w:lang w:val="uk-UA"/>
              </w:rPr>
            </w:pPr>
            <w:r w:rsidRPr="00F7290F">
              <w:rPr>
                <w:b/>
                <w:noProof/>
                <w:color w:val="FF0000"/>
                <w:sz w:val="26"/>
                <w:szCs w:val="26"/>
              </w:rPr>
              <w:drawing>
                <wp:inline distT="0" distB="0" distL="0" distR="0">
                  <wp:extent cx="3638550" cy="1562100"/>
                  <wp:effectExtent l="0" t="0" r="0" b="0"/>
                  <wp:docPr id="40"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111" w:type="dxa"/>
            <w:vMerge/>
            <w:tcBorders>
              <w:top w:val="nil"/>
              <w:left w:val="nil"/>
              <w:bottom w:val="nil"/>
              <w:right w:val="nil"/>
            </w:tcBorders>
            <w:vAlign w:val="center"/>
          </w:tcPr>
          <w:p w:rsidR="00FD11E9" w:rsidRPr="00F7290F" w:rsidRDefault="00FD11E9" w:rsidP="00D65D2E">
            <w:pPr>
              <w:keepNext/>
              <w:widowControl w:val="0"/>
              <w:rPr>
                <w:color w:val="FF0000"/>
                <w:lang w:val="uk-UA"/>
              </w:rPr>
            </w:pPr>
          </w:p>
        </w:tc>
      </w:tr>
      <w:tr w:rsidR="00FD11E9" w:rsidRPr="00F7290F" w:rsidTr="009B63C9">
        <w:trPr>
          <w:trHeight w:val="359"/>
        </w:trPr>
        <w:tc>
          <w:tcPr>
            <w:tcW w:w="5992" w:type="dxa"/>
            <w:tcBorders>
              <w:top w:val="nil"/>
              <w:left w:val="nil"/>
              <w:bottom w:val="nil"/>
              <w:right w:val="nil"/>
            </w:tcBorders>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t xml:space="preserve">Динаміка кредитних ресурсів, </w:t>
            </w:r>
          </w:p>
          <w:p w:rsidR="00FD11E9" w:rsidRPr="00F7290F" w:rsidRDefault="00FD11E9" w:rsidP="00D65D2E">
            <w:pPr>
              <w:keepNext/>
              <w:widowControl w:val="0"/>
              <w:jc w:val="center"/>
              <w:rPr>
                <w:b/>
                <w:color w:val="000000" w:themeColor="text1"/>
                <w:lang w:val="uk-UA"/>
              </w:rPr>
            </w:pPr>
            <w:r w:rsidRPr="00F7290F">
              <w:rPr>
                <w:b/>
                <w:color w:val="000000" w:themeColor="text1"/>
                <w:lang w:val="uk-UA"/>
              </w:rPr>
              <w:t xml:space="preserve">вкладів населення та процентних ставок банків </w:t>
            </w:r>
          </w:p>
          <w:p w:rsidR="00FD11E9" w:rsidRPr="00F7290F" w:rsidRDefault="00FD11E9" w:rsidP="00D65D2E">
            <w:pPr>
              <w:keepNext/>
              <w:widowControl w:val="0"/>
              <w:jc w:val="center"/>
              <w:rPr>
                <w:b/>
                <w:color w:val="FF0000"/>
                <w:lang w:val="uk-UA"/>
              </w:rPr>
            </w:pPr>
            <w:r w:rsidRPr="00F7290F">
              <w:rPr>
                <w:b/>
                <w:color w:val="000000" w:themeColor="text1"/>
                <w:lang w:val="uk-UA"/>
              </w:rPr>
              <w:t>та банківських  установ області</w:t>
            </w:r>
          </w:p>
        </w:tc>
        <w:tc>
          <w:tcPr>
            <w:tcW w:w="4111" w:type="dxa"/>
            <w:vMerge w:val="restart"/>
            <w:tcBorders>
              <w:top w:val="nil"/>
              <w:left w:val="nil"/>
              <w:bottom w:val="nil"/>
              <w:right w:val="nil"/>
            </w:tcBorders>
          </w:tcPr>
          <w:p w:rsidR="00FD11E9" w:rsidRPr="00F7290F" w:rsidRDefault="00FD11E9" w:rsidP="00D65D2E">
            <w:pPr>
              <w:keepNext/>
              <w:widowControl w:val="0"/>
              <w:tabs>
                <w:tab w:val="left" w:pos="1080"/>
              </w:tabs>
              <w:spacing w:after="60"/>
              <w:ind w:firstLine="284"/>
              <w:jc w:val="both"/>
              <w:rPr>
                <w:color w:val="FF0000"/>
                <w:spacing w:val="-8"/>
                <w:lang w:val="uk-UA"/>
              </w:rPr>
            </w:pPr>
          </w:p>
          <w:p w:rsidR="00D85CDD" w:rsidRPr="00F7290F" w:rsidRDefault="00D85CDD" w:rsidP="00D85CDD">
            <w:pPr>
              <w:keepNext/>
              <w:widowControl w:val="0"/>
              <w:spacing w:after="40"/>
              <w:ind w:firstLine="284"/>
              <w:jc w:val="both"/>
              <w:rPr>
                <w:spacing w:val="-6"/>
                <w:lang w:val="uk-UA"/>
              </w:rPr>
            </w:pPr>
            <w:r w:rsidRPr="00F7290F">
              <w:rPr>
                <w:spacing w:val="-6"/>
                <w:lang w:val="uk-UA"/>
              </w:rPr>
              <w:t>Вимоги за кредитами, спрямованими в економіку регіону, збільшились у 2012 році на 8,9% і станом на 01.01.2013 склали 52,8 млрд.грн.</w:t>
            </w:r>
          </w:p>
          <w:p w:rsidR="00D85CDD" w:rsidRPr="00F7290F" w:rsidRDefault="00D85CDD" w:rsidP="00D85CDD">
            <w:pPr>
              <w:keepNext/>
              <w:widowControl w:val="0"/>
              <w:spacing w:after="40"/>
              <w:ind w:firstLine="284"/>
              <w:jc w:val="both"/>
              <w:rPr>
                <w:spacing w:val="-6"/>
                <w:lang w:val="uk-UA"/>
              </w:rPr>
            </w:pPr>
            <w:r w:rsidRPr="00F7290F">
              <w:rPr>
                <w:spacing w:val="-6"/>
                <w:lang w:val="uk-UA"/>
              </w:rPr>
              <w:t>Питома вага прострочених кредитів в кредитному портфелі активів банків знизились до 7,7%.</w:t>
            </w:r>
          </w:p>
          <w:p w:rsidR="00FD11E9" w:rsidRPr="00F7290F" w:rsidRDefault="00D85CDD" w:rsidP="00D85CDD">
            <w:pPr>
              <w:keepNext/>
              <w:widowControl w:val="0"/>
              <w:tabs>
                <w:tab w:val="left" w:pos="1080"/>
              </w:tabs>
              <w:spacing w:after="60"/>
              <w:ind w:firstLine="284"/>
              <w:jc w:val="both"/>
              <w:rPr>
                <w:color w:val="FF0000"/>
                <w:spacing w:val="-10"/>
                <w:lang w:val="uk-UA"/>
              </w:rPr>
            </w:pPr>
            <w:r w:rsidRPr="00F7290F">
              <w:rPr>
                <w:spacing w:val="-6"/>
                <w:lang w:val="uk-UA"/>
              </w:rPr>
              <w:t>Депозити, залучені на рахунки фізичних осіб, збільшились на 35,1% і склали  35,4 млрд.грн.</w:t>
            </w:r>
          </w:p>
        </w:tc>
      </w:tr>
      <w:tr w:rsidR="00FD11E9" w:rsidRPr="00F7290F" w:rsidTr="00F7734E">
        <w:trPr>
          <w:trHeight w:val="3358"/>
        </w:trPr>
        <w:tc>
          <w:tcPr>
            <w:tcW w:w="5992" w:type="dxa"/>
            <w:tcBorders>
              <w:top w:val="nil"/>
              <w:left w:val="nil"/>
              <w:bottom w:val="nil"/>
              <w:right w:val="nil"/>
            </w:tcBorders>
          </w:tcPr>
          <w:p w:rsidR="00FD11E9" w:rsidRPr="00F7290F" w:rsidRDefault="00FD11E9" w:rsidP="00D65D2E">
            <w:pPr>
              <w:keepNext/>
              <w:widowControl w:val="0"/>
              <w:rPr>
                <w:b/>
                <w:color w:val="FF0000"/>
                <w:sz w:val="26"/>
                <w:szCs w:val="26"/>
                <w:lang w:val="uk-UA"/>
              </w:rPr>
            </w:pPr>
            <w:r w:rsidRPr="00F7290F">
              <w:rPr>
                <w:b/>
                <w:noProof/>
                <w:color w:val="FF0000"/>
                <w:sz w:val="26"/>
                <w:szCs w:val="26"/>
              </w:rPr>
              <w:drawing>
                <wp:inline distT="0" distB="0" distL="0" distR="0">
                  <wp:extent cx="3752850" cy="2038350"/>
                  <wp:effectExtent l="0" t="0" r="0" b="0"/>
                  <wp:docPr id="44"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111" w:type="dxa"/>
            <w:vMerge/>
            <w:tcBorders>
              <w:top w:val="nil"/>
              <w:left w:val="nil"/>
              <w:bottom w:val="nil"/>
              <w:right w:val="nil"/>
            </w:tcBorders>
            <w:vAlign w:val="center"/>
          </w:tcPr>
          <w:p w:rsidR="00FD11E9" w:rsidRPr="00F7290F" w:rsidRDefault="00FD11E9" w:rsidP="00D65D2E">
            <w:pPr>
              <w:keepNext/>
              <w:widowControl w:val="0"/>
              <w:rPr>
                <w:color w:val="FF0000"/>
                <w:lang w:val="uk-UA"/>
              </w:rPr>
            </w:pPr>
          </w:p>
        </w:tc>
      </w:tr>
    </w:tbl>
    <w:p w:rsidR="00FD11E9" w:rsidRPr="00F7290F" w:rsidRDefault="00FD11E9" w:rsidP="00D65D2E">
      <w:pPr>
        <w:keepNext/>
        <w:widowControl w:val="0"/>
        <w:rPr>
          <w:color w:val="FF0000"/>
          <w:sz w:val="2"/>
          <w:szCs w:val="2"/>
          <w:lang w:val="uk-UA"/>
        </w:rPr>
      </w:pPr>
    </w:p>
    <w:p w:rsidR="00FD11E9" w:rsidRPr="00F7290F" w:rsidRDefault="00FD11E9" w:rsidP="00D65D2E">
      <w:pPr>
        <w:keepNext/>
        <w:widowControl w:val="0"/>
        <w:spacing w:after="120"/>
        <w:ind w:firstLine="709"/>
        <w:jc w:val="both"/>
        <w:rPr>
          <w:color w:val="FF0000"/>
          <w:lang w:val="uk-UA"/>
        </w:rPr>
        <w:sectPr w:rsidR="00FD11E9" w:rsidRPr="00F7290F" w:rsidSect="009A2B40">
          <w:headerReference w:type="default" r:id="rId69"/>
          <w:pgSz w:w="11906" w:h="16838"/>
          <w:pgMar w:top="1134" w:right="1134" w:bottom="1134" w:left="1134" w:header="709" w:footer="709" w:gutter="0"/>
          <w:cols w:space="708"/>
          <w:docGrid w:linePitch="360"/>
        </w:sectPr>
      </w:pPr>
    </w:p>
    <w:tbl>
      <w:tblPr>
        <w:tblW w:w="9678" w:type="dxa"/>
        <w:tblInd w:w="-72" w:type="dxa"/>
        <w:tblLayout w:type="fixed"/>
        <w:tblLook w:val="01E0"/>
      </w:tblPr>
      <w:tblGrid>
        <w:gridCol w:w="6285"/>
        <w:gridCol w:w="3393"/>
      </w:tblGrid>
      <w:tr w:rsidR="00FD11E9" w:rsidRPr="00F7290F" w:rsidTr="00222CE6">
        <w:trPr>
          <w:trHeight w:val="300"/>
        </w:trPr>
        <w:tc>
          <w:tcPr>
            <w:tcW w:w="6285" w:type="dxa"/>
          </w:tcPr>
          <w:p w:rsidR="00FD11E9" w:rsidRPr="00F7290F" w:rsidRDefault="00FD11E9" w:rsidP="00D65D2E">
            <w:pPr>
              <w:keepNext/>
              <w:widowControl w:val="0"/>
              <w:jc w:val="center"/>
              <w:rPr>
                <w:b/>
                <w:lang w:val="uk-UA"/>
              </w:rPr>
            </w:pPr>
            <w:r w:rsidRPr="00F7290F">
              <w:rPr>
                <w:b/>
                <w:lang w:val="uk-UA"/>
              </w:rPr>
              <w:lastRenderedPageBreak/>
              <w:t xml:space="preserve">Динаміка кількісних показників розвитку </w:t>
            </w:r>
          </w:p>
          <w:p w:rsidR="00FD11E9" w:rsidRPr="00F7290F" w:rsidRDefault="00FD11E9" w:rsidP="00D65D2E">
            <w:pPr>
              <w:keepNext/>
              <w:widowControl w:val="0"/>
              <w:ind w:hanging="108"/>
              <w:jc w:val="center"/>
              <w:rPr>
                <w:b/>
                <w:bCs/>
                <w:color w:val="FF0000"/>
                <w:lang w:val="uk-UA"/>
              </w:rPr>
            </w:pPr>
            <w:r w:rsidRPr="00F7290F">
              <w:rPr>
                <w:b/>
                <w:lang w:val="uk-UA"/>
              </w:rPr>
              <w:t>малого підприємництва</w:t>
            </w:r>
          </w:p>
        </w:tc>
        <w:tc>
          <w:tcPr>
            <w:tcW w:w="3393" w:type="dxa"/>
          </w:tcPr>
          <w:p w:rsidR="00FD11E9" w:rsidRPr="00F7290F" w:rsidRDefault="00FD11E9" w:rsidP="00D65D2E">
            <w:pPr>
              <w:pStyle w:val="aff2"/>
              <w:keepNext/>
              <w:widowControl w:val="0"/>
              <w:spacing w:after="0"/>
              <w:ind w:left="0" w:firstLine="284"/>
              <w:jc w:val="both"/>
              <w:rPr>
                <w:color w:val="FF0000"/>
                <w:lang w:val="uk-UA"/>
              </w:rPr>
            </w:pPr>
          </w:p>
        </w:tc>
      </w:tr>
      <w:tr w:rsidR="00FD11E9" w:rsidRPr="00F7290F" w:rsidTr="00222CE6">
        <w:trPr>
          <w:trHeight w:val="3871"/>
        </w:trPr>
        <w:tc>
          <w:tcPr>
            <w:tcW w:w="6285" w:type="dxa"/>
          </w:tcPr>
          <w:p w:rsidR="00FD11E9" w:rsidRPr="00F7290F" w:rsidRDefault="00FD11E9" w:rsidP="00D65D2E">
            <w:pPr>
              <w:keepNext/>
              <w:widowControl w:val="0"/>
              <w:ind w:hanging="108"/>
              <w:jc w:val="center"/>
              <w:rPr>
                <w:b/>
                <w:bCs/>
                <w:color w:val="FF0000"/>
                <w:lang w:val="uk-UA"/>
              </w:rPr>
            </w:pPr>
            <w:r w:rsidRPr="00F7290F">
              <w:rPr>
                <w:b/>
                <w:noProof/>
                <w:color w:val="FF0000"/>
              </w:rPr>
              <w:drawing>
                <wp:inline distT="0" distB="0" distL="0" distR="0">
                  <wp:extent cx="3920490" cy="2377440"/>
                  <wp:effectExtent l="0" t="0" r="3810" b="0"/>
                  <wp:docPr id="45"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3393" w:type="dxa"/>
          </w:tcPr>
          <w:p w:rsidR="00FD11E9" w:rsidRPr="00F7290F" w:rsidRDefault="00FD11E9" w:rsidP="00D65D2E">
            <w:pPr>
              <w:pStyle w:val="aff2"/>
              <w:keepNext/>
              <w:widowControl w:val="0"/>
              <w:spacing w:after="60"/>
              <w:ind w:left="0" w:firstLine="284"/>
              <w:jc w:val="both"/>
              <w:rPr>
                <w:color w:val="FF0000"/>
                <w:lang w:val="uk-UA"/>
              </w:rPr>
            </w:pPr>
          </w:p>
          <w:p w:rsidR="00E03B55" w:rsidRPr="00F7290F" w:rsidRDefault="00E03B55" w:rsidP="00E03B55">
            <w:pPr>
              <w:pStyle w:val="aff2"/>
              <w:keepNext/>
              <w:widowControl w:val="0"/>
              <w:spacing w:after="60"/>
              <w:ind w:left="0" w:firstLine="284"/>
              <w:jc w:val="both"/>
              <w:rPr>
                <w:lang w:val="uk-UA"/>
              </w:rPr>
            </w:pPr>
            <w:r w:rsidRPr="00F7290F">
              <w:rPr>
                <w:lang w:val="uk-UA"/>
              </w:rPr>
              <w:t xml:space="preserve">В 2011 році порівняно з       2010 роком загальна чисельність працюючих у сфері малого бізнесу, включаючи найманих у фізичних осіб – підприємців, скоротилась на 3,2% і склала 387,5 тис. осіб. </w:t>
            </w:r>
          </w:p>
          <w:p w:rsidR="00FD11E9" w:rsidRPr="00F7290F" w:rsidRDefault="00FD11E9" w:rsidP="00D65D2E">
            <w:pPr>
              <w:pStyle w:val="aff2"/>
              <w:keepNext/>
              <w:widowControl w:val="0"/>
              <w:spacing w:after="60"/>
              <w:ind w:left="0" w:firstLine="284"/>
              <w:jc w:val="both"/>
              <w:rPr>
                <w:color w:val="FF0000"/>
                <w:lang w:val="uk-UA"/>
              </w:rPr>
            </w:pPr>
          </w:p>
        </w:tc>
      </w:tr>
      <w:tr w:rsidR="00FD11E9" w:rsidRPr="008E4FA0" w:rsidTr="00222CE6">
        <w:trPr>
          <w:trHeight w:val="134"/>
        </w:trPr>
        <w:tc>
          <w:tcPr>
            <w:tcW w:w="6285" w:type="dxa"/>
          </w:tcPr>
          <w:p w:rsidR="00FD11E9" w:rsidRPr="00F7290F" w:rsidRDefault="00FD11E9" w:rsidP="00D65D2E">
            <w:pPr>
              <w:keepNext/>
              <w:widowControl w:val="0"/>
              <w:ind w:hanging="108"/>
              <w:jc w:val="center"/>
              <w:rPr>
                <w:b/>
                <w:lang w:val="uk-UA"/>
              </w:rPr>
            </w:pPr>
            <w:r w:rsidRPr="00F7290F">
              <w:rPr>
                <w:b/>
                <w:lang w:val="uk-UA"/>
              </w:rPr>
              <w:t xml:space="preserve">Динаміка обсягу реалізованої продукції </w:t>
            </w:r>
          </w:p>
          <w:p w:rsidR="00FD11E9" w:rsidRPr="00F7290F" w:rsidRDefault="00FD11E9" w:rsidP="00D65D2E">
            <w:pPr>
              <w:keepNext/>
              <w:widowControl w:val="0"/>
              <w:ind w:hanging="108"/>
              <w:jc w:val="center"/>
              <w:rPr>
                <w:b/>
                <w:color w:val="FF0000"/>
                <w:lang w:val="uk-UA"/>
              </w:rPr>
            </w:pPr>
            <w:r w:rsidRPr="00F7290F">
              <w:rPr>
                <w:b/>
                <w:lang w:val="uk-UA"/>
              </w:rPr>
              <w:t>(робіт, послуг) малих підприємств</w:t>
            </w:r>
          </w:p>
        </w:tc>
        <w:tc>
          <w:tcPr>
            <w:tcW w:w="3393" w:type="dxa"/>
            <w:vMerge w:val="restart"/>
          </w:tcPr>
          <w:p w:rsidR="00E03B55" w:rsidRPr="00F7290F" w:rsidRDefault="00E03B55" w:rsidP="00E03B55">
            <w:pPr>
              <w:pStyle w:val="25"/>
              <w:keepNext/>
              <w:widowControl w:val="0"/>
              <w:tabs>
                <w:tab w:val="left" w:pos="4320"/>
              </w:tabs>
              <w:spacing w:after="60" w:line="240" w:lineRule="auto"/>
              <w:ind w:firstLine="284"/>
              <w:jc w:val="both"/>
              <w:rPr>
                <w:bCs/>
                <w:lang w:val="uk-UA"/>
              </w:rPr>
            </w:pPr>
            <w:r w:rsidRPr="00F7290F">
              <w:rPr>
                <w:bCs/>
                <w:lang w:val="uk-UA"/>
              </w:rPr>
              <w:t xml:space="preserve">Обсяг реалізованої продукції (товарів, послуг) малих підприємств збільшився на 4,4 %. </w:t>
            </w:r>
          </w:p>
          <w:p w:rsidR="00E03B55" w:rsidRPr="00F7290F" w:rsidRDefault="00E03B55" w:rsidP="00E03B55">
            <w:pPr>
              <w:pStyle w:val="25"/>
              <w:keepNext/>
              <w:widowControl w:val="0"/>
              <w:tabs>
                <w:tab w:val="left" w:pos="4320"/>
              </w:tabs>
              <w:spacing w:after="60" w:line="240" w:lineRule="auto"/>
              <w:ind w:firstLine="284"/>
              <w:jc w:val="both"/>
              <w:rPr>
                <w:bCs/>
                <w:lang w:val="uk-UA"/>
              </w:rPr>
            </w:pPr>
            <w:r w:rsidRPr="00F7290F">
              <w:rPr>
                <w:bCs/>
                <w:lang w:val="uk-UA"/>
              </w:rPr>
              <w:t>Надходження до бюджетів усіх рівнів зросли на 48,0% і склали більше 3,7 млрд.грн. Надходження до місцевих бюджетів зросли на 14,1% і склали майже 1,4 млрд.грн.</w:t>
            </w:r>
          </w:p>
          <w:p w:rsidR="00E03B55" w:rsidRPr="00F7290F" w:rsidRDefault="00E03B55" w:rsidP="00E03B55">
            <w:pPr>
              <w:pStyle w:val="25"/>
              <w:keepNext/>
              <w:widowControl w:val="0"/>
              <w:tabs>
                <w:tab w:val="left" w:pos="4320"/>
              </w:tabs>
              <w:spacing w:after="60" w:line="240" w:lineRule="auto"/>
              <w:ind w:firstLine="284"/>
              <w:jc w:val="both"/>
              <w:rPr>
                <w:lang w:val="uk-UA"/>
              </w:rPr>
            </w:pPr>
            <w:r w:rsidRPr="00F7290F">
              <w:rPr>
                <w:lang w:val="uk-UA"/>
              </w:rPr>
              <w:t>Середньомісячна заробітна плата працівників малих підприємств зросла на 25,1% і склала  1600,77 грн.</w:t>
            </w:r>
          </w:p>
          <w:p w:rsidR="00FD11E9" w:rsidRPr="00F7290F" w:rsidRDefault="00E03B55" w:rsidP="00E03B55">
            <w:pPr>
              <w:pStyle w:val="25"/>
              <w:keepNext/>
              <w:widowControl w:val="0"/>
              <w:tabs>
                <w:tab w:val="left" w:pos="4320"/>
              </w:tabs>
              <w:spacing w:after="60" w:line="240" w:lineRule="auto"/>
              <w:ind w:firstLine="284"/>
              <w:jc w:val="both"/>
              <w:rPr>
                <w:bCs/>
                <w:color w:val="FF0000"/>
                <w:lang w:val="uk-UA"/>
              </w:rPr>
            </w:pPr>
            <w:r w:rsidRPr="00F7290F">
              <w:rPr>
                <w:bCs/>
                <w:lang w:val="uk-UA"/>
              </w:rPr>
              <w:t>Від діяльності суб’єктів малого підприємництва отриманий від’ємний фінансовий результат в сумі 227,7 млн.грн. збитків.</w:t>
            </w:r>
          </w:p>
        </w:tc>
      </w:tr>
      <w:tr w:rsidR="00FD11E9" w:rsidRPr="00F7290F" w:rsidTr="00222CE6">
        <w:trPr>
          <w:trHeight w:val="619"/>
        </w:trPr>
        <w:tc>
          <w:tcPr>
            <w:tcW w:w="6285" w:type="dxa"/>
          </w:tcPr>
          <w:p w:rsidR="00FD11E9" w:rsidRPr="00F7290F" w:rsidRDefault="00FD11E9" w:rsidP="00D65D2E">
            <w:pPr>
              <w:keepNext/>
              <w:widowControl w:val="0"/>
              <w:ind w:hanging="108"/>
              <w:jc w:val="center"/>
              <w:rPr>
                <w:b/>
                <w:color w:val="FF0000"/>
                <w:lang w:val="uk-UA"/>
              </w:rPr>
            </w:pPr>
            <w:r w:rsidRPr="00F7290F">
              <w:rPr>
                <w:b/>
                <w:noProof/>
                <w:color w:val="FF0000"/>
              </w:rPr>
              <w:drawing>
                <wp:inline distT="0" distB="0" distL="0" distR="0">
                  <wp:extent cx="3954780" cy="2594610"/>
                  <wp:effectExtent l="0" t="0" r="7620" b="0"/>
                  <wp:docPr id="46"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3393" w:type="dxa"/>
            <w:vMerge/>
            <w:vAlign w:val="center"/>
          </w:tcPr>
          <w:p w:rsidR="00FD11E9" w:rsidRPr="00F7290F" w:rsidRDefault="00FD11E9" w:rsidP="00D65D2E">
            <w:pPr>
              <w:keepNext/>
              <w:widowControl w:val="0"/>
              <w:rPr>
                <w:bCs/>
                <w:color w:val="FF0000"/>
                <w:lang w:val="uk-UA"/>
              </w:rPr>
            </w:pPr>
          </w:p>
        </w:tc>
      </w:tr>
      <w:tr w:rsidR="00FD11E9" w:rsidRPr="00F7290F" w:rsidTr="00222CE6">
        <w:trPr>
          <w:trHeight w:val="619"/>
        </w:trPr>
        <w:tc>
          <w:tcPr>
            <w:tcW w:w="6285" w:type="dxa"/>
          </w:tcPr>
          <w:p w:rsidR="00FD11E9" w:rsidRPr="00F7290F" w:rsidRDefault="00FD11E9" w:rsidP="00D65D2E">
            <w:pPr>
              <w:keepNext/>
              <w:widowControl w:val="0"/>
              <w:ind w:hanging="108"/>
              <w:jc w:val="center"/>
              <w:rPr>
                <w:b/>
                <w:color w:val="000000" w:themeColor="text1"/>
                <w:lang w:val="uk-UA"/>
              </w:rPr>
            </w:pPr>
            <w:r w:rsidRPr="00F7290F">
              <w:rPr>
                <w:b/>
                <w:color w:val="000000" w:themeColor="text1"/>
                <w:lang w:val="uk-UA"/>
              </w:rPr>
              <w:t>Обсяг валових капітальних інвестицій</w:t>
            </w:r>
          </w:p>
          <w:p w:rsidR="00FD11E9" w:rsidRPr="00F7290F" w:rsidRDefault="00FD11E9" w:rsidP="00D65D2E">
            <w:pPr>
              <w:keepNext/>
              <w:widowControl w:val="0"/>
              <w:ind w:hanging="108"/>
              <w:jc w:val="center"/>
              <w:rPr>
                <w:b/>
                <w:bCs/>
                <w:color w:val="FF0000"/>
                <w:lang w:val="uk-UA"/>
              </w:rPr>
            </w:pPr>
            <w:r w:rsidRPr="00F7290F">
              <w:rPr>
                <w:b/>
                <w:color w:val="000000" w:themeColor="text1"/>
                <w:lang w:val="uk-UA"/>
              </w:rPr>
              <w:t>малих підприємств, млрд.грн.</w:t>
            </w:r>
          </w:p>
        </w:tc>
        <w:tc>
          <w:tcPr>
            <w:tcW w:w="3393" w:type="dxa"/>
          </w:tcPr>
          <w:p w:rsidR="00FD11E9" w:rsidRPr="00F7290F" w:rsidRDefault="00FD11E9" w:rsidP="00D65D2E">
            <w:pPr>
              <w:pStyle w:val="25"/>
              <w:keepNext/>
              <w:widowControl w:val="0"/>
              <w:tabs>
                <w:tab w:val="left" w:pos="4320"/>
              </w:tabs>
              <w:spacing w:before="120" w:after="60" w:line="240" w:lineRule="auto"/>
              <w:ind w:firstLine="249"/>
              <w:jc w:val="both"/>
              <w:rPr>
                <w:bCs/>
                <w:color w:val="FF0000"/>
                <w:lang w:val="uk-UA"/>
              </w:rPr>
            </w:pPr>
          </w:p>
        </w:tc>
      </w:tr>
      <w:tr w:rsidR="00FD11E9" w:rsidRPr="008E4FA0" w:rsidTr="00222CE6">
        <w:trPr>
          <w:trHeight w:val="619"/>
        </w:trPr>
        <w:tc>
          <w:tcPr>
            <w:tcW w:w="6285" w:type="dxa"/>
          </w:tcPr>
          <w:p w:rsidR="00FD11E9" w:rsidRPr="00F7290F" w:rsidRDefault="00FD11E9" w:rsidP="00D65D2E">
            <w:pPr>
              <w:keepNext/>
              <w:widowControl w:val="0"/>
              <w:ind w:hanging="108"/>
              <w:jc w:val="center"/>
              <w:rPr>
                <w:b/>
                <w:color w:val="FF0000"/>
                <w:lang w:val="uk-UA"/>
              </w:rPr>
            </w:pPr>
            <w:r w:rsidRPr="00F7290F">
              <w:rPr>
                <w:b/>
                <w:noProof/>
                <w:color w:val="FF0000"/>
              </w:rPr>
              <w:drawing>
                <wp:inline distT="0" distB="0" distL="0" distR="0">
                  <wp:extent cx="4093535" cy="2275367"/>
                  <wp:effectExtent l="0" t="0" r="0" b="0"/>
                  <wp:docPr id="47"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3393" w:type="dxa"/>
          </w:tcPr>
          <w:p w:rsidR="00FD11E9" w:rsidRPr="00F7290F" w:rsidRDefault="00FD11E9" w:rsidP="00D65D2E">
            <w:pPr>
              <w:pStyle w:val="25"/>
              <w:keepNext/>
              <w:widowControl w:val="0"/>
              <w:tabs>
                <w:tab w:val="left" w:pos="4320"/>
              </w:tabs>
              <w:spacing w:before="120" w:after="60" w:line="240" w:lineRule="auto"/>
              <w:ind w:firstLine="249"/>
              <w:jc w:val="both"/>
              <w:rPr>
                <w:color w:val="FF0000"/>
                <w:lang w:val="uk-UA"/>
              </w:rPr>
            </w:pPr>
          </w:p>
          <w:p w:rsidR="00FD11E9" w:rsidRPr="00F7290F" w:rsidRDefault="00FD11E9" w:rsidP="00D65D2E">
            <w:pPr>
              <w:pStyle w:val="25"/>
              <w:keepNext/>
              <w:widowControl w:val="0"/>
              <w:tabs>
                <w:tab w:val="left" w:pos="4320"/>
              </w:tabs>
              <w:spacing w:before="120" w:after="60" w:line="240" w:lineRule="auto"/>
              <w:ind w:firstLine="249"/>
              <w:jc w:val="both"/>
              <w:rPr>
                <w:color w:val="FF0000"/>
                <w:lang w:val="uk-UA"/>
              </w:rPr>
            </w:pPr>
          </w:p>
          <w:p w:rsidR="00FD11E9" w:rsidRPr="00F7290F" w:rsidRDefault="00E03B55" w:rsidP="00D65D2E">
            <w:pPr>
              <w:pStyle w:val="25"/>
              <w:keepNext/>
              <w:widowControl w:val="0"/>
              <w:tabs>
                <w:tab w:val="left" w:pos="4320"/>
              </w:tabs>
              <w:spacing w:before="120" w:after="60" w:line="240" w:lineRule="auto"/>
              <w:ind w:firstLine="249"/>
              <w:jc w:val="both"/>
              <w:rPr>
                <w:bCs/>
                <w:color w:val="FF0000"/>
                <w:lang w:val="uk-UA"/>
              </w:rPr>
            </w:pPr>
            <w:r w:rsidRPr="00F7290F">
              <w:rPr>
                <w:lang w:val="uk-UA"/>
              </w:rPr>
              <w:t>Обсяг валових капітальних інвестицій малих підприємств порівняно з  2010 роком збільшився  майже у 1,9 рази та склав 2,08 млрд.грн.</w:t>
            </w:r>
          </w:p>
        </w:tc>
      </w:tr>
    </w:tbl>
    <w:p w:rsidR="00FD11E9" w:rsidRPr="00F7290F" w:rsidRDefault="00FD11E9" w:rsidP="00D65D2E">
      <w:pPr>
        <w:keepNext/>
        <w:widowControl w:val="0"/>
        <w:rPr>
          <w:color w:val="FF0000"/>
          <w:sz w:val="2"/>
          <w:szCs w:val="2"/>
          <w:lang w:val="uk-UA"/>
        </w:rPr>
      </w:pPr>
      <w:r w:rsidRPr="00F7290F">
        <w:rPr>
          <w:color w:val="FF0000"/>
          <w:lang w:val="uk-UA"/>
        </w:rPr>
        <w:br w:type="page"/>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0"/>
        <w:gridCol w:w="155"/>
        <w:gridCol w:w="3403"/>
      </w:tblGrid>
      <w:tr w:rsidR="0057711D" w:rsidRPr="00F7290F" w:rsidTr="009A2B40">
        <w:trPr>
          <w:cantSplit/>
        </w:trPr>
        <w:tc>
          <w:tcPr>
            <w:tcW w:w="6275" w:type="dxa"/>
            <w:gridSpan w:val="2"/>
            <w:tcBorders>
              <w:top w:val="nil"/>
              <w:left w:val="nil"/>
              <w:bottom w:val="nil"/>
              <w:right w:val="nil"/>
            </w:tcBorders>
          </w:tcPr>
          <w:p w:rsidR="0057711D" w:rsidRPr="00F7290F" w:rsidRDefault="0057711D" w:rsidP="00D65D2E">
            <w:pPr>
              <w:pStyle w:val="aff6"/>
              <w:keepNext/>
              <w:widowControl w:val="0"/>
              <w:spacing w:before="0" w:beforeAutospacing="0" w:after="0" w:afterAutospacing="0"/>
              <w:jc w:val="center"/>
              <w:rPr>
                <w:b/>
                <w:color w:val="000000" w:themeColor="text1"/>
                <w:lang w:val="uk-UA"/>
              </w:rPr>
            </w:pPr>
            <w:r w:rsidRPr="00F7290F">
              <w:rPr>
                <w:b/>
                <w:color w:val="000000" w:themeColor="text1"/>
                <w:lang w:val="uk-UA"/>
              </w:rPr>
              <w:lastRenderedPageBreak/>
              <w:t>Динаміка розвитку роздрібної торговельної мережі</w:t>
            </w:r>
          </w:p>
          <w:p w:rsidR="0057711D" w:rsidRPr="00F7290F" w:rsidRDefault="0057711D" w:rsidP="00D65D2E">
            <w:pPr>
              <w:pStyle w:val="aff6"/>
              <w:keepNext/>
              <w:widowControl w:val="0"/>
              <w:spacing w:before="0" w:beforeAutospacing="0" w:after="0" w:afterAutospacing="0"/>
              <w:jc w:val="center"/>
              <w:rPr>
                <w:color w:val="FF0000"/>
                <w:lang w:val="uk-UA"/>
              </w:rPr>
            </w:pPr>
            <w:r w:rsidRPr="00F7290F">
              <w:rPr>
                <w:color w:val="000000" w:themeColor="text1"/>
                <w:lang w:val="uk-UA"/>
              </w:rPr>
              <w:t>(за даними міст та районів)</w:t>
            </w:r>
          </w:p>
        </w:tc>
        <w:tc>
          <w:tcPr>
            <w:tcW w:w="3403" w:type="dxa"/>
            <w:vMerge w:val="restart"/>
            <w:tcBorders>
              <w:top w:val="nil"/>
              <w:left w:val="nil"/>
              <w:right w:val="nil"/>
            </w:tcBorders>
          </w:tcPr>
          <w:p w:rsidR="0057711D" w:rsidRPr="00F7290F" w:rsidRDefault="0057711D" w:rsidP="00D65D2E">
            <w:pPr>
              <w:pStyle w:val="af9"/>
              <w:keepNext/>
              <w:widowControl w:val="0"/>
              <w:ind w:firstLine="284"/>
              <w:jc w:val="both"/>
              <w:rPr>
                <w:color w:val="000000" w:themeColor="text1"/>
                <w:szCs w:val="20"/>
                <w:lang w:val="uk-UA"/>
              </w:rPr>
            </w:pPr>
            <w:r w:rsidRPr="00F7290F">
              <w:rPr>
                <w:color w:val="000000" w:themeColor="text1"/>
                <w:szCs w:val="20"/>
                <w:lang w:val="uk-UA"/>
              </w:rPr>
              <w:t xml:space="preserve">Протягом 2012 року кількість магазинів зросла на 246 одиниць торговою площею 67 тис.кв.м. </w:t>
            </w:r>
          </w:p>
          <w:p w:rsidR="0057711D" w:rsidRPr="00F7290F" w:rsidRDefault="0057711D" w:rsidP="00D65D2E">
            <w:pPr>
              <w:pStyle w:val="af9"/>
              <w:keepNext/>
              <w:widowControl w:val="0"/>
              <w:ind w:firstLine="284"/>
              <w:jc w:val="both"/>
              <w:rPr>
                <w:color w:val="000000" w:themeColor="text1"/>
                <w:spacing w:val="-4"/>
                <w:lang w:val="uk-UA"/>
              </w:rPr>
            </w:pPr>
            <w:r w:rsidRPr="00F7290F">
              <w:rPr>
                <w:color w:val="000000" w:themeColor="text1"/>
                <w:spacing w:val="-4"/>
                <w:lang w:val="uk-UA"/>
              </w:rPr>
              <w:t>За даними виконкомів міських рад та райдерж</w:t>
            </w:r>
            <w:r w:rsidRPr="00F7290F">
              <w:rPr>
                <w:color w:val="000000" w:themeColor="text1"/>
                <w:spacing w:val="-4"/>
                <w:lang w:val="uk-UA"/>
              </w:rPr>
              <w:softHyphen/>
              <w:t xml:space="preserve">адміністрацій забезпеченість населення торговельною площею складає 485,9 кв.м.  </w:t>
            </w:r>
          </w:p>
          <w:p w:rsidR="0057711D" w:rsidRPr="00F7290F" w:rsidRDefault="0057711D" w:rsidP="00D65D2E">
            <w:pPr>
              <w:pStyle w:val="af9"/>
              <w:keepNext/>
              <w:widowControl w:val="0"/>
              <w:ind w:firstLine="284"/>
              <w:jc w:val="both"/>
              <w:rPr>
                <w:color w:val="000000" w:themeColor="text1"/>
                <w:lang w:val="uk-UA"/>
              </w:rPr>
            </w:pPr>
            <w:r w:rsidRPr="00F7290F">
              <w:rPr>
                <w:color w:val="000000" w:themeColor="text1"/>
                <w:lang w:val="uk-UA"/>
              </w:rPr>
              <w:t>В області функціонують майже 200 мережевих великоформатних гіпер- та супермаркетів загальною площею 363 тис.кв.м, що складає 17% від загальної площі  магазинів.</w:t>
            </w:r>
          </w:p>
          <w:p w:rsidR="0057711D" w:rsidRPr="00F7290F" w:rsidRDefault="0057711D" w:rsidP="00D65D2E">
            <w:pPr>
              <w:pStyle w:val="af9"/>
              <w:keepNext/>
              <w:widowControl w:val="0"/>
              <w:ind w:firstLine="284"/>
              <w:jc w:val="both"/>
              <w:rPr>
                <w:color w:val="000000" w:themeColor="text1"/>
                <w:lang w:val="uk-UA"/>
              </w:rPr>
            </w:pPr>
            <w:r w:rsidRPr="00F7290F">
              <w:rPr>
                <w:color w:val="000000" w:themeColor="text1"/>
                <w:lang w:val="uk-UA"/>
              </w:rPr>
              <w:t>Загальний обсяг продажу споживчих товарів у роздрібній торгівлі та на організованих і неформальних ринках області, за попередніми даними,  у 2012 році – 79,7 млрд.грн., що на 18,2% більше, ніж у 2011 році.</w:t>
            </w:r>
          </w:p>
          <w:p w:rsidR="0057711D" w:rsidRPr="00F7290F" w:rsidRDefault="0057711D" w:rsidP="00D65D2E">
            <w:pPr>
              <w:pStyle w:val="af9"/>
              <w:keepNext/>
              <w:widowControl w:val="0"/>
              <w:spacing w:after="60"/>
              <w:ind w:firstLine="284"/>
              <w:jc w:val="both"/>
              <w:rPr>
                <w:color w:val="000000" w:themeColor="text1"/>
                <w:lang w:val="uk-UA"/>
              </w:rPr>
            </w:pPr>
            <w:r w:rsidRPr="00F7290F">
              <w:rPr>
                <w:color w:val="000000" w:themeColor="text1"/>
                <w:lang w:val="uk-UA"/>
              </w:rPr>
              <w:t>Обсяг роздрібного товарообороту підприємств (юридичних осіб), які здійснюють діяльність з роздрібної торгівлі та ресторанного господарства, збільшиться у порівнянних цінах на 18,3 %.</w:t>
            </w:r>
          </w:p>
          <w:p w:rsidR="00CD3D65" w:rsidRPr="00F7290F" w:rsidRDefault="00CD3D65" w:rsidP="00D65D2E">
            <w:pPr>
              <w:pStyle w:val="af9"/>
              <w:keepNext/>
              <w:widowControl w:val="0"/>
              <w:spacing w:after="60"/>
              <w:ind w:firstLine="284"/>
              <w:jc w:val="both"/>
              <w:rPr>
                <w:color w:val="000000" w:themeColor="text1"/>
                <w:lang w:val="uk-UA"/>
              </w:rPr>
            </w:pPr>
          </w:p>
          <w:p w:rsidR="0057711D" w:rsidRPr="00F7290F" w:rsidRDefault="0057711D" w:rsidP="00D65D2E">
            <w:pPr>
              <w:pStyle w:val="af9"/>
              <w:keepNext/>
              <w:widowControl w:val="0"/>
              <w:spacing w:after="60"/>
              <w:ind w:firstLine="284"/>
              <w:jc w:val="both"/>
              <w:rPr>
                <w:color w:val="000000" w:themeColor="text1"/>
                <w:lang w:val="uk-UA"/>
              </w:rPr>
            </w:pPr>
            <w:r w:rsidRPr="00F7290F">
              <w:rPr>
                <w:color w:val="000000" w:themeColor="text1"/>
                <w:lang w:val="uk-UA"/>
              </w:rPr>
              <w:t xml:space="preserve">У структурі роздрібного товарообороту питома вага товарів вітчизняного виробництва у </w:t>
            </w:r>
            <w:r w:rsidR="00F47A55" w:rsidRPr="00F7290F">
              <w:rPr>
                <w:color w:val="000000" w:themeColor="text1"/>
                <w:lang w:val="uk-UA"/>
              </w:rPr>
              <w:t xml:space="preserve">  </w:t>
            </w:r>
            <w:r w:rsidRPr="00F7290F">
              <w:rPr>
                <w:color w:val="000000" w:themeColor="text1"/>
                <w:lang w:val="uk-UA"/>
              </w:rPr>
              <w:t xml:space="preserve">2012 році (очік.) порівняно з </w:t>
            </w:r>
            <w:r w:rsidR="00F236D8">
              <w:rPr>
                <w:color w:val="000000" w:themeColor="text1"/>
                <w:lang w:val="uk-UA"/>
              </w:rPr>
              <w:t xml:space="preserve"> </w:t>
            </w:r>
            <w:r w:rsidRPr="00F7290F">
              <w:rPr>
                <w:color w:val="000000" w:themeColor="text1"/>
                <w:lang w:val="uk-UA"/>
              </w:rPr>
              <w:t>2000 роком зменшилась</w:t>
            </w:r>
            <w:r w:rsidR="00F236D8">
              <w:rPr>
                <w:color w:val="000000" w:themeColor="text1"/>
                <w:lang w:val="uk-UA"/>
              </w:rPr>
              <w:t xml:space="preserve"> </w:t>
            </w:r>
            <w:r w:rsidRPr="00F7290F">
              <w:rPr>
                <w:color w:val="000000" w:themeColor="text1"/>
                <w:lang w:val="uk-UA"/>
              </w:rPr>
              <w:t>на</w:t>
            </w:r>
            <w:r w:rsidR="00F236D8">
              <w:rPr>
                <w:color w:val="000000" w:themeColor="text1"/>
                <w:lang w:val="uk-UA"/>
              </w:rPr>
              <w:t xml:space="preserve"> </w:t>
            </w:r>
            <w:r w:rsidRPr="00F7290F">
              <w:rPr>
                <w:color w:val="000000" w:themeColor="text1"/>
                <w:lang w:val="uk-UA"/>
              </w:rPr>
              <w:t>9,</w:t>
            </w:r>
            <w:r w:rsidR="00AC31BE" w:rsidRPr="00F7290F">
              <w:rPr>
                <w:color w:val="000000" w:themeColor="text1"/>
                <w:lang w:val="uk-UA"/>
              </w:rPr>
              <w:t>4</w:t>
            </w:r>
            <w:r w:rsidRPr="00F7290F">
              <w:rPr>
                <w:color w:val="000000" w:themeColor="text1"/>
                <w:lang w:val="uk-UA"/>
              </w:rPr>
              <w:t xml:space="preserve"> проц. пунктів, продовольчих товарів – на 5,5 проц. пунктів, непродо</w:t>
            </w:r>
            <w:r w:rsidRPr="00F7290F">
              <w:rPr>
                <w:color w:val="000000" w:themeColor="text1"/>
                <w:lang w:val="uk-UA"/>
              </w:rPr>
              <w:softHyphen/>
              <w:t xml:space="preserve">вольчих - на </w:t>
            </w:r>
            <w:r w:rsidR="00F236D8">
              <w:rPr>
                <w:color w:val="000000" w:themeColor="text1"/>
                <w:lang w:val="uk-UA"/>
              </w:rPr>
              <w:t xml:space="preserve">                  </w:t>
            </w:r>
            <w:r w:rsidRPr="00F7290F">
              <w:rPr>
                <w:color w:val="000000" w:themeColor="text1"/>
                <w:lang w:val="uk-UA"/>
              </w:rPr>
              <w:t>20,1 проц. пунктів.</w:t>
            </w:r>
          </w:p>
          <w:p w:rsidR="0057711D" w:rsidRPr="00F7290F" w:rsidRDefault="0057711D" w:rsidP="00D65D2E">
            <w:pPr>
              <w:keepNext/>
              <w:widowControl w:val="0"/>
              <w:ind w:firstLine="284"/>
              <w:jc w:val="both"/>
              <w:rPr>
                <w:color w:val="FF0000"/>
                <w:lang w:val="uk-UA"/>
              </w:rPr>
            </w:pPr>
          </w:p>
          <w:p w:rsidR="0057711D" w:rsidRPr="00F7290F" w:rsidRDefault="0057711D" w:rsidP="00D65D2E">
            <w:pPr>
              <w:keepNext/>
              <w:widowControl w:val="0"/>
              <w:ind w:firstLine="284"/>
              <w:jc w:val="both"/>
              <w:rPr>
                <w:color w:val="000000" w:themeColor="text1"/>
                <w:lang w:val="uk-UA"/>
              </w:rPr>
            </w:pPr>
            <w:r w:rsidRPr="00F7290F">
              <w:rPr>
                <w:color w:val="000000" w:themeColor="text1"/>
                <w:lang w:val="uk-UA"/>
              </w:rPr>
              <w:t xml:space="preserve">Індекс споживчих цін по області за 2012 рік </w:t>
            </w:r>
            <w:r w:rsidR="00CD3D65" w:rsidRPr="00F7290F">
              <w:rPr>
                <w:color w:val="000000" w:themeColor="text1"/>
                <w:lang w:val="uk-UA"/>
              </w:rPr>
              <w:t>склав</w:t>
            </w:r>
            <w:r w:rsidRPr="00F7290F">
              <w:rPr>
                <w:color w:val="000000" w:themeColor="text1"/>
                <w:lang w:val="uk-UA"/>
              </w:rPr>
              <w:t xml:space="preserve"> 10</w:t>
            </w:r>
            <w:r w:rsidR="00CD3D65" w:rsidRPr="00F7290F">
              <w:rPr>
                <w:color w:val="000000" w:themeColor="text1"/>
                <w:lang w:val="uk-UA"/>
              </w:rPr>
              <w:t>1,3</w:t>
            </w:r>
            <w:r w:rsidRPr="00F7290F">
              <w:rPr>
                <w:color w:val="000000" w:themeColor="text1"/>
                <w:lang w:val="uk-UA"/>
              </w:rPr>
              <w:t>%.</w:t>
            </w:r>
          </w:p>
          <w:p w:rsidR="0057711D" w:rsidRPr="00F7290F" w:rsidRDefault="0057711D" w:rsidP="00D65D2E">
            <w:pPr>
              <w:keepNext/>
              <w:widowControl w:val="0"/>
              <w:ind w:firstLine="278"/>
              <w:jc w:val="both"/>
              <w:rPr>
                <w:color w:val="FF0000"/>
                <w:lang w:val="uk-UA"/>
              </w:rPr>
            </w:pPr>
          </w:p>
        </w:tc>
      </w:tr>
      <w:tr w:rsidR="0057711D" w:rsidRPr="00F7290F" w:rsidTr="009A2B40">
        <w:trPr>
          <w:cantSplit/>
          <w:trHeight w:val="3021"/>
        </w:trPr>
        <w:tc>
          <w:tcPr>
            <w:tcW w:w="6275" w:type="dxa"/>
            <w:gridSpan w:val="2"/>
            <w:tcBorders>
              <w:top w:val="nil"/>
              <w:left w:val="nil"/>
              <w:bottom w:val="nil"/>
              <w:right w:val="nil"/>
            </w:tcBorders>
          </w:tcPr>
          <w:p w:rsidR="0057711D" w:rsidRPr="00F7290F" w:rsidRDefault="0057711D" w:rsidP="00D65D2E">
            <w:pPr>
              <w:pStyle w:val="aff6"/>
              <w:keepNext/>
              <w:widowControl w:val="0"/>
              <w:rPr>
                <w:color w:val="FF0000"/>
                <w:lang w:val="uk-UA"/>
              </w:rPr>
            </w:pPr>
            <w:r w:rsidRPr="00F7290F">
              <w:rPr>
                <w:noProof/>
                <w:color w:val="FF0000"/>
              </w:rPr>
              <w:drawing>
                <wp:inline distT="0" distB="0" distL="0" distR="0">
                  <wp:extent cx="3829050" cy="2160270"/>
                  <wp:effectExtent l="0" t="0" r="0" b="0"/>
                  <wp:docPr id="2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3403" w:type="dxa"/>
            <w:vMerge/>
            <w:tcBorders>
              <w:left w:val="nil"/>
              <w:right w:val="nil"/>
            </w:tcBorders>
            <w:vAlign w:val="center"/>
          </w:tcPr>
          <w:p w:rsidR="0057711D" w:rsidRPr="00F7290F" w:rsidRDefault="0057711D" w:rsidP="00D65D2E">
            <w:pPr>
              <w:keepNext/>
              <w:widowControl w:val="0"/>
              <w:ind w:firstLine="278"/>
              <w:jc w:val="both"/>
              <w:rPr>
                <w:color w:val="FF0000"/>
                <w:sz w:val="20"/>
                <w:lang w:val="uk-UA"/>
              </w:rPr>
            </w:pPr>
          </w:p>
        </w:tc>
      </w:tr>
      <w:tr w:rsidR="0057711D" w:rsidRPr="00F7290F" w:rsidTr="009A2B40">
        <w:trPr>
          <w:cantSplit/>
          <w:trHeight w:val="135"/>
        </w:trPr>
        <w:tc>
          <w:tcPr>
            <w:tcW w:w="6275" w:type="dxa"/>
            <w:gridSpan w:val="2"/>
            <w:tcBorders>
              <w:top w:val="nil"/>
              <w:left w:val="nil"/>
              <w:bottom w:val="nil"/>
              <w:right w:val="nil"/>
            </w:tcBorders>
          </w:tcPr>
          <w:p w:rsidR="0057711D" w:rsidRPr="00F7290F" w:rsidRDefault="0057711D" w:rsidP="00D65D2E">
            <w:pPr>
              <w:pStyle w:val="aff6"/>
              <w:keepNext/>
              <w:widowControl w:val="0"/>
              <w:spacing w:before="120" w:beforeAutospacing="0" w:after="0" w:afterAutospacing="0"/>
              <w:jc w:val="center"/>
              <w:rPr>
                <w:b/>
                <w:color w:val="000000" w:themeColor="text1"/>
                <w:lang w:val="uk-UA"/>
              </w:rPr>
            </w:pPr>
            <w:r w:rsidRPr="00F7290F">
              <w:rPr>
                <w:b/>
                <w:color w:val="000000" w:themeColor="text1"/>
                <w:lang w:val="uk-UA"/>
              </w:rPr>
              <w:t>Динаміка обороту роздрібної торгівлі</w:t>
            </w:r>
          </w:p>
        </w:tc>
        <w:tc>
          <w:tcPr>
            <w:tcW w:w="3403"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9A2B40">
        <w:trPr>
          <w:cantSplit/>
          <w:trHeight w:val="135"/>
        </w:trPr>
        <w:tc>
          <w:tcPr>
            <w:tcW w:w="6275" w:type="dxa"/>
            <w:gridSpan w:val="2"/>
            <w:tcBorders>
              <w:top w:val="nil"/>
              <w:left w:val="nil"/>
              <w:bottom w:val="nil"/>
              <w:right w:val="nil"/>
            </w:tcBorders>
          </w:tcPr>
          <w:p w:rsidR="0057711D" w:rsidRPr="00F7290F" w:rsidRDefault="0057711D" w:rsidP="00D65D2E">
            <w:pPr>
              <w:pStyle w:val="aff6"/>
              <w:keepNext/>
              <w:widowControl w:val="0"/>
              <w:rPr>
                <w:color w:val="FF0000"/>
                <w:lang w:val="uk-UA"/>
              </w:rPr>
            </w:pPr>
            <w:r w:rsidRPr="00F7290F">
              <w:rPr>
                <w:noProof/>
                <w:color w:val="FF0000"/>
              </w:rPr>
              <w:drawing>
                <wp:inline distT="0" distB="0" distL="0" distR="0">
                  <wp:extent cx="3975100" cy="2609850"/>
                  <wp:effectExtent l="0" t="0" r="0"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3403"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9A2B40">
        <w:trPr>
          <w:cantSplit/>
          <w:trHeight w:val="135"/>
        </w:trPr>
        <w:tc>
          <w:tcPr>
            <w:tcW w:w="6275" w:type="dxa"/>
            <w:gridSpan w:val="2"/>
            <w:tcBorders>
              <w:top w:val="nil"/>
              <w:left w:val="nil"/>
              <w:bottom w:val="nil"/>
              <w:right w:val="nil"/>
            </w:tcBorders>
          </w:tcPr>
          <w:p w:rsidR="0057711D" w:rsidRPr="00F7290F" w:rsidRDefault="0057711D" w:rsidP="00D65D2E">
            <w:pPr>
              <w:keepNext/>
              <w:widowControl w:val="0"/>
              <w:spacing w:before="120"/>
              <w:jc w:val="center"/>
              <w:rPr>
                <w:b/>
                <w:color w:val="000000" w:themeColor="text1"/>
                <w:spacing w:val="-4"/>
                <w:lang w:val="uk-UA"/>
              </w:rPr>
            </w:pPr>
            <w:r w:rsidRPr="00F7290F">
              <w:rPr>
                <w:b/>
                <w:color w:val="000000" w:themeColor="text1"/>
                <w:spacing w:val="-4"/>
                <w:lang w:val="uk-UA"/>
              </w:rPr>
              <w:t xml:space="preserve">Питома вага товарів вітчизняного виробництва </w:t>
            </w:r>
          </w:p>
          <w:p w:rsidR="0057711D" w:rsidRPr="00F7290F" w:rsidRDefault="0057711D" w:rsidP="00D65D2E">
            <w:pPr>
              <w:keepNext/>
              <w:widowControl w:val="0"/>
              <w:jc w:val="center"/>
              <w:rPr>
                <w:color w:val="000000" w:themeColor="text1"/>
                <w:lang w:val="uk-UA"/>
              </w:rPr>
            </w:pPr>
            <w:r w:rsidRPr="00F7290F">
              <w:rPr>
                <w:b/>
                <w:color w:val="000000" w:themeColor="text1"/>
                <w:spacing w:val="-4"/>
                <w:lang w:val="uk-UA"/>
              </w:rPr>
              <w:t>в роздрібному товарообороті торгової мережі, %</w:t>
            </w:r>
          </w:p>
        </w:tc>
        <w:tc>
          <w:tcPr>
            <w:tcW w:w="3403"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9A2B40">
        <w:trPr>
          <w:cantSplit/>
          <w:trHeight w:val="135"/>
        </w:trPr>
        <w:tc>
          <w:tcPr>
            <w:tcW w:w="6275" w:type="dxa"/>
            <w:gridSpan w:val="2"/>
            <w:tcBorders>
              <w:top w:val="nil"/>
              <w:left w:val="nil"/>
              <w:bottom w:val="nil"/>
              <w:right w:val="nil"/>
            </w:tcBorders>
          </w:tcPr>
          <w:tbl>
            <w:tblPr>
              <w:tblW w:w="6021" w:type="dxa"/>
              <w:tblLayout w:type="fixed"/>
              <w:tblLook w:val="01E0"/>
            </w:tblPr>
            <w:tblGrid>
              <w:gridCol w:w="2761"/>
              <w:gridCol w:w="992"/>
              <w:gridCol w:w="992"/>
              <w:gridCol w:w="1276"/>
            </w:tblGrid>
            <w:tr w:rsidR="0057711D" w:rsidRPr="00F7290F" w:rsidTr="00222CE6">
              <w:tc>
                <w:tcPr>
                  <w:tcW w:w="2761" w:type="dxa"/>
                  <w:tcBorders>
                    <w:top w:val="single" w:sz="4" w:space="0" w:color="auto"/>
                    <w:left w:val="single" w:sz="4" w:space="0" w:color="auto"/>
                    <w:bottom w:val="single" w:sz="4" w:space="0" w:color="auto"/>
                    <w:right w:val="single" w:sz="4" w:space="0" w:color="auto"/>
                  </w:tcBorders>
                </w:tcPr>
                <w:p w:rsidR="0057711D" w:rsidRPr="00F7290F" w:rsidRDefault="0057711D" w:rsidP="00D65D2E">
                  <w:pPr>
                    <w:keepNext/>
                    <w:widowControl w:val="0"/>
                    <w:spacing w:after="120"/>
                    <w:ind w:firstLine="720"/>
                    <w:jc w:val="both"/>
                    <w:rPr>
                      <w:color w:val="000000" w:themeColor="text1"/>
                      <w:lang w:val="uk-UA"/>
                    </w:rPr>
                  </w:pPr>
                </w:p>
              </w:tc>
              <w:tc>
                <w:tcPr>
                  <w:tcW w:w="992" w:type="dxa"/>
                  <w:tcBorders>
                    <w:top w:val="single" w:sz="4" w:space="0" w:color="auto"/>
                    <w:left w:val="single" w:sz="4" w:space="0" w:color="auto"/>
                    <w:bottom w:val="single" w:sz="4" w:space="0" w:color="auto"/>
                    <w:right w:val="single" w:sz="4" w:space="0" w:color="auto"/>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2000 рік</w:t>
                  </w:r>
                </w:p>
              </w:tc>
              <w:tc>
                <w:tcPr>
                  <w:tcW w:w="992" w:type="dxa"/>
                  <w:tcBorders>
                    <w:top w:val="single" w:sz="4" w:space="0" w:color="auto"/>
                    <w:left w:val="single" w:sz="4" w:space="0" w:color="auto"/>
                    <w:bottom w:val="single" w:sz="4" w:space="0" w:color="auto"/>
                    <w:right w:val="single" w:sz="4" w:space="0" w:color="auto"/>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 xml:space="preserve">2011 рік </w:t>
                  </w:r>
                </w:p>
              </w:tc>
              <w:tc>
                <w:tcPr>
                  <w:tcW w:w="1276" w:type="dxa"/>
                  <w:tcBorders>
                    <w:top w:val="single" w:sz="4" w:space="0" w:color="auto"/>
                    <w:left w:val="single" w:sz="4" w:space="0" w:color="auto"/>
                    <w:bottom w:val="single" w:sz="4" w:space="0" w:color="auto"/>
                    <w:right w:val="single" w:sz="4" w:space="0" w:color="auto"/>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2012 рік (очік.)</w:t>
                  </w:r>
                </w:p>
              </w:tc>
            </w:tr>
            <w:tr w:rsidR="0057711D" w:rsidRPr="00F7290F" w:rsidTr="00222CE6">
              <w:tc>
                <w:tcPr>
                  <w:tcW w:w="2761" w:type="dxa"/>
                  <w:tcBorders>
                    <w:top w:val="single" w:sz="4" w:space="0" w:color="auto"/>
                    <w:left w:val="nil"/>
                    <w:bottom w:val="nil"/>
                    <w:right w:val="nil"/>
                  </w:tcBorders>
                </w:tcPr>
                <w:p w:rsidR="0057711D" w:rsidRPr="00F7290F" w:rsidRDefault="0057711D" w:rsidP="00D65D2E">
                  <w:pPr>
                    <w:keepNext/>
                    <w:widowControl w:val="0"/>
                    <w:jc w:val="both"/>
                    <w:rPr>
                      <w:color w:val="000000" w:themeColor="text1"/>
                      <w:lang w:val="uk-UA"/>
                    </w:rPr>
                  </w:pPr>
                  <w:r w:rsidRPr="00F7290F">
                    <w:rPr>
                      <w:color w:val="000000" w:themeColor="text1"/>
                      <w:lang w:val="uk-UA"/>
                    </w:rPr>
                    <w:t>Роздрібний товаро</w:t>
                  </w:r>
                  <w:r w:rsidRPr="00F7290F">
                    <w:rPr>
                      <w:color w:val="000000" w:themeColor="text1"/>
                      <w:lang w:val="uk-UA"/>
                    </w:rPr>
                    <w:softHyphen/>
                    <w:t>оборот товарів торгової мережі, всього</w:t>
                  </w:r>
                </w:p>
              </w:tc>
              <w:tc>
                <w:tcPr>
                  <w:tcW w:w="992" w:type="dxa"/>
                  <w:tcBorders>
                    <w:top w:val="single" w:sz="4" w:space="0" w:color="auto"/>
                    <w:left w:val="nil"/>
                    <w:bottom w:val="nil"/>
                    <w:right w:val="nil"/>
                  </w:tcBorders>
                  <w:vAlign w:val="bottom"/>
                </w:tcPr>
                <w:p w:rsidR="0057711D" w:rsidRPr="00F7290F" w:rsidRDefault="0057711D" w:rsidP="00D65D2E">
                  <w:pPr>
                    <w:keepNext/>
                    <w:widowControl w:val="0"/>
                    <w:jc w:val="center"/>
                    <w:rPr>
                      <w:color w:val="000000" w:themeColor="text1"/>
                      <w:lang w:val="uk-UA"/>
                    </w:rPr>
                  </w:pPr>
                </w:p>
                <w:p w:rsidR="0057711D" w:rsidRPr="00F7290F" w:rsidRDefault="0057711D" w:rsidP="00D65D2E">
                  <w:pPr>
                    <w:keepNext/>
                    <w:widowControl w:val="0"/>
                    <w:jc w:val="center"/>
                    <w:rPr>
                      <w:color w:val="000000" w:themeColor="text1"/>
                      <w:lang w:val="uk-UA"/>
                    </w:rPr>
                  </w:pPr>
                  <w:r w:rsidRPr="00F7290F">
                    <w:rPr>
                      <w:color w:val="000000" w:themeColor="text1"/>
                      <w:lang w:val="uk-UA"/>
                    </w:rPr>
                    <w:t>78</w:t>
                  </w:r>
                </w:p>
              </w:tc>
              <w:tc>
                <w:tcPr>
                  <w:tcW w:w="992" w:type="dxa"/>
                  <w:tcBorders>
                    <w:top w:val="single" w:sz="4" w:space="0" w:color="auto"/>
                    <w:left w:val="nil"/>
                    <w:bottom w:val="nil"/>
                    <w:right w:val="nil"/>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59</w:t>
                  </w:r>
                </w:p>
              </w:tc>
              <w:tc>
                <w:tcPr>
                  <w:tcW w:w="1276" w:type="dxa"/>
                  <w:tcBorders>
                    <w:top w:val="single" w:sz="4" w:space="0" w:color="auto"/>
                    <w:left w:val="nil"/>
                    <w:bottom w:val="nil"/>
                    <w:right w:val="nil"/>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58,6</w:t>
                  </w:r>
                </w:p>
              </w:tc>
            </w:tr>
            <w:tr w:rsidR="0057711D" w:rsidRPr="00F7290F" w:rsidTr="00222CE6">
              <w:tc>
                <w:tcPr>
                  <w:tcW w:w="2761" w:type="dxa"/>
                </w:tcPr>
                <w:p w:rsidR="0057711D" w:rsidRPr="00F7290F" w:rsidRDefault="0057711D" w:rsidP="00D65D2E">
                  <w:pPr>
                    <w:keepNext/>
                    <w:widowControl w:val="0"/>
                    <w:jc w:val="both"/>
                    <w:rPr>
                      <w:color w:val="000000" w:themeColor="text1"/>
                      <w:lang w:val="uk-UA"/>
                    </w:rPr>
                  </w:pPr>
                  <w:r w:rsidRPr="00F7290F">
                    <w:rPr>
                      <w:color w:val="000000" w:themeColor="text1"/>
                      <w:lang w:val="uk-UA"/>
                    </w:rPr>
                    <w:t xml:space="preserve"> продовольчої групи</w:t>
                  </w:r>
                </w:p>
              </w:tc>
              <w:tc>
                <w:tcPr>
                  <w:tcW w:w="992"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93</w:t>
                  </w:r>
                </w:p>
              </w:tc>
              <w:tc>
                <w:tcPr>
                  <w:tcW w:w="992"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88</w:t>
                  </w:r>
                </w:p>
              </w:tc>
              <w:tc>
                <w:tcPr>
                  <w:tcW w:w="1276"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87,5</w:t>
                  </w:r>
                </w:p>
              </w:tc>
            </w:tr>
            <w:tr w:rsidR="0057711D" w:rsidRPr="00F7290F" w:rsidTr="00222CE6">
              <w:tc>
                <w:tcPr>
                  <w:tcW w:w="2761" w:type="dxa"/>
                </w:tcPr>
                <w:p w:rsidR="0057711D" w:rsidRPr="00F7290F" w:rsidRDefault="0057711D" w:rsidP="00D65D2E">
                  <w:pPr>
                    <w:keepNext/>
                    <w:widowControl w:val="0"/>
                    <w:jc w:val="both"/>
                    <w:rPr>
                      <w:color w:val="000000" w:themeColor="text1"/>
                      <w:lang w:val="uk-UA"/>
                    </w:rPr>
                  </w:pPr>
                  <w:r w:rsidRPr="00F7290F">
                    <w:rPr>
                      <w:color w:val="000000" w:themeColor="text1"/>
                      <w:lang w:val="uk-UA"/>
                    </w:rPr>
                    <w:t xml:space="preserve"> непродовольчої групи</w:t>
                  </w:r>
                </w:p>
              </w:tc>
              <w:tc>
                <w:tcPr>
                  <w:tcW w:w="992"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58</w:t>
                  </w:r>
                </w:p>
              </w:tc>
              <w:tc>
                <w:tcPr>
                  <w:tcW w:w="992"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42</w:t>
                  </w:r>
                </w:p>
              </w:tc>
              <w:tc>
                <w:tcPr>
                  <w:tcW w:w="1276"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37,9</w:t>
                  </w:r>
                </w:p>
              </w:tc>
            </w:tr>
            <w:tr w:rsidR="0057711D" w:rsidRPr="00F7290F" w:rsidTr="00222CE6">
              <w:tc>
                <w:tcPr>
                  <w:tcW w:w="2761" w:type="dxa"/>
                </w:tcPr>
                <w:p w:rsidR="0057711D" w:rsidRPr="00F7290F" w:rsidRDefault="0057711D" w:rsidP="00D65D2E">
                  <w:pPr>
                    <w:keepNext/>
                    <w:widowControl w:val="0"/>
                    <w:jc w:val="both"/>
                    <w:rPr>
                      <w:color w:val="000000" w:themeColor="text1"/>
                      <w:lang w:val="uk-UA"/>
                    </w:rPr>
                  </w:pPr>
                </w:p>
              </w:tc>
              <w:tc>
                <w:tcPr>
                  <w:tcW w:w="992" w:type="dxa"/>
                </w:tcPr>
                <w:p w:rsidR="0057711D" w:rsidRPr="00F7290F" w:rsidRDefault="0057711D" w:rsidP="00D65D2E">
                  <w:pPr>
                    <w:keepNext/>
                    <w:widowControl w:val="0"/>
                    <w:jc w:val="center"/>
                    <w:rPr>
                      <w:color w:val="000000" w:themeColor="text1"/>
                      <w:lang w:val="uk-UA"/>
                    </w:rPr>
                  </w:pPr>
                </w:p>
              </w:tc>
              <w:tc>
                <w:tcPr>
                  <w:tcW w:w="992" w:type="dxa"/>
                </w:tcPr>
                <w:p w:rsidR="0057711D" w:rsidRPr="00F7290F" w:rsidRDefault="0057711D" w:rsidP="00D65D2E">
                  <w:pPr>
                    <w:keepNext/>
                    <w:widowControl w:val="0"/>
                    <w:jc w:val="center"/>
                    <w:rPr>
                      <w:color w:val="000000" w:themeColor="text1"/>
                      <w:lang w:val="uk-UA"/>
                    </w:rPr>
                  </w:pPr>
                </w:p>
              </w:tc>
              <w:tc>
                <w:tcPr>
                  <w:tcW w:w="1276" w:type="dxa"/>
                </w:tcPr>
                <w:p w:rsidR="0057711D" w:rsidRPr="00F7290F" w:rsidRDefault="0057711D" w:rsidP="00D65D2E">
                  <w:pPr>
                    <w:keepNext/>
                    <w:widowControl w:val="0"/>
                    <w:jc w:val="center"/>
                    <w:rPr>
                      <w:color w:val="000000" w:themeColor="text1"/>
                      <w:lang w:val="uk-UA"/>
                    </w:rPr>
                  </w:pPr>
                </w:p>
              </w:tc>
            </w:tr>
          </w:tbl>
          <w:p w:rsidR="0057711D" w:rsidRPr="00F7290F" w:rsidRDefault="0057711D" w:rsidP="00D65D2E">
            <w:pPr>
              <w:pStyle w:val="aff6"/>
              <w:keepNext/>
              <w:widowControl w:val="0"/>
              <w:rPr>
                <w:color w:val="000000" w:themeColor="text1"/>
                <w:lang w:val="uk-UA"/>
              </w:rPr>
            </w:pPr>
          </w:p>
        </w:tc>
        <w:tc>
          <w:tcPr>
            <w:tcW w:w="3403"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9A2B40">
        <w:tc>
          <w:tcPr>
            <w:tcW w:w="6275" w:type="dxa"/>
            <w:gridSpan w:val="2"/>
            <w:tcBorders>
              <w:top w:val="nil"/>
              <w:left w:val="nil"/>
              <w:bottom w:val="nil"/>
              <w:right w:val="nil"/>
            </w:tcBorders>
          </w:tcPr>
          <w:p w:rsidR="0057711D" w:rsidRPr="00F7290F" w:rsidRDefault="0057711D" w:rsidP="00D65D2E">
            <w:pPr>
              <w:keepNext/>
              <w:widowControl w:val="0"/>
              <w:spacing w:before="120"/>
              <w:jc w:val="center"/>
              <w:rPr>
                <w:b/>
                <w:color w:val="000000" w:themeColor="text1"/>
                <w:lang w:val="uk-UA"/>
              </w:rPr>
            </w:pPr>
            <w:r w:rsidRPr="00F7290F">
              <w:rPr>
                <w:b/>
                <w:color w:val="000000" w:themeColor="text1"/>
                <w:lang w:val="uk-UA"/>
              </w:rPr>
              <w:t>Динаміка індексів споживчих цін, %</w:t>
            </w:r>
          </w:p>
          <w:p w:rsidR="0057711D" w:rsidRPr="00F7290F" w:rsidRDefault="0057711D" w:rsidP="00D65D2E">
            <w:pPr>
              <w:keepNext/>
              <w:widowControl w:val="0"/>
              <w:jc w:val="center"/>
              <w:rPr>
                <w:color w:val="FF0000"/>
                <w:lang w:val="uk-UA"/>
              </w:rPr>
            </w:pPr>
            <w:r w:rsidRPr="00F7290F">
              <w:rPr>
                <w:color w:val="000000" w:themeColor="text1"/>
                <w:lang w:val="uk-UA"/>
              </w:rPr>
              <w:t>(грудень до грудня попереднього року)</w:t>
            </w:r>
          </w:p>
        </w:tc>
        <w:tc>
          <w:tcPr>
            <w:tcW w:w="3403"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9A2B40">
        <w:tc>
          <w:tcPr>
            <w:tcW w:w="6275" w:type="dxa"/>
            <w:gridSpan w:val="2"/>
            <w:tcBorders>
              <w:top w:val="nil"/>
              <w:left w:val="nil"/>
              <w:bottom w:val="nil"/>
              <w:right w:val="nil"/>
            </w:tcBorders>
          </w:tcPr>
          <w:p w:rsidR="0057711D" w:rsidRPr="00F7290F" w:rsidRDefault="0057711D" w:rsidP="00D65D2E">
            <w:pPr>
              <w:keepNext/>
              <w:widowControl w:val="0"/>
              <w:rPr>
                <w:color w:val="FF0000"/>
                <w:lang w:val="uk-UA"/>
              </w:rPr>
            </w:pPr>
            <w:r w:rsidRPr="00F7290F">
              <w:rPr>
                <w:noProof/>
                <w:color w:val="FF0000"/>
                <w:sz w:val="22"/>
                <w:szCs w:val="22"/>
              </w:rPr>
              <w:drawing>
                <wp:inline distT="0" distB="0" distL="0" distR="0">
                  <wp:extent cx="3851910" cy="1348740"/>
                  <wp:effectExtent l="0" t="0" r="0" b="0"/>
                  <wp:docPr id="25"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3403" w:type="dxa"/>
            <w:vMerge/>
            <w:tcBorders>
              <w:left w:val="nil"/>
              <w:bottom w:val="nil"/>
              <w:right w:val="nil"/>
            </w:tcBorders>
            <w:vAlign w:val="center"/>
          </w:tcPr>
          <w:p w:rsidR="0057711D" w:rsidRPr="00F7290F" w:rsidRDefault="0057711D" w:rsidP="00D65D2E">
            <w:pPr>
              <w:keepNext/>
              <w:widowControl w:val="0"/>
              <w:rPr>
                <w:color w:val="FF0000"/>
                <w:lang w:val="uk-UA"/>
              </w:rPr>
            </w:pPr>
          </w:p>
        </w:tc>
      </w:tr>
      <w:tr w:rsidR="001F5241" w:rsidRPr="009A2B40"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lastRenderedPageBreak/>
              <w:t>Динаміка розвитку промисловості</w:t>
            </w:r>
          </w:p>
        </w:tc>
        <w:tc>
          <w:tcPr>
            <w:tcW w:w="3558" w:type="dxa"/>
            <w:gridSpan w:val="2"/>
            <w:vMerge w:val="restart"/>
          </w:tcPr>
          <w:p w:rsidR="005E4D12" w:rsidRPr="00F7290F" w:rsidRDefault="005E4D12" w:rsidP="005E4D12">
            <w:pPr>
              <w:keepNext/>
              <w:widowControl w:val="0"/>
              <w:ind w:firstLine="284"/>
              <w:jc w:val="both"/>
              <w:rPr>
                <w:lang w:val="uk-UA"/>
              </w:rPr>
            </w:pPr>
            <w:r w:rsidRPr="00F7290F">
              <w:rPr>
                <w:lang w:val="uk-UA"/>
              </w:rPr>
              <w:t>За 2012 рік загальний обсяг промислового  виробництва у порівнянних цінах зменшився на 5,4%, реалізованої промислової продукції у діючих цінах – на 23,5 млрд.грн.</w:t>
            </w:r>
          </w:p>
          <w:p w:rsidR="005E4D12" w:rsidRPr="00F7290F" w:rsidRDefault="005E4D12" w:rsidP="005E4D12">
            <w:pPr>
              <w:keepNext/>
              <w:widowControl w:val="0"/>
              <w:ind w:firstLine="284"/>
              <w:jc w:val="both"/>
              <w:rPr>
                <w:lang w:val="uk-UA"/>
              </w:rPr>
            </w:pPr>
            <w:r w:rsidRPr="00F7290F">
              <w:rPr>
                <w:lang w:val="uk-UA"/>
              </w:rPr>
              <w:t>Спад виробництва обумов</w:t>
            </w:r>
            <w:r w:rsidRPr="00F7290F">
              <w:rPr>
                <w:lang w:val="uk-UA"/>
              </w:rPr>
              <w:softHyphen/>
              <w:t xml:space="preserve">лений зниженням попиту та цін на </w:t>
            </w:r>
            <w:r w:rsidR="00F7290F" w:rsidRPr="00F7290F">
              <w:rPr>
                <w:lang w:val="uk-UA"/>
              </w:rPr>
              <w:t>траді</w:t>
            </w:r>
            <w:r w:rsidR="00F7290F">
              <w:rPr>
                <w:lang w:val="uk-UA"/>
              </w:rPr>
              <w:t>ц</w:t>
            </w:r>
            <w:r w:rsidR="00F7290F" w:rsidRPr="00F7290F">
              <w:rPr>
                <w:lang w:val="uk-UA"/>
              </w:rPr>
              <w:t>ійних</w:t>
            </w:r>
            <w:r w:rsidRPr="00F7290F">
              <w:rPr>
                <w:lang w:val="uk-UA"/>
              </w:rPr>
              <w:t xml:space="preserve"> зовнішніх ринках збуту металу (35% – частка металургій</w:t>
            </w:r>
            <w:r w:rsidRPr="00F7290F">
              <w:rPr>
                <w:lang w:val="uk-UA"/>
              </w:rPr>
              <w:softHyphen/>
              <w:t>ної галузі в обсязі реалізації, 80% продукції галузі експортується).</w:t>
            </w:r>
          </w:p>
          <w:p w:rsidR="005E4D12" w:rsidRPr="00F7290F" w:rsidRDefault="005E4D12" w:rsidP="005E4D12">
            <w:pPr>
              <w:keepNext/>
              <w:widowControl w:val="0"/>
              <w:spacing w:before="120" w:after="40"/>
              <w:ind w:firstLine="284"/>
              <w:jc w:val="both"/>
              <w:rPr>
                <w:lang w:val="uk-UA"/>
              </w:rPr>
            </w:pPr>
            <w:r w:rsidRPr="00F7290F">
              <w:rPr>
                <w:lang w:val="uk-UA"/>
              </w:rPr>
              <w:t>На підприємствах області реалізовувались заходи з реконструкції та модернізації виробництв.</w:t>
            </w:r>
          </w:p>
          <w:p w:rsidR="005E4D12" w:rsidRPr="00F236D8" w:rsidRDefault="005E4D12" w:rsidP="005E4D12">
            <w:pPr>
              <w:keepNext/>
              <w:widowControl w:val="0"/>
              <w:spacing w:before="120" w:after="40"/>
              <w:ind w:firstLine="284"/>
              <w:jc w:val="both"/>
              <w:rPr>
                <w:spacing w:val="-6"/>
                <w:lang w:val="uk-UA"/>
              </w:rPr>
            </w:pPr>
            <w:r w:rsidRPr="00F236D8">
              <w:rPr>
                <w:spacing w:val="-6"/>
                <w:lang w:val="uk-UA"/>
              </w:rPr>
              <w:t>У ПАТ «Металургійний комбінат «Азовсталь» впроваджено у виробництво установку контрольо</w:t>
            </w:r>
            <w:r w:rsidRPr="00F236D8">
              <w:rPr>
                <w:spacing w:val="-6"/>
                <w:lang w:val="uk-UA"/>
              </w:rPr>
              <w:softHyphen/>
              <w:t>ва</w:t>
            </w:r>
            <w:r w:rsidRPr="00F236D8">
              <w:rPr>
                <w:spacing w:val="-6"/>
                <w:lang w:val="uk-UA"/>
              </w:rPr>
              <w:softHyphen/>
              <w:t xml:space="preserve">ного охолодження металопрокату. </w:t>
            </w:r>
          </w:p>
          <w:p w:rsidR="005E4D12" w:rsidRPr="00F236D8" w:rsidRDefault="005E4D12" w:rsidP="005E4D12">
            <w:pPr>
              <w:keepNext/>
              <w:widowControl w:val="0"/>
              <w:spacing w:after="40"/>
              <w:ind w:firstLine="284"/>
              <w:jc w:val="both"/>
              <w:rPr>
                <w:spacing w:val="-6"/>
                <w:lang w:val="uk-UA"/>
              </w:rPr>
            </w:pPr>
            <w:r w:rsidRPr="00F236D8">
              <w:rPr>
                <w:spacing w:val="-6"/>
                <w:lang w:val="uk-UA"/>
              </w:rPr>
              <w:t>У ПрАТ «Донецьксталь» - металургійний завод» виведено з експлуатації останні 4 мартенів</w:t>
            </w:r>
            <w:r w:rsidRPr="00F236D8">
              <w:rPr>
                <w:spacing w:val="-6"/>
                <w:lang w:val="uk-UA"/>
              </w:rPr>
              <w:softHyphen/>
              <w:t xml:space="preserve">ські печі, здійснювалось будівництво електросталеплавильної печі. </w:t>
            </w:r>
          </w:p>
          <w:p w:rsidR="005E4D12" w:rsidRPr="00F236D8" w:rsidRDefault="005E4D12" w:rsidP="005E4D12">
            <w:pPr>
              <w:keepNext/>
              <w:widowControl w:val="0"/>
              <w:spacing w:after="40"/>
              <w:ind w:firstLine="284"/>
              <w:jc w:val="both"/>
              <w:rPr>
                <w:spacing w:val="-6"/>
                <w:lang w:val="uk-UA"/>
              </w:rPr>
            </w:pPr>
            <w:r w:rsidRPr="00F236D8">
              <w:rPr>
                <w:spacing w:val="-6"/>
                <w:lang w:val="uk-UA"/>
              </w:rPr>
              <w:t>У ПАТ «Маріупольський металургійний комбінат ім.Ілліча» введено в дію турбо</w:t>
            </w:r>
            <w:r w:rsidR="00F236D8">
              <w:rPr>
                <w:spacing w:val="-6"/>
                <w:lang w:val="uk-UA"/>
              </w:rPr>
              <w:softHyphen/>
            </w:r>
            <w:r w:rsidRPr="00F236D8">
              <w:rPr>
                <w:spacing w:val="-6"/>
                <w:lang w:val="uk-UA"/>
              </w:rPr>
              <w:t>повітродувку №3 з комп’юте</w:t>
            </w:r>
            <w:r w:rsidR="00F236D8">
              <w:rPr>
                <w:spacing w:val="-6"/>
                <w:lang w:val="uk-UA"/>
              </w:rPr>
              <w:softHyphen/>
            </w:r>
            <w:r w:rsidRPr="00F236D8">
              <w:rPr>
                <w:spacing w:val="-6"/>
                <w:lang w:val="uk-UA"/>
              </w:rPr>
              <w:t>ризованою системою управління, проводилися пуско-налагод</w:t>
            </w:r>
            <w:r w:rsidR="00F236D8">
              <w:rPr>
                <w:spacing w:val="-6"/>
                <w:lang w:val="uk-UA"/>
              </w:rPr>
              <w:softHyphen/>
            </w:r>
            <w:r w:rsidRPr="00F236D8">
              <w:rPr>
                <w:spacing w:val="-6"/>
                <w:lang w:val="uk-UA"/>
              </w:rPr>
              <w:t>жувальні  роботи установки вдування пиловугільного палива у горн доменних печей.</w:t>
            </w:r>
          </w:p>
          <w:p w:rsidR="005E4D12" w:rsidRPr="00F7290F" w:rsidRDefault="005E4D12" w:rsidP="005E4D12">
            <w:pPr>
              <w:keepNext/>
              <w:widowControl w:val="0"/>
              <w:spacing w:after="40"/>
              <w:ind w:firstLine="284"/>
              <w:jc w:val="both"/>
              <w:rPr>
                <w:lang w:val="uk-UA"/>
              </w:rPr>
            </w:pPr>
            <w:r w:rsidRPr="00F7290F">
              <w:rPr>
                <w:lang w:val="uk-UA"/>
              </w:rPr>
              <w:t xml:space="preserve">У ПрАТ «Макіївкокс» побудовано цех очищення коксового газу від сірководню. </w:t>
            </w:r>
          </w:p>
          <w:p w:rsidR="00224CCC" w:rsidRPr="00F7290F" w:rsidRDefault="00224CCC" w:rsidP="00F236D8">
            <w:pPr>
              <w:keepNext/>
              <w:widowControl w:val="0"/>
              <w:spacing w:after="80"/>
              <w:ind w:firstLine="284"/>
              <w:jc w:val="both"/>
              <w:rPr>
                <w:color w:val="FF0000"/>
                <w:spacing w:val="-2"/>
                <w:lang w:val="uk-UA"/>
              </w:rPr>
            </w:pPr>
          </w:p>
        </w:tc>
      </w:tr>
      <w:tr w:rsidR="001F5241" w:rsidRPr="00F7290F" w:rsidTr="0045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35"/>
        </w:trPr>
        <w:tc>
          <w:tcPr>
            <w:tcW w:w="6120" w:type="dxa"/>
            <w:vAlign w:val="center"/>
          </w:tcPr>
          <w:p w:rsidR="001F5241" w:rsidRPr="00F7290F" w:rsidRDefault="001F5241" w:rsidP="00D65D2E">
            <w:pPr>
              <w:keepNext/>
              <w:widowControl w:val="0"/>
              <w:jc w:val="center"/>
              <w:rPr>
                <w:b/>
                <w:color w:val="FF0000"/>
                <w:lang w:val="uk-UA"/>
              </w:rPr>
            </w:pPr>
            <w:r w:rsidRPr="00F7290F">
              <w:rPr>
                <w:b/>
                <w:noProof/>
                <w:color w:val="FF0000"/>
              </w:rPr>
              <w:drawing>
                <wp:inline distT="0" distB="0" distL="0" distR="0">
                  <wp:extent cx="3710763" cy="2137144"/>
                  <wp:effectExtent l="0" t="0" r="0" b="0"/>
                  <wp:docPr id="42"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3558" w:type="dxa"/>
            <w:gridSpan w:val="2"/>
            <w:vMerge/>
            <w:vAlign w:val="center"/>
          </w:tcPr>
          <w:p w:rsidR="001F5241" w:rsidRPr="00F7290F" w:rsidRDefault="001F5241" w:rsidP="00D65D2E">
            <w:pPr>
              <w:keepNext/>
              <w:widowControl w:val="0"/>
              <w:rPr>
                <w:color w:val="FF0000"/>
                <w:lang w:val="uk-UA"/>
              </w:rPr>
            </w:pP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C821F3" w:rsidRPr="00F7290F" w:rsidRDefault="00C821F3" w:rsidP="00D65D2E">
            <w:pPr>
              <w:keepNext/>
              <w:widowControl w:val="0"/>
              <w:spacing w:before="120"/>
              <w:jc w:val="center"/>
              <w:rPr>
                <w:b/>
                <w:bCs/>
                <w:color w:val="000000" w:themeColor="text1"/>
                <w:lang w:val="uk-UA"/>
              </w:rPr>
            </w:pPr>
            <w:r w:rsidRPr="00F7290F">
              <w:rPr>
                <w:b/>
                <w:bCs/>
                <w:color w:val="000000" w:themeColor="text1"/>
                <w:lang w:val="uk-UA"/>
              </w:rPr>
              <w:t>Темпи приросту</w:t>
            </w:r>
            <w:r w:rsidR="00FA453C" w:rsidRPr="00F7290F">
              <w:rPr>
                <w:b/>
                <w:bCs/>
                <w:color w:val="000000" w:themeColor="text1"/>
                <w:lang w:val="uk-UA"/>
              </w:rPr>
              <w:t xml:space="preserve"> (зниження)</w:t>
            </w:r>
            <w:r w:rsidRPr="00F7290F">
              <w:rPr>
                <w:b/>
                <w:bCs/>
                <w:color w:val="000000" w:themeColor="text1"/>
                <w:lang w:val="uk-UA"/>
              </w:rPr>
              <w:t xml:space="preserve"> промислового</w:t>
            </w:r>
          </w:p>
          <w:p w:rsidR="001F5241" w:rsidRPr="00F7290F" w:rsidRDefault="00C821F3" w:rsidP="00D65D2E">
            <w:pPr>
              <w:keepNext/>
              <w:widowControl w:val="0"/>
              <w:spacing w:after="120"/>
              <w:jc w:val="center"/>
              <w:rPr>
                <w:b/>
                <w:i/>
                <w:color w:val="FF0000"/>
                <w:lang w:val="uk-UA"/>
              </w:rPr>
            </w:pPr>
            <w:r w:rsidRPr="00F7290F">
              <w:rPr>
                <w:b/>
                <w:bCs/>
                <w:color w:val="000000" w:themeColor="text1"/>
                <w:lang w:val="uk-UA"/>
              </w:rPr>
              <w:t>виробництва за 2012 рік у % до 2011 року</w:t>
            </w:r>
          </w:p>
        </w:tc>
        <w:tc>
          <w:tcPr>
            <w:tcW w:w="3558" w:type="dxa"/>
            <w:gridSpan w:val="2"/>
            <w:vMerge/>
            <w:vAlign w:val="center"/>
          </w:tcPr>
          <w:p w:rsidR="001F5241" w:rsidRPr="00F7290F" w:rsidRDefault="001F5241" w:rsidP="00D65D2E">
            <w:pPr>
              <w:keepNext/>
              <w:widowControl w:val="0"/>
              <w:rPr>
                <w:color w:val="FF0000"/>
                <w:lang w:val="uk-UA"/>
              </w:rPr>
            </w:pP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tcPr>
          <w:tbl>
            <w:tblPr>
              <w:tblW w:w="5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50"/>
              <w:gridCol w:w="992"/>
            </w:tblGrid>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rPr>
                      <w:b/>
                      <w:i/>
                      <w:lang w:val="uk-UA"/>
                    </w:rPr>
                  </w:pPr>
                  <w:r w:rsidRPr="00F7290F">
                    <w:rPr>
                      <w:b/>
                      <w:i/>
                      <w:sz w:val="22"/>
                      <w:szCs w:val="22"/>
                      <w:lang w:val="uk-UA"/>
                    </w:rPr>
                    <w:t>Обсяг промислового виробництва</w:t>
                  </w:r>
                </w:p>
                <w:p w:rsidR="00D44F8C" w:rsidRPr="00F7290F" w:rsidRDefault="00D44F8C" w:rsidP="00DE5557">
                  <w:pPr>
                    <w:keepNext/>
                    <w:widowControl w:val="0"/>
                    <w:spacing w:after="60"/>
                    <w:rPr>
                      <w:b/>
                      <w:bCs/>
                      <w:i/>
                      <w:lang w:val="uk-UA"/>
                    </w:rPr>
                  </w:pPr>
                  <w:r w:rsidRPr="00F7290F">
                    <w:rPr>
                      <w:b/>
                      <w:i/>
                      <w:sz w:val="22"/>
                      <w:szCs w:val="22"/>
                      <w:lang w:val="uk-UA"/>
                    </w:rPr>
                    <w:t>у порівнянних цінах, всього</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b/>
                      <w:i/>
                      <w:lang w:val="uk-UA"/>
                    </w:rPr>
                  </w:pPr>
                  <w:r w:rsidRPr="00F7290F">
                    <w:rPr>
                      <w:b/>
                      <w:i/>
                      <w:lang w:val="uk-UA"/>
                    </w:rPr>
                    <w:t>-5,4</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i/>
                      <w:iCs/>
                      <w:sz w:val="22"/>
                      <w:szCs w:val="22"/>
                      <w:lang w:val="uk-UA"/>
                    </w:rPr>
                    <w:t>у тому числі:</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вугільна промисловість</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10,3</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 xml:space="preserve">хімічна та нафтохімічна промисловість </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6,0</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 xml:space="preserve">виробництво та розподіл електроенергії </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-0,1</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машинобудування</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-3,6</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виробництво коксу, продуктів нафтопереробки</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-9,5</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виробництво неметалевої мінеральної продукції (будматеріалів, скла)</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-12,2</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 xml:space="preserve">металургія </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-15,0</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видобування корисних копалин, крім паливно-енергетичних</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-16,3</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b/>
                      <w:i/>
                      <w:lang w:val="uk-UA"/>
                    </w:rPr>
                  </w:pPr>
                  <w:r w:rsidRPr="00F7290F">
                    <w:rPr>
                      <w:b/>
                      <w:i/>
                      <w:sz w:val="22"/>
                      <w:szCs w:val="22"/>
                      <w:lang w:val="uk-UA"/>
                    </w:rPr>
                    <w:t>Виробництво продукції у натуральному виразі:</w:t>
                  </w:r>
                </w:p>
              </w:tc>
              <w:tc>
                <w:tcPr>
                  <w:tcW w:w="992" w:type="dxa"/>
                  <w:tcBorders>
                    <w:top w:val="nil"/>
                    <w:left w:val="nil"/>
                    <w:bottom w:val="nil"/>
                    <w:right w:val="nil"/>
                  </w:tcBorders>
                </w:tcPr>
                <w:p w:rsidR="00D44F8C" w:rsidRPr="00F7290F" w:rsidRDefault="00D44F8C" w:rsidP="00DE5557">
                  <w:pPr>
                    <w:keepNext/>
                    <w:widowControl w:val="0"/>
                    <w:jc w:val="center"/>
                    <w:rPr>
                      <w:b/>
                      <w:lang w:val="uk-UA"/>
                    </w:rPr>
                  </w:pP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 xml:space="preserve">рядове вугілля </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5,3</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 xml:space="preserve">готове вугілля </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10,3</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електроенергія</w:t>
                  </w:r>
                </w:p>
              </w:tc>
              <w:tc>
                <w:tcPr>
                  <w:tcW w:w="992" w:type="dxa"/>
                  <w:tcBorders>
                    <w:top w:val="nil"/>
                    <w:left w:val="nil"/>
                    <w:bottom w:val="nil"/>
                    <w:right w:val="nil"/>
                  </w:tcBorders>
                  <w:vAlign w:val="center"/>
                </w:tcPr>
                <w:p w:rsidR="00D44F8C" w:rsidRPr="00F7290F" w:rsidRDefault="00D44F8C" w:rsidP="00DE5557">
                  <w:pPr>
                    <w:pStyle w:val="ab"/>
                    <w:keepNext/>
                    <w:widowControl w:val="0"/>
                    <w:ind w:left="0"/>
                    <w:jc w:val="center"/>
                    <w:rPr>
                      <w:lang w:val="uk-UA"/>
                    </w:rPr>
                  </w:pPr>
                  <w:r w:rsidRPr="00F7290F">
                    <w:rPr>
                      <w:lang w:val="uk-UA"/>
                    </w:rPr>
                    <w:t>-0,5</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 xml:space="preserve">кокс </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-8,3</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 xml:space="preserve">чавун </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-9,4</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готовий прокат чорних металів</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-13,6</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 xml:space="preserve">сталь  </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-17,0</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труби з чорних металів</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-29,3</w:t>
                  </w:r>
                </w:p>
              </w:tc>
            </w:tr>
          </w:tbl>
          <w:p w:rsidR="001F5241" w:rsidRPr="00F7290F" w:rsidRDefault="001F5241" w:rsidP="00D65D2E">
            <w:pPr>
              <w:keepNext/>
              <w:widowControl w:val="0"/>
              <w:jc w:val="center"/>
              <w:rPr>
                <w:b/>
                <w:color w:val="FF0000"/>
                <w:lang w:val="uk-UA"/>
              </w:rPr>
            </w:pPr>
          </w:p>
        </w:tc>
        <w:tc>
          <w:tcPr>
            <w:tcW w:w="3558" w:type="dxa"/>
            <w:gridSpan w:val="2"/>
            <w:vMerge/>
            <w:vAlign w:val="center"/>
          </w:tcPr>
          <w:p w:rsidR="001F5241" w:rsidRPr="00F7290F" w:rsidRDefault="001F5241" w:rsidP="00D65D2E">
            <w:pPr>
              <w:keepNext/>
              <w:widowControl w:val="0"/>
              <w:rPr>
                <w:color w:val="FF0000"/>
                <w:lang w:val="uk-UA"/>
              </w:rPr>
            </w:pPr>
          </w:p>
        </w:tc>
      </w:tr>
      <w:tr w:rsidR="001F5241" w:rsidRPr="008900EB"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9678" w:type="dxa"/>
            <w:gridSpan w:val="3"/>
            <w:vAlign w:val="center"/>
          </w:tcPr>
          <w:p w:rsidR="00F236D8" w:rsidRDefault="00F236D8" w:rsidP="00DA149C">
            <w:pPr>
              <w:keepNext/>
              <w:widowControl w:val="0"/>
              <w:ind w:firstLine="612"/>
              <w:jc w:val="both"/>
              <w:rPr>
                <w:lang w:val="uk-UA"/>
              </w:rPr>
            </w:pPr>
            <w:r w:rsidRPr="00F7290F">
              <w:rPr>
                <w:lang w:val="uk-UA"/>
              </w:rPr>
              <w:t>Створено підприємство з виробництва вітрових енерго</w:t>
            </w:r>
            <w:r w:rsidRPr="00F7290F">
              <w:rPr>
                <w:lang w:val="uk-UA"/>
              </w:rPr>
              <w:softHyphen/>
              <w:t>уста</w:t>
            </w:r>
            <w:r w:rsidRPr="00F7290F">
              <w:rPr>
                <w:lang w:val="uk-UA"/>
              </w:rPr>
              <w:softHyphen/>
              <w:t>но</w:t>
            </w:r>
            <w:r w:rsidRPr="00F7290F">
              <w:rPr>
                <w:lang w:val="uk-UA"/>
              </w:rPr>
              <w:softHyphen/>
              <w:t>вок потужністю 2,5 МВт і вище – ТОВ «Фурлендер Віндтехнолоджі».</w:t>
            </w:r>
          </w:p>
          <w:p w:rsidR="00DA149C" w:rsidRPr="00F7290F" w:rsidRDefault="00F236D8" w:rsidP="00DA149C">
            <w:pPr>
              <w:keepNext/>
              <w:widowControl w:val="0"/>
              <w:ind w:firstLine="612"/>
              <w:jc w:val="both"/>
              <w:rPr>
                <w:lang w:val="uk-UA"/>
              </w:rPr>
            </w:pPr>
            <w:r w:rsidRPr="00F7290F">
              <w:rPr>
                <w:lang w:val="uk-UA"/>
              </w:rPr>
              <w:t>У</w:t>
            </w:r>
            <w:r>
              <w:rPr>
                <w:lang w:val="uk-UA"/>
              </w:rPr>
              <w:t xml:space="preserve"> </w:t>
            </w:r>
            <w:r w:rsidRPr="00F7290F">
              <w:rPr>
                <w:lang w:val="uk-UA"/>
              </w:rPr>
              <w:t>ПАТ «Енергомашспец</w:t>
            </w:r>
            <w:r>
              <w:rPr>
                <w:lang w:val="uk-UA"/>
              </w:rPr>
              <w:softHyphen/>
            </w:r>
            <w:r w:rsidRPr="00F7290F">
              <w:rPr>
                <w:lang w:val="uk-UA"/>
              </w:rPr>
              <w:t>сталь» введено в експлуатацію дугову сталеплавильну піч із газоочищен</w:t>
            </w:r>
            <w:r w:rsidRPr="00F7290F">
              <w:rPr>
                <w:lang w:val="uk-UA"/>
              </w:rPr>
              <w:softHyphen/>
              <w:t>ням і позапічною обробкою сталі.</w:t>
            </w:r>
            <w:r w:rsidR="00DA149C" w:rsidRPr="00F7290F">
              <w:rPr>
                <w:lang w:val="uk-UA"/>
              </w:rPr>
              <w:t>У ТОВ «Вітряний парк «Новоазовський» введено до експлуатації 13 вітроенергоуста</w:t>
            </w:r>
            <w:r w:rsidR="00DA149C" w:rsidRPr="00F7290F">
              <w:rPr>
                <w:lang w:val="uk-UA"/>
              </w:rPr>
              <w:softHyphen/>
              <w:t>но</w:t>
            </w:r>
            <w:r w:rsidR="00DA149C" w:rsidRPr="00F7290F">
              <w:rPr>
                <w:lang w:val="uk-UA"/>
              </w:rPr>
              <w:softHyphen/>
              <w:t>вок типу «Furlander» потужністю 2,5 МВт кожна (загальна потужність вітропарку – 57,5 МВт).</w:t>
            </w:r>
          </w:p>
          <w:p w:rsidR="001F5241" w:rsidRPr="00F7290F" w:rsidRDefault="00DA149C" w:rsidP="00DA149C">
            <w:pPr>
              <w:keepNext/>
              <w:widowControl w:val="0"/>
              <w:spacing w:after="60"/>
              <w:ind w:firstLine="709"/>
              <w:jc w:val="both"/>
              <w:rPr>
                <w:color w:val="FF0000"/>
                <w:spacing w:val="-6"/>
                <w:lang w:val="uk-UA"/>
              </w:rPr>
            </w:pPr>
            <w:r w:rsidRPr="00F7290F">
              <w:rPr>
                <w:spacing w:val="-6"/>
                <w:lang w:val="uk-UA"/>
              </w:rPr>
              <w:t>На вуглевидобувних підприємствах області введено в дію 43 лави, з них на шахті №1/3 «Новогродівська» ДП «Селидіввугілля»  – потужну лаву з навантаженням 2300 т вугілля на добу</w:t>
            </w: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1F5241" w:rsidRPr="00F7290F" w:rsidRDefault="001F5241" w:rsidP="00D65D2E">
            <w:pPr>
              <w:pStyle w:val="aff6"/>
              <w:keepNext/>
              <w:widowControl w:val="0"/>
              <w:spacing w:after="120" w:afterAutospacing="0"/>
              <w:jc w:val="center"/>
              <w:rPr>
                <w:b/>
                <w:color w:val="FF0000"/>
                <w:sz w:val="10"/>
                <w:szCs w:val="10"/>
                <w:lang w:val="uk-UA"/>
              </w:rPr>
            </w:pPr>
          </w:p>
          <w:p w:rsidR="001F5241" w:rsidRPr="00F7290F" w:rsidRDefault="001F5241" w:rsidP="00D65D2E">
            <w:pPr>
              <w:pStyle w:val="aff6"/>
              <w:keepNext/>
              <w:widowControl w:val="0"/>
              <w:spacing w:after="120" w:afterAutospacing="0"/>
              <w:jc w:val="center"/>
              <w:rPr>
                <w:b/>
                <w:color w:val="000000" w:themeColor="text1"/>
                <w:lang w:val="uk-UA"/>
              </w:rPr>
            </w:pPr>
            <w:r w:rsidRPr="00F7290F">
              <w:rPr>
                <w:b/>
                <w:color w:val="000000" w:themeColor="text1"/>
                <w:lang w:val="uk-UA"/>
              </w:rPr>
              <w:t>Структура промисловості, %</w:t>
            </w:r>
          </w:p>
        </w:tc>
        <w:tc>
          <w:tcPr>
            <w:tcW w:w="3558" w:type="dxa"/>
            <w:gridSpan w:val="2"/>
          </w:tcPr>
          <w:p w:rsidR="001F5241" w:rsidRPr="00F7290F" w:rsidRDefault="001F5241" w:rsidP="00D65D2E">
            <w:pPr>
              <w:keepNext/>
              <w:widowControl w:val="0"/>
              <w:spacing w:after="60"/>
              <w:ind w:firstLine="284"/>
              <w:jc w:val="both"/>
              <w:rPr>
                <w:color w:val="FF0000"/>
                <w:lang w:val="uk-UA"/>
              </w:rPr>
            </w:pP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tbl>
            <w:tblPr>
              <w:tblW w:w="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26"/>
              <w:gridCol w:w="990"/>
              <w:gridCol w:w="969"/>
            </w:tblGrid>
            <w:tr w:rsidR="00DA149C" w:rsidRPr="00F7290F" w:rsidTr="002832FE">
              <w:trPr>
                <w:trHeight w:val="180"/>
              </w:trPr>
              <w:tc>
                <w:tcPr>
                  <w:tcW w:w="4026" w:type="dxa"/>
                  <w:vMerge w:val="restart"/>
                  <w:tcBorders>
                    <w:top w:val="single" w:sz="4" w:space="0" w:color="auto"/>
                    <w:left w:val="single" w:sz="4" w:space="0" w:color="auto"/>
                    <w:right w:val="single" w:sz="4" w:space="0" w:color="auto"/>
                  </w:tcBorders>
                </w:tcPr>
                <w:p w:rsidR="00DA149C" w:rsidRPr="00F7290F" w:rsidRDefault="00DA149C" w:rsidP="00D65D2E">
                  <w:pPr>
                    <w:keepNext/>
                    <w:widowControl w:val="0"/>
                    <w:jc w:val="center"/>
                    <w:rPr>
                      <w:b/>
                      <w:color w:val="FF0000"/>
                      <w:sz w:val="20"/>
                      <w:szCs w:val="20"/>
                      <w:lang w:val="uk-UA"/>
                    </w:rPr>
                  </w:pPr>
                </w:p>
              </w:tc>
              <w:tc>
                <w:tcPr>
                  <w:tcW w:w="1959" w:type="dxa"/>
                  <w:gridSpan w:val="2"/>
                  <w:tcBorders>
                    <w:top w:val="single" w:sz="4" w:space="0" w:color="auto"/>
                    <w:left w:val="single" w:sz="4" w:space="0" w:color="auto"/>
                    <w:bottom w:val="single" w:sz="4" w:space="0" w:color="auto"/>
                    <w:right w:val="single" w:sz="4" w:space="0" w:color="auto"/>
                  </w:tcBorders>
                </w:tcPr>
                <w:p w:rsidR="00DA149C" w:rsidRPr="00F7290F" w:rsidRDefault="00DA149C" w:rsidP="00DE5557">
                  <w:pPr>
                    <w:keepNext/>
                    <w:widowControl w:val="0"/>
                    <w:jc w:val="center"/>
                    <w:rPr>
                      <w:sz w:val="20"/>
                      <w:szCs w:val="20"/>
                      <w:lang w:val="uk-UA"/>
                    </w:rPr>
                  </w:pPr>
                  <w:r w:rsidRPr="00F7290F">
                    <w:rPr>
                      <w:sz w:val="20"/>
                      <w:szCs w:val="20"/>
                      <w:lang w:val="uk-UA"/>
                    </w:rPr>
                    <w:t>Січень-грудень</w:t>
                  </w:r>
                </w:p>
              </w:tc>
            </w:tr>
            <w:tr w:rsidR="00DA149C" w:rsidRPr="00F7290F" w:rsidTr="002832FE">
              <w:trPr>
                <w:trHeight w:val="180"/>
              </w:trPr>
              <w:tc>
                <w:tcPr>
                  <w:tcW w:w="4026" w:type="dxa"/>
                  <w:vMerge/>
                  <w:tcBorders>
                    <w:left w:val="single" w:sz="4" w:space="0" w:color="auto"/>
                    <w:bottom w:val="single" w:sz="4" w:space="0" w:color="auto"/>
                    <w:right w:val="single" w:sz="4" w:space="0" w:color="auto"/>
                  </w:tcBorders>
                </w:tcPr>
                <w:p w:rsidR="00DA149C" w:rsidRPr="00F7290F" w:rsidRDefault="00DA149C" w:rsidP="00D65D2E">
                  <w:pPr>
                    <w:keepNext/>
                    <w:widowControl w:val="0"/>
                    <w:jc w:val="center"/>
                    <w:rPr>
                      <w:b/>
                      <w:color w:val="FF0000"/>
                      <w:sz w:val="20"/>
                      <w:szCs w:val="20"/>
                      <w:lang w:val="uk-UA"/>
                    </w:rPr>
                  </w:pPr>
                </w:p>
              </w:tc>
              <w:tc>
                <w:tcPr>
                  <w:tcW w:w="990" w:type="dxa"/>
                  <w:tcBorders>
                    <w:top w:val="single" w:sz="4" w:space="0" w:color="auto"/>
                    <w:left w:val="single" w:sz="4" w:space="0" w:color="auto"/>
                    <w:bottom w:val="single" w:sz="4" w:space="0" w:color="auto"/>
                    <w:right w:val="single" w:sz="4" w:space="0" w:color="auto"/>
                  </w:tcBorders>
                </w:tcPr>
                <w:p w:rsidR="00DA149C" w:rsidRPr="00F7290F" w:rsidRDefault="00DA149C" w:rsidP="00DE5557">
                  <w:pPr>
                    <w:keepNext/>
                    <w:widowControl w:val="0"/>
                    <w:jc w:val="center"/>
                    <w:rPr>
                      <w:sz w:val="20"/>
                      <w:szCs w:val="20"/>
                      <w:lang w:val="uk-UA"/>
                    </w:rPr>
                  </w:pPr>
                  <w:r w:rsidRPr="00F7290F">
                    <w:rPr>
                      <w:sz w:val="20"/>
                      <w:szCs w:val="20"/>
                      <w:lang w:val="uk-UA"/>
                    </w:rPr>
                    <w:t>2011</w:t>
                  </w:r>
                </w:p>
              </w:tc>
              <w:tc>
                <w:tcPr>
                  <w:tcW w:w="969" w:type="dxa"/>
                  <w:tcBorders>
                    <w:top w:val="single" w:sz="4" w:space="0" w:color="auto"/>
                    <w:left w:val="single" w:sz="4" w:space="0" w:color="auto"/>
                    <w:bottom w:val="single" w:sz="4" w:space="0" w:color="auto"/>
                    <w:right w:val="single" w:sz="4" w:space="0" w:color="auto"/>
                  </w:tcBorders>
                </w:tcPr>
                <w:p w:rsidR="00DA149C" w:rsidRPr="00F7290F" w:rsidRDefault="00DA149C" w:rsidP="00AA729F">
                  <w:pPr>
                    <w:keepNext/>
                    <w:widowControl w:val="0"/>
                    <w:jc w:val="center"/>
                    <w:rPr>
                      <w:sz w:val="20"/>
                      <w:szCs w:val="20"/>
                      <w:lang w:val="uk-UA"/>
                    </w:rPr>
                  </w:pPr>
                  <w:r w:rsidRPr="00F7290F">
                    <w:rPr>
                      <w:sz w:val="20"/>
                      <w:szCs w:val="20"/>
                      <w:lang w:val="uk-UA"/>
                    </w:rPr>
                    <w:t>201</w:t>
                  </w:r>
                  <w:r w:rsidR="00AA729F" w:rsidRPr="00F7290F">
                    <w:rPr>
                      <w:sz w:val="20"/>
                      <w:szCs w:val="20"/>
                      <w:lang w:val="uk-UA"/>
                    </w:rPr>
                    <w:t>2</w:t>
                  </w:r>
                </w:p>
              </w:tc>
            </w:tr>
            <w:tr w:rsidR="00DA149C" w:rsidRPr="00F7290F" w:rsidTr="004E0406">
              <w:tc>
                <w:tcPr>
                  <w:tcW w:w="4026" w:type="dxa"/>
                  <w:tcBorders>
                    <w:top w:val="single" w:sz="4" w:space="0" w:color="auto"/>
                    <w:left w:val="nil"/>
                    <w:bottom w:val="nil"/>
                    <w:right w:val="nil"/>
                  </w:tcBorders>
                  <w:vAlign w:val="bottom"/>
                </w:tcPr>
                <w:p w:rsidR="00DA149C" w:rsidRPr="00F7290F" w:rsidRDefault="00DA149C" w:rsidP="00DE5557">
                  <w:pPr>
                    <w:keepNext/>
                    <w:widowControl w:val="0"/>
                    <w:spacing w:after="60"/>
                    <w:rPr>
                      <w:b/>
                      <w:i/>
                      <w:sz w:val="22"/>
                      <w:szCs w:val="22"/>
                      <w:lang w:val="uk-UA"/>
                    </w:rPr>
                  </w:pPr>
                  <w:r w:rsidRPr="00F7290F">
                    <w:rPr>
                      <w:b/>
                      <w:i/>
                      <w:sz w:val="22"/>
                      <w:szCs w:val="22"/>
                      <w:lang w:val="uk-UA"/>
                    </w:rPr>
                    <w:t>Промисловість</w:t>
                  </w:r>
                </w:p>
              </w:tc>
              <w:tc>
                <w:tcPr>
                  <w:tcW w:w="990" w:type="dxa"/>
                  <w:tcBorders>
                    <w:top w:val="single" w:sz="4" w:space="0" w:color="auto"/>
                    <w:left w:val="nil"/>
                    <w:bottom w:val="nil"/>
                    <w:right w:val="nil"/>
                  </w:tcBorders>
                </w:tcPr>
                <w:p w:rsidR="00DA149C" w:rsidRPr="00F7290F" w:rsidRDefault="00DA149C" w:rsidP="00DE5557">
                  <w:pPr>
                    <w:keepNext/>
                    <w:widowControl w:val="0"/>
                    <w:jc w:val="center"/>
                    <w:rPr>
                      <w:b/>
                      <w:i/>
                      <w:sz w:val="22"/>
                      <w:szCs w:val="22"/>
                      <w:lang w:val="uk-UA"/>
                    </w:rPr>
                  </w:pPr>
                  <w:r w:rsidRPr="00F7290F">
                    <w:rPr>
                      <w:b/>
                      <w:i/>
                      <w:sz w:val="22"/>
                      <w:szCs w:val="22"/>
                      <w:lang w:val="uk-UA"/>
                    </w:rPr>
                    <w:t>100,0</w:t>
                  </w:r>
                </w:p>
              </w:tc>
              <w:tc>
                <w:tcPr>
                  <w:tcW w:w="969" w:type="dxa"/>
                  <w:tcBorders>
                    <w:top w:val="single" w:sz="4" w:space="0" w:color="auto"/>
                    <w:left w:val="nil"/>
                    <w:bottom w:val="nil"/>
                    <w:right w:val="nil"/>
                  </w:tcBorders>
                </w:tcPr>
                <w:p w:rsidR="00DA149C" w:rsidRPr="00F7290F" w:rsidRDefault="00AA729F" w:rsidP="00DE5557">
                  <w:pPr>
                    <w:keepNext/>
                    <w:widowControl w:val="0"/>
                    <w:jc w:val="center"/>
                    <w:rPr>
                      <w:b/>
                      <w:i/>
                      <w:sz w:val="22"/>
                      <w:szCs w:val="22"/>
                      <w:lang w:val="uk-UA"/>
                    </w:rPr>
                  </w:pPr>
                  <w:r w:rsidRPr="00F7290F">
                    <w:rPr>
                      <w:b/>
                      <w:i/>
                      <w:sz w:val="22"/>
                      <w:szCs w:val="22"/>
                      <w:lang w:val="uk-UA"/>
                    </w:rPr>
                    <w:t>100,0</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 xml:space="preserve">Металургія </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42,1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35,1</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Вугільна промисловість</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10,8</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13,2</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Виробництво та розподіл електроенергії</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11,0</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13,1</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 xml:space="preserve">Машинобудування </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10,2</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11,2</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Виробництво коксу та продуктів нафтоперероблення</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8,4</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6,8</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ind w:right="-108"/>
                    <w:rPr>
                      <w:sz w:val="22"/>
                      <w:szCs w:val="22"/>
                      <w:lang w:val="uk-UA"/>
                    </w:rPr>
                  </w:pPr>
                  <w:r w:rsidRPr="00F7290F">
                    <w:rPr>
                      <w:sz w:val="22"/>
                      <w:szCs w:val="22"/>
                      <w:lang w:val="uk-UA"/>
                    </w:rPr>
                    <w:t xml:space="preserve">Харчова промисловість </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5,1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6,6</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Хімічна і нафтохімічна промисловість</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4,1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5,2</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ind w:right="-108"/>
                    <w:rPr>
                      <w:sz w:val="22"/>
                      <w:szCs w:val="22"/>
                      <w:lang w:val="uk-UA"/>
                    </w:rPr>
                  </w:pPr>
                  <w:r w:rsidRPr="00F7290F">
                    <w:rPr>
                      <w:sz w:val="22"/>
                      <w:szCs w:val="22"/>
                      <w:lang w:val="uk-UA"/>
                    </w:rPr>
                    <w:t>Видобування корисних копалин, крім паливно-енергетичних</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3,2</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3,0</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Виробництво неметалевої мінеральної продукції (будматеріалів, скла)</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1,9</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2,0</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ind w:right="-108"/>
                    <w:rPr>
                      <w:sz w:val="22"/>
                      <w:szCs w:val="22"/>
                      <w:lang w:val="uk-UA"/>
                    </w:rPr>
                  </w:pPr>
                  <w:r w:rsidRPr="00F7290F">
                    <w:rPr>
                      <w:sz w:val="22"/>
                      <w:szCs w:val="22"/>
                      <w:lang w:val="uk-UA"/>
                    </w:rPr>
                    <w:t>Легка промисловість</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0,1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0,2</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ind w:right="-108"/>
                    <w:rPr>
                      <w:sz w:val="22"/>
                      <w:szCs w:val="22"/>
                      <w:lang w:val="uk-UA"/>
                    </w:rPr>
                  </w:pPr>
                  <w:r w:rsidRPr="00F7290F">
                    <w:rPr>
                      <w:sz w:val="22"/>
                      <w:szCs w:val="22"/>
                      <w:lang w:val="uk-UA"/>
                    </w:rPr>
                    <w:t>Інші</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3,1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3,6</w:t>
                  </w:r>
                </w:p>
              </w:tc>
            </w:tr>
          </w:tbl>
          <w:p w:rsidR="001F5241" w:rsidRPr="00F7290F" w:rsidRDefault="001F5241" w:rsidP="00D65D2E">
            <w:pPr>
              <w:keepNext/>
              <w:widowControl w:val="0"/>
              <w:jc w:val="center"/>
              <w:rPr>
                <w:b/>
                <w:color w:val="FF0000"/>
                <w:lang w:val="uk-UA"/>
              </w:rPr>
            </w:pPr>
          </w:p>
        </w:tc>
        <w:tc>
          <w:tcPr>
            <w:tcW w:w="3558" w:type="dxa"/>
            <w:gridSpan w:val="2"/>
          </w:tcPr>
          <w:p w:rsidR="001F5241" w:rsidRPr="00F7290F" w:rsidRDefault="001F5241" w:rsidP="00D65D2E">
            <w:pPr>
              <w:keepNext/>
              <w:widowControl w:val="0"/>
              <w:spacing w:after="120"/>
              <w:ind w:firstLine="284"/>
              <w:jc w:val="both"/>
              <w:rPr>
                <w:color w:val="FF0000"/>
                <w:lang w:val="uk-UA"/>
              </w:rPr>
            </w:pPr>
          </w:p>
          <w:p w:rsidR="001F5241" w:rsidRPr="00F7290F" w:rsidRDefault="001F5241" w:rsidP="00D65D2E">
            <w:pPr>
              <w:keepNext/>
              <w:widowControl w:val="0"/>
              <w:spacing w:after="120"/>
              <w:ind w:firstLine="284"/>
              <w:jc w:val="both"/>
              <w:rPr>
                <w:color w:val="FF0000"/>
                <w:lang w:val="uk-UA"/>
              </w:rPr>
            </w:pPr>
          </w:p>
          <w:p w:rsidR="00DA149C" w:rsidRPr="00F7290F" w:rsidRDefault="00DA149C" w:rsidP="00DA149C">
            <w:pPr>
              <w:keepNext/>
              <w:widowControl w:val="0"/>
              <w:spacing w:after="120"/>
              <w:ind w:firstLine="284"/>
              <w:jc w:val="both"/>
              <w:rPr>
                <w:lang w:val="uk-UA"/>
              </w:rPr>
            </w:pPr>
            <w:r w:rsidRPr="00F7290F">
              <w:rPr>
                <w:lang w:val="uk-UA"/>
              </w:rPr>
              <w:t>У структурі промисловості збільшилась частка вугільної промисловості та галузей, спрямованих на продукцію кінцевого виробництва: машинобудування, харчової і хімічної промисловості, електроенергетики.</w:t>
            </w:r>
          </w:p>
          <w:p w:rsidR="00DA149C" w:rsidRPr="00F7290F" w:rsidRDefault="00DA149C" w:rsidP="00DA149C">
            <w:pPr>
              <w:keepNext/>
              <w:widowControl w:val="0"/>
              <w:spacing w:after="120"/>
              <w:ind w:firstLine="284"/>
              <w:jc w:val="both"/>
              <w:rPr>
                <w:lang w:val="uk-UA"/>
              </w:rPr>
            </w:pPr>
            <w:r w:rsidRPr="00F7290F">
              <w:rPr>
                <w:lang w:val="uk-UA"/>
              </w:rPr>
              <w:t xml:space="preserve">Проте, значно зменшилась частка металургійної галузі та виробництва коксу. </w:t>
            </w:r>
          </w:p>
          <w:p w:rsidR="001F5241" w:rsidRPr="00F7290F" w:rsidRDefault="001F5241" w:rsidP="00D65D2E">
            <w:pPr>
              <w:keepNext/>
              <w:widowControl w:val="0"/>
              <w:spacing w:after="60"/>
              <w:ind w:firstLine="284"/>
              <w:jc w:val="both"/>
              <w:rPr>
                <w:color w:val="FF0000"/>
                <w:lang w:val="uk-UA"/>
              </w:rPr>
            </w:pP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1F5241" w:rsidRPr="00F7290F" w:rsidRDefault="001F5241" w:rsidP="00D65D2E">
            <w:pPr>
              <w:keepNext/>
              <w:widowControl w:val="0"/>
              <w:jc w:val="center"/>
              <w:rPr>
                <w:b/>
                <w:color w:val="FF0000"/>
                <w:lang w:val="uk-UA"/>
              </w:rPr>
            </w:pPr>
          </w:p>
          <w:p w:rsidR="001F5241" w:rsidRPr="00F7290F" w:rsidRDefault="001F5241" w:rsidP="00D65D2E">
            <w:pPr>
              <w:keepNext/>
              <w:widowControl w:val="0"/>
              <w:jc w:val="center"/>
              <w:rPr>
                <w:b/>
                <w:color w:val="000000" w:themeColor="text1"/>
                <w:lang w:val="uk-UA"/>
              </w:rPr>
            </w:pPr>
            <w:r w:rsidRPr="00F7290F">
              <w:rPr>
                <w:b/>
                <w:color w:val="000000" w:themeColor="text1"/>
                <w:lang w:val="uk-UA"/>
              </w:rPr>
              <w:t>Середньодобове виробництво чавуну, тис.т</w:t>
            </w:r>
          </w:p>
          <w:p w:rsidR="001F5241" w:rsidRPr="00F7290F" w:rsidRDefault="001F5241" w:rsidP="00D65D2E">
            <w:pPr>
              <w:keepNext/>
              <w:widowControl w:val="0"/>
              <w:jc w:val="center"/>
              <w:rPr>
                <w:b/>
                <w:color w:val="FF0000"/>
                <w:lang w:val="uk-UA"/>
              </w:rPr>
            </w:pPr>
          </w:p>
        </w:tc>
        <w:tc>
          <w:tcPr>
            <w:tcW w:w="3558" w:type="dxa"/>
            <w:gridSpan w:val="2"/>
          </w:tcPr>
          <w:p w:rsidR="001F5241" w:rsidRPr="00F7290F" w:rsidRDefault="001F5241" w:rsidP="00D65D2E">
            <w:pPr>
              <w:keepNext/>
              <w:widowControl w:val="0"/>
              <w:spacing w:after="60"/>
              <w:ind w:firstLine="284"/>
              <w:jc w:val="both"/>
              <w:rPr>
                <w:color w:val="FF0000"/>
                <w:lang w:val="uk-UA"/>
              </w:rPr>
            </w:pPr>
          </w:p>
        </w:tc>
      </w:tr>
      <w:tr w:rsidR="00C025B7"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2"/>
        </w:trPr>
        <w:tc>
          <w:tcPr>
            <w:tcW w:w="6120" w:type="dxa"/>
          </w:tcPr>
          <w:p w:rsidR="00C025B7" w:rsidRPr="00F7290F" w:rsidRDefault="00C025B7" w:rsidP="00D65D2E">
            <w:pPr>
              <w:keepNext/>
              <w:widowControl w:val="0"/>
              <w:ind w:left="-397"/>
              <w:jc w:val="center"/>
              <w:rPr>
                <w:b/>
                <w:noProof/>
                <w:color w:val="FF0000"/>
                <w:lang w:val="uk-UA"/>
              </w:rPr>
            </w:pPr>
            <w:r w:rsidRPr="00F7290F">
              <w:rPr>
                <w:b/>
                <w:noProof/>
                <w:color w:val="FF0000"/>
              </w:rPr>
              <w:drawing>
                <wp:inline distT="0" distB="0" distL="0" distR="0">
                  <wp:extent cx="3749040" cy="17145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3558" w:type="dxa"/>
            <w:gridSpan w:val="2"/>
          </w:tcPr>
          <w:p w:rsidR="001D48A9" w:rsidRPr="00F7290F" w:rsidRDefault="001D48A9" w:rsidP="00D65D2E">
            <w:pPr>
              <w:keepNext/>
              <w:widowControl w:val="0"/>
              <w:spacing w:after="60"/>
              <w:ind w:firstLine="284"/>
              <w:jc w:val="both"/>
              <w:rPr>
                <w:color w:val="FF0000"/>
                <w:lang w:val="uk-UA"/>
              </w:rPr>
            </w:pPr>
          </w:p>
          <w:p w:rsidR="001D48A9" w:rsidRPr="00F7290F" w:rsidRDefault="001D48A9" w:rsidP="00D65D2E">
            <w:pPr>
              <w:keepNext/>
              <w:widowControl w:val="0"/>
              <w:spacing w:after="60"/>
              <w:ind w:firstLine="284"/>
              <w:jc w:val="both"/>
              <w:rPr>
                <w:color w:val="FF0000"/>
                <w:lang w:val="uk-UA"/>
              </w:rPr>
            </w:pPr>
          </w:p>
          <w:p w:rsidR="00C025B7" w:rsidRPr="00F7290F" w:rsidRDefault="00095A24" w:rsidP="00D65D2E">
            <w:pPr>
              <w:keepNext/>
              <w:widowControl w:val="0"/>
              <w:spacing w:after="60"/>
              <w:ind w:firstLine="284"/>
              <w:jc w:val="both"/>
              <w:rPr>
                <w:color w:val="FF0000"/>
                <w:lang w:val="uk-UA"/>
              </w:rPr>
            </w:pPr>
            <w:r w:rsidRPr="00F7290F">
              <w:rPr>
                <w:lang w:val="uk-UA"/>
              </w:rPr>
              <w:t>Середньодобове виробництво чавуну до рівня 2011 року зменшилося на 9,7% і склало       33,6 тис.т.</w:t>
            </w: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Динаміка середніх експортних </w:t>
            </w:r>
          </w:p>
          <w:p w:rsidR="001F5241" w:rsidRPr="00F7290F" w:rsidRDefault="001F5241" w:rsidP="00D65D2E">
            <w:pPr>
              <w:keepNext/>
              <w:widowControl w:val="0"/>
              <w:jc w:val="center"/>
              <w:rPr>
                <w:b/>
                <w:color w:val="FF0000"/>
                <w:lang w:val="uk-UA"/>
              </w:rPr>
            </w:pPr>
            <w:r w:rsidRPr="00F7290F">
              <w:rPr>
                <w:b/>
                <w:color w:val="000000" w:themeColor="text1"/>
                <w:lang w:val="uk-UA"/>
              </w:rPr>
              <w:t>цін на чорні метали, дол.США/т</w:t>
            </w:r>
          </w:p>
        </w:tc>
        <w:tc>
          <w:tcPr>
            <w:tcW w:w="3558" w:type="dxa"/>
            <w:gridSpan w:val="2"/>
            <w:vMerge w:val="restart"/>
          </w:tcPr>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spacing w:after="60"/>
              <w:ind w:firstLine="284"/>
              <w:jc w:val="both"/>
              <w:rPr>
                <w:color w:val="FF0000"/>
                <w:lang w:val="uk-UA"/>
              </w:rPr>
            </w:pPr>
          </w:p>
          <w:p w:rsidR="00095A24" w:rsidRPr="00F7290F" w:rsidRDefault="00095A24" w:rsidP="00095A24">
            <w:pPr>
              <w:keepNext/>
              <w:widowControl w:val="0"/>
              <w:spacing w:after="60"/>
              <w:ind w:firstLine="284"/>
              <w:jc w:val="both"/>
              <w:rPr>
                <w:lang w:val="uk-UA"/>
              </w:rPr>
            </w:pPr>
            <w:r w:rsidRPr="00F7290F">
              <w:rPr>
                <w:lang w:val="uk-UA"/>
              </w:rPr>
              <w:t xml:space="preserve">Середня експортна ціна на чорні метали зменшилася на 11,1%. </w:t>
            </w:r>
          </w:p>
          <w:p w:rsidR="00095A24" w:rsidRPr="00F7290F" w:rsidRDefault="00095A24" w:rsidP="00095A24">
            <w:pPr>
              <w:keepNext/>
              <w:widowControl w:val="0"/>
              <w:spacing w:after="60"/>
              <w:ind w:firstLine="284"/>
              <w:jc w:val="both"/>
              <w:rPr>
                <w:lang w:val="uk-UA"/>
              </w:rPr>
            </w:pPr>
            <w:r w:rsidRPr="00F7290F">
              <w:rPr>
                <w:lang w:val="uk-UA"/>
              </w:rPr>
              <w:t>В структурі експорту чорних металів найбільшу питому вагу склали напівфабрикати з вуглецевої сталі – 50%.</w:t>
            </w:r>
          </w:p>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spacing w:after="60"/>
              <w:ind w:firstLine="284"/>
              <w:jc w:val="both"/>
              <w:rPr>
                <w:color w:val="FF0000"/>
                <w:lang w:val="uk-UA"/>
              </w:rPr>
            </w:pP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tcPr>
          <w:p w:rsidR="001F5241" w:rsidRPr="00F7290F" w:rsidRDefault="001F5241" w:rsidP="00D65D2E">
            <w:pPr>
              <w:keepNext/>
              <w:widowControl w:val="0"/>
              <w:jc w:val="center"/>
              <w:rPr>
                <w:color w:val="FF0000"/>
                <w:lang w:val="uk-UA"/>
              </w:rPr>
            </w:pPr>
            <w:r w:rsidRPr="00F7290F">
              <w:rPr>
                <w:noProof/>
                <w:color w:val="FF0000"/>
              </w:rPr>
              <w:drawing>
                <wp:inline distT="0" distB="0" distL="0" distR="0">
                  <wp:extent cx="3838575" cy="2305050"/>
                  <wp:effectExtent l="0" t="0" r="0" b="0"/>
                  <wp:docPr id="48"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3558" w:type="dxa"/>
            <w:gridSpan w:val="2"/>
            <w:vMerge/>
            <w:vAlign w:val="center"/>
          </w:tcPr>
          <w:p w:rsidR="001F5241" w:rsidRPr="00F7290F" w:rsidRDefault="001F5241" w:rsidP="00D65D2E">
            <w:pPr>
              <w:keepNext/>
              <w:widowControl w:val="0"/>
              <w:rPr>
                <w:color w:val="FF0000"/>
                <w:lang w:val="uk-UA"/>
              </w:rPr>
            </w:pPr>
          </w:p>
        </w:tc>
      </w:tr>
    </w:tbl>
    <w:p w:rsidR="00E224CB" w:rsidRPr="00F7290F" w:rsidRDefault="00E224CB" w:rsidP="00D65D2E">
      <w:pPr>
        <w:keepNext/>
        <w:widowControl w:val="0"/>
        <w:rPr>
          <w:color w:val="FF0000"/>
          <w:lang w:val="uk-UA"/>
        </w:rPr>
      </w:pPr>
      <w:r w:rsidRPr="00F7290F">
        <w:rPr>
          <w:color w:val="FF0000"/>
          <w:lang w:val="uk-UA"/>
        </w:rPr>
        <w:br w:type="page"/>
      </w:r>
    </w:p>
    <w:tbl>
      <w:tblPr>
        <w:tblW w:w="9678" w:type="dxa"/>
        <w:tblInd w:w="-72" w:type="dxa"/>
        <w:tblLayout w:type="fixed"/>
        <w:tblLook w:val="01E0"/>
      </w:tblPr>
      <w:tblGrid>
        <w:gridCol w:w="6120"/>
        <w:gridCol w:w="3558"/>
      </w:tblGrid>
      <w:tr w:rsidR="00F7734E" w:rsidRPr="00F7290F" w:rsidTr="00BA6341">
        <w:trPr>
          <w:trHeight w:val="366"/>
        </w:trPr>
        <w:tc>
          <w:tcPr>
            <w:tcW w:w="6120" w:type="dxa"/>
            <w:vAlign w:val="center"/>
          </w:tcPr>
          <w:p w:rsidR="00F7734E" w:rsidRPr="00F7290F" w:rsidRDefault="00F7734E" w:rsidP="00D65D2E">
            <w:pPr>
              <w:keepNext/>
              <w:widowControl w:val="0"/>
              <w:tabs>
                <w:tab w:val="left" w:pos="5472"/>
              </w:tabs>
              <w:jc w:val="center"/>
              <w:rPr>
                <w:b/>
                <w:color w:val="000000" w:themeColor="text1"/>
                <w:lang w:val="uk-UA"/>
              </w:rPr>
            </w:pPr>
            <w:r w:rsidRPr="00F7290F">
              <w:rPr>
                <w:color w:val="FF0000"/>
                <w:lang w:val="uk-UA"/>
              </w:rPr>
              <w:lastRenderedPageBreak/>
              <w:br w:type="page"/>
            </w:r>
            <w:r w:rsidRPr="00F7290F">
              <w:rPr>
                <w:color w:val="FF0000"/>
                <w:lang w:val="uk-UA"/>
              </w:rPr>
              <w:br w:type="page"/>
            </w:r>
            <w:r w:rsidRPr="00F7290F">
              <w:rPr>
                <w:b/>
                <w:color w:val="000000" w:themeColor="text1"/>
                <w:lang w:val="uk-UA"/>
              </w:rPr>
              <w:t xml:space="preserve">Темпи зростання (зниження) валової продукції </w:t>
            </w:r>
          </w:p>
          <w:p w:rsidR="00F7734E" w:rsidRPr="00F7290F" w:rsidRDefault="00F7734E" w:rsidP="00D65D2E">
            <w:pPr>
              <w:keepNext/>
              <w:widowControl w:val="0"/>
              <w:tabs>
                <w:tab w:val="left" w:pos="5472"/>
              </w:tabs>
              <w:jc w:val="center"/>
              <w:rPr>
                <w:b/>
                <w:color w:val="000000" w:themeColor="text1"/>
                <w:lang w:val="uk-UA"/>
              </w:rPr>
            </w:pPr>
            <w:r w:rsidRPr="00F7290F">
              <w:rPr>
                <w:b/>
                <w:color w:val="000000" w:themeColor="text1"/>
                <w:lang w:val="uk-UA"/>
              </w:rPr>
              <w:t xml:space="preserve">сільського господарства в усіх категоріях </w:t>
            </w:r>
          </w:p>
          <w:p w:rsidR="00F7734E" w:rsidRPr="00F7290F" w:rsidRDefault="00F7734E" w:rsidP="00D65D2E">
            <w:pPr>
              <w:keepNext/>
              <w:widowControl w:val="0"/>
              <w:jc w:val="center"/>
              <w:rPr>
                <w:b/>
                <w:color w:val="FF0000"/>
                <w:lang w:val="uk-UA"/>
              </w:rPr>
            </w:pPr>
            <w:r w:rsidRPr="00F7290F">
              <w:rPr>
                <w:b/>
                <w:color w:val="000000" w:themeColor="text1"/>
                <w:lang w:val="uk-UA"/>
              </w:rPr>
              <w:t>господарств у % до попереднього року</w:t>
            </w:r>
          </w:p>
        </w:tc>
        <w:tc>
          <w:tcPr>
            <w:tcW w:w="3558" w:type="dxa"/>
            <w:vMerge w:val="restart"/>
          </w:tcPr>
          <w:p w:rsidR="008A5696" w:rsidRPr="00F7290F" w:rsidRDefault="008A5696" w:rsidP="008A5696">
            <w:pPr>
              <w:keepNext/>
              <w:widowControl w:val="0"/>
              <w:spacing w:after="120"/>
              <w:ind w:firstLine="252"/>
              <w:jc w:val="both"/>
              <w:rPr>
                <w:lang w:val="uk-UA"/>
              </w:rPr>
            </w:pPr>
            <w:r w:rsidRPr="00F7290F">
              <w:rPr>
                <w:lang w:val="uk-UA"/>
              </w:rPr>
              <w:t>Валовий збір зернових і зернобобових культур за попередніми даними склав 1642,6 тис.т (71,9% до рівня                 2011 року), врожайність – 21,9 ц/га (у 2011 році – 29,5 ц/га).</w:t>
            </w:r>
          </w:p>
          <w:p w:rsidR="008A5696" w:rsidRPr="00F7290F" w:rsidRDefault="008A5696" w:rsidP="008A5696">
            <w:pPr>
              <w:keepNext/>
              <w:widowControl w:val="0"/>
              <w:spacing w:after="60"/>
              <w:ind w:firstLine="284"/>
              <w:jc w:val="both"/>
              <w:rPr>
                <w:lang w:val="uk-UA"/>
              </w:rPr>
            </w:pPr>
            <w:r w:rsidRPr="00F7290F">
              <w:rPr>
                <w:lang w:val="uk-UA"/>
              </w:rPr>
              <w:t xml:space="preserve">Зібрано: картоплі – 750,5 тис.т (102,3%), врожайність – </w:t>
            </w:r>
            <w:r w:rsidR="002B325C">
              <w:rPr>
                <w:lang w:val="uk-UA"/>
              </w:rPr>
              <w:t>1</w:t>
            </w:r>
            <w:r w:rsidRPr="00F7290F">
              <w:rPr>
                <w:lang w:val="uk-UA"/>
              </w:rPr>
              <w:t>23,</w:t>
            </w:r>
            <w:r w:rsidR="002B325C">
              <w:rPr>
                <w:lang w:val="uk-UA"/>
              </w:rPr>
              <w:t>3</w:t>
            </w:r>
            <w:r w:rsidRPr="00F7290F">
              <w:rPr>
                <w:lang w:val="uk-UA"/>
              </w:rPr>
              <w:t> ц/га (120,8 ц/га), овочів – 511,9  тис.т (97%), врожайність – 180,8 ц/га (182,2 ц/га).</w:t>
            </w:r>
          </w:p>
          <w:p w:rsidR="008A5696" w:rsidRPr="00F7290F" w:rsidRDefault="008A5696" w:rsidP="008A5696">
            <w:pPr>
              <w:keepNext/>
              <w:widowControl w:val="0"/>
              <w:spacing w:after="60"/>
              <w:ind w:firstLine="284"/>
              <w:jc w:val="both"/>
              <w:rPr>
                <w:lang w:val="uk-UA"/>
              </w:rPr>
            </w:pPr>
            <w:r w:rsidRPr="00F7290F">
              <w:rPr>
                <w:lang w:val="uk-UA"/>
              </w:rPr>
              <w:t>Під врожай 2013 року по</w:t>
            </w:r>
            <w:r w:rsidR="00BA6341">
              <w:rPr>
                <w:lang w:val="uk-UA"/>
              </w:rPr>
              <w:t xml:space="preserve">сіяно озимих культур на площі  </w:t>
            </w:r>
            <w:r w:rsidRPr="00F7290F">
              <w:rPr>
                <w:lang w:val="uk-UA"/>
              </w:rPr>
              <w:t>487,5  тис.га.</w:t>
            </w:r>
          </w:p>
          <w:p w:rsidR="008A5696" w:rsidRPr="00F7290F" w:rsidRDefault="008A5696" w:rsidP="008A5696">
            <w:pPr>
              <w:keepNext/>
              <w:widowControl w:val="0"/>
              <w:spacing w:after="120"/>
              <w:ind w:firstLine="306"/>
              <w:jc w:val="both"/>
              <w:rPr>
                <w:lang w:val="uk-UA"/>
              </w:rPr>
            </w:pPr>
            <w:r w:rsidRPr="00F7290F">
              <w:rPr>
                <w:lang w:val="uk-UA"/>
              </w:rPr>
              <w:t>Соняшника зібрано на площі   454 тис.га, валовий збір проти рівня 2011 року зменшився на 4,6%, урожайність – на 9,4%.</w:t>
            </w:r>
          </w:p>
          <w:p w:rsidR="00F7734E" w:rsidRPr="00F7290F" w:rsidRDefault="008A5696" w:rsidP="008A5696">
            <w:pPr>
              <w:keepNext/>
              <w:widowControl w:val="0"/>
              <w:spacing w:after="120"/>
              <w:ind w:firstLine="306"/>
              <w:jc w:val="both"/>
              <w:rPr>
                <w:color w:val="FF0000"/>
                <w:lang w:val="uk-UA"/>
              </w:rPr>
            </w:pPr>
            <w:r w:rsidRPr="00F7290F">
              <w:rPr>
                <w:lang w:val="uk-UA"/>
              </w:rPr>
              <w:t>Питома вага соняшника в структурі посівних площ під врожай 2012 року склала 30,2%</w:t>
            </w:r>
            <w:r w:rsidRPr="00F7290F">
              <w:rPr>
                <w:bCs/>
                <w:iCs/>
                <w:lang w:val="uk-UA"/>
              </w:rPr>
              <w:t xml:space="preserve"> (у 2011 році – 30,4%).</w:t>
            </w:r>
          </w:p>
        </w:tc>
      </w:tr>
      <w:tr w:rsidR="00F7734E" w:rsidRPr="00F7290F" w:rsidTr="00BA6341">
        <w:trPr>
          <w:trHeight w:val="1721"/>
        </w:trPr>
        <w:tc>
          <w:tcPr>
            <w:tcW w:w="6120" w:type="dxa"/>
            <w:vAlign w:val="center"/>
          </w:tcPr>
          <w:p w:rsidR="00F7734E" w:rsidRPr="00F7290F" w:rsidRDefault="00F7734E" w:rsidP="00D65D2E">
            <w:pPr>
              <w:keepNext/>
              <w:widowControl w:val="0"/>
              <w:jc w:val="center"/>
              <w:rPr>
                <w:b/>
                <w:color w:val="FF0000"/>
                <w:lang w:val="uk-UA"/>
              </w:rPr>
            </w:pPr>
            <w:r w:rsidRPr="00F7290F">
              <w:rPr>
                <w:b/>
                <w:noProof/>
                <w:color w:val="FF0000"/>
              </w:rPr>
              <w:drawing>
                <wp:inline distT="0" distB="0" distL="0" distR="0">
                  <wp:extent cx="3593804" cy="1031358"/>
                  <wp:effectExtent l="0" t="0" r="0" b="0"/>
                  <wp:docPr id="2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7734E" w:rsidRPr="00F7290F" w:rsidRDefault="00F7734E" w:rsidP="00D65D2E">
            <w:pPr>
              <w:keepNext/>
              <w:widowControl w:val="0"/>
              <w:rPr>
                <w:color w:val="FF0000"/>
                <w:sz w:val="2"/>
                <w:szCs w:val="2"/>
                <w:lang w:val="uk-UA"/>
              </w:rPr>
            </w:pPr>
          </w:p>
        </w:tc>
        <w:tc>
          <w:tcPr>
            <w:tcW w:w="3558" w:type="dxa"/>
            <w:vMerge/>
            <w:vAlign w:val="center"/>
          </w:tcPr>
          <w:p w:rsidR="00F7734E" w:rsidRPr="00F7290F" w:rsidRDefault="00F7734E" w:rsidP="00D65D2E">
            <w:pPr>
              <w:keepNext/>
              <w:widowControl w:val="0"/>
              <w:spacing w:after="120"/>
              <w:ind w:firstLine="252"/>
              <w:jc w:val="both"/>
              <w:rPr>
                <w:color w:val="FF0000"/>
                <w:lang w:val="uk-UA"/>
              </w:rPr>
            </w:pPr>
          </w:p>
        </w:tc>
      </w:tr>
      <w:tr w:rsidR="00F7734E" w:rsidRPr="00F7290F" w:rsidTr="00BA6341">
        <w:trPr>
          <w:trHeight w:val="276"/>
        </w:trPr>
        <w:tc>
          <w:tcPr>
            <w:tcW w:w="6120" w:type="dxa"/>
            <w:vAlign w:val="center"/>
          </w:tcPr>
          <w:p w:rsidR="00F7734E" w:rsidRPr="00F7290F" w:rsidRDefault="00F7734E" w:rsidP="00D65D2E">
            <w:pPr>
              <w:keepNext/>
              <w:widowControl w:val="0"/>
              <w:jc w:val="center"/>
              <w:rPr>
                <w:b/>
                <w:lang w:val="uk-UA"/>
              </w:rPr>
            </w:pPr>
            <w:r w:rsidRPr="00F7290F">
              <w:rPr>
                <w:b/>
                <w:lang w:val="uk-UA"/>
              </w:rPr>
              <w:t>Динаміка виробництва соняшника</w:t>
            </w:r>
          </w:p>
        </w:tc>
        <w:tc>
          <w:tcPr>
            <w:tcW w:w="3558" w:type="dxa"/>
            <w:vMerge/>
          </w:tcPr>
          <w:p w:rsidR="00F7734E" w:rsidRPr="00F7290F" w:rsidRDefault="00F7734E" w:rsidP="00D65D2E">
            <w:pPr>
              <w:keepNext/>
              <w:widowControl w:val="0"/>
              <w:spacing w:after="120"/>
              <w:ind w:firstLine="252"/>
              <w:jc w:val="both"/>
              <w:rPr>
                <w:color w:val="FF0000"/>
                <w:lang w:val="uk-UA"/>
              </w:rPr>
            </w:pPr>
          </w:p>
        </w:tc>
      </w:tr>
      <w:tr w:rsidR="00F7734E" w:rsidRPr="00F7290F" w:rsidTr="00BA6341">
        <w:trPr>
          <w:trHeight w:val="276"/>
        </w:trPr>
        <w:tc>
          <w:tcPr>
            <w:tcW w:w="6120" w:type="dxa"/>
            <w:vAlign w:val="center"/>
          </w:tcPr>
          <w:p w:rsidR="00F7734E" w:rsidRPr="00F7290F" w:rsidRDefault="00EC69D1" w:rsidP="00D65D2E">
            <w:pPr>
              <w:keepNext/>
              <w:widowControl w:val="0"/>
              <w:jc w:val="center"/>
              <w:rPr>
                <w:b/>
                <w:color w:val="FF0000"/>
                <w:lang w:val="uk-UA"/>
              </w:rPr>
            </w:pPr>
            <w:r w:rsidRPr="00F7290F">
              <w:rPr>
                <w:b/>
                <w:color w:val="FF0000"/>
                <w:lang w:val="uk-UA"/>
              </w:rPr>
              <w:t xml:space="preserve"> </w:t>
            </w:r>
            <w:r w:rsidR="00F7734E" w:rsidRPr="00F7290F">
              <w:rPr>
                <w:noProof/>
                <w:color w:val="FF0000"/>
              </w:rPr>
              <w:drawing>
                <wp:inline distT="0" distB="0" distL="0" distR="0">
                  <wp:extent cx="3781425" cy="1714500"/>
                  <wp:effectExtent l="0" t="0" r="0" b="0"/>
                  <wp:docPr id="2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3558" w:type="dxa"/>
            <w:vMerge/>
          </w:tcPr>
          <w:p w:rsidR="00F7734E" w:rsidRPr="00F7290F" w:rsidRDefault="00F7734E" w:rsidP="00D65D2E">
            <w:pPr>
              <w:keepNext/>
              <w:widowControl w:val="0"/>
              <w:spacing w:after="120"/>
              <w:ind w:firstLine="252"/>
              <w:jc w:val="both"/>
              <w:rPr>
                <w:color w:val="FF0000"/>
                <w:lang w:val="uk-UA"/>
              </w:rPr>
            </w:pPr>
          </w:p>
        </w:tc>
      </w:tr>
      <w:tr w:rsidR="00F7734E" w:rsidRPr="00F7290F" w:rsidTr="00BA6341">
        <w:trPr>
          <w:trHeight w:val="357"/>
        </w:trPr>
        <w:tc>
          <w:tcPr>
            <w:tcW w:w="6120" w:type="dxa"/>
          </w:tcPr>
          <w:p w:rsidR="00F7734E" w:rsidRPr="00F7290F" w:rsidRDefault="00F7734E" w:rsidP="00D65D2E">
            <w:pPr>
              <w:keepNext/>
              <w:widowControl w:val="0"/>
              <w:tabs>
                <w:tab w:val="left" w:pos="5472"/>
              </w:tabs>
              <w:jc w:val="center"/>
              <w:rPr>
                <w:noProof/>
                <w:lang w:val="uk-UA"/>
              </w:rPr>
            </w:pPr>
            <w:r w:rsidRPr="00F7290F">
              <w:rPr>
                <w:b/>
                <w:lang w:val="uk-UA"/>
              </w:rPr>
              <w:t>Динаміка виробництва продукції тваринництва</w:t>
            </w:r>
          </w:p>
        </w:tc>
        <w:tc>
          <w:tcPr>
            <w:tcW w:w="3558" w:type="dxa"/>
            <w:vMerge/>
          </w:tcPr>
          <w:p w:rsidR="00F7734E" w:rsidRPr="00F7290F" w:rsidRDefault="00F7734E" w:rsidP="00D65D2E">
            <w:pPr>
              <w:keepNext/>
              <w:widowControl w:val="0"/>
              <w:spacing w:after="120"/>
              <w:ind w:firstLine="249"/>
              <w:jc w:val="both"/>
              <w:rPr>
                <w:color w:val="FF0000"/>
                <w:lang w:val="uk-UA"/>
              </w:rPr>
            </w:pPr>
          </w:p>
        </w:tc>
      </w:tr>
      <w:tr w:rsidR="00F7734E" w:rsidRPr="00F7290F" w:rsidTr="00BA6341">
        <w:trPr>
          <w:trHeight w:val="630"/>
        </w:trPr>
        <w:tc>
          <w:tcPr>
            <w:tcW w:w="6120" w:type="dxa"/>
            <w:vMerge w:val="restart"/>
          </w:tcPr>
          <w:p w:rsidR="00F7734E" w:rsidRPr="00F7290F" w:rsidRDefault="00F7734E" w:rsidP="00D65D2E">
            <w:pPr>
              <w:keepNext/>
              <w:widowControl w:val="0"/>
              <w:tabs>
                <w:tab w:val="left" w:pos="5472"/>
              </w:tabs>
              <w:jc w:val="center"/>
              <w:rPr>
                <w:color w:val="FF0000"/>
                <w:sz w:val="2"/>
                <w:szCs w:val="2"/>
                <w:lang w:val="uk-UA"/>
              </w:rPr>
            </w:pPr>
            <w:r w:rsidRPr="00F7290F">
              <w:rPr>
                <w:noProof/>
                <w:color w:val="FF0000"/>
              </w:rPr>
              <w:drawing>
                <wp:inline distT="0" distB="0" distL="0" distR="0">
                  <wp:extent cx="3795823" cy="1711842"/>
                  <wp:effectExtent l="0" t="0" r="0" b="0"/>
                  <wp:docPr id="26"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7734E" w:rsidRPr="00F7290F" w:rsidRDefault="00F7734E" w:rsidP="00D65D2E">
            <w:pPr>
              <w:keepNext/>
              <w:widowControl w:val="0"/>
              <w:tabs>
                <w:tab w:val="left" w:pos="5472"/>
              </w:tabs>
              <w:jc w:val="center"/>
              <w:rPr>
                <w:b/>
                <w:color w:val="FF0000"/>
                <w:lang w:val="uk-UA"/>
              </w:rPr>
            </w:pPr>
          </w:p>
        </w:tc>
        <w:tc>
          <w:tcPr>
            <w:tcW w:w="3558" w:type="dxa"/>
            <w:vMerge/>
          </w:tcPr>
          <w:p w:rsidR="00F7734E" w:rsidRPr="00F7290F" w:rsidRDefault="00F7734E" w:rsidP="00D65D2E">
            <w:pPr>
              <w:keepNext/>
              <w:widowControl w:val="0"/>
              <w:spacing w:after="120"/>
              <w:ind w:firstLine="249"/>
              <w:jc w:val="both"/>
              <w:rPr>
                <w:color w:val="FF0000"/>
                <w:lang w:val="uk-UA"/>
              </w:rPr>
            </w:pPr>
          </w:p>
        </w:tc>
      </w:tr>
      <w:tr w:rsidR="00FF58C8" w:rsidRPr="00F7290F" w:rsidTr="00BA6341">
        <w:trPr>
          <w:trHeight w:val="2168"/>
        </w:trPr>
        <w:tc>
          <w:tcPr>
            <w:tcW w:w="6120" w:type="dxa"/>
            <w:vMerge/>
          </w:tcPr>
          <w:p w:rsidR="00FF58C8" w:rsidRPr="00F7290F" w:rsidRDefault="00FF58C8" w:rsidP="00D65D2E">
            <w:pPr>
              <w:keepNext/>
              <w:widowControl w:val="0"/>
              <w:tabs>
                <w:tab w:val="left" w:pos="5472"/>
              </w:tabs>
              <w:jc w:val="center"/>
              <w:rPr>
                <w:color w:val="FF0000"/>
                <w:sz w:val="2"/>
                <w:szCs w:val="2"/>
                <w:lang w:val="uk-UA"/>
              </w:rPr>
            </w:pPr>
          </w:p>
        </w:tc>
        <w:tc>
          <w:tcPr>
            <w:tcW w:w="3558" w:type="dxa"/>
            <w:vMerge w:val="restart"/>
          </w:tcPr>
          <w:p w:rsidR="00FE253C" w:rsidRPr="00F7290F" w:rsidRDefault="00FE253C" w:rsidP="00FE253C">
            <w:pPr>
              <w:keepNext/>
              <w:widowControl w:val="0"/>
              <w:spacing w:after="120"/>
              <w:ind w:firstLine="249"/>
              <w:jc w:val="both"/>
              <w:rPr>
                <w:lang w:val="uk-UA"/>
              </w:rPr>
            </w:pPr>
            <w:r w:rsidRPr="00F7290F">
              <w:rPr>
                <w:lang w:val="uk-UA"/>
              </w:rPr>
              <w:t>Реалізація худоби та птиці на забій в живій вазі збільшилось на 4,4%, виробництво молока на 1,7%,  яєць – зменшилось на 4,6%.</w:t>
            </w:r>
          </w:p>
          <w:p w:rsidR="00FE253C" w:rsidRPr="00F7290F" w:rsidRDefault="00FE253C" w:rsidP="00FE253C">
            <w:pPr>
              <w:keepNext/>
              <w:widowControl w:val="0"/>
              <w:spacing w:after="60"/>
              <w:ind w:firstLine="284"/>
              <w:jc w:val="both"/>
              <w:rPr>
                <w:lang w:val="uk-UA"/>
              </w:rPr>
            </w:pPr>
            <w:r w:rsidRPr="00F7290F">
              <w:rPr>
                <w:lang w:val="uk-UA"/>
              </w:rPr>
              <w:t>Надій молока на одну корову, яка була в наявності на початок року, зріс на 0,6%, несучість однієї курки-несучки – зменшилась на 2%.</w:t>
            </w:r>
          </w:p>
          <w:p w:rsidR="00BA6341" w:rsidRDefault="00BA6341" w:rsidP="00FE253C">
            <w:pPr>
              <w:keepNext/>
              <w:widowControl w:val="0"/>
              <w:spacing w:after="120"/>
              <w:ind w:firstLine="284"/>
              <w:jc w:val="both"/>
              <w:rPr>
                <w:lang w:val="uk-UA"/>
              </w:rPr>
            </w:pPr>
          </w:p>
          <w:p w:rsidR="00FF58C8" w:rsidRPr="00F7290F" w:rsidRDefault="00FE253C" w:rsidP="00BA6341">
            <w:pPr>
              <w:keepNext/>
              <w:widowControl w:val="0"/>
              <w:spacing w:after="120"/>
              <w:ind w:firstLine="284"/>
              <w:jc w:val="both"/>
              <w:rPr>
                <w:color w:val="FF0000"/>
                <w:lang w:val="uk-UA"/>
              </w:rPr>
            </w:pPr>
            <w:r w:rsidRPr="00F7290F">
              <w:rPr>
                <w:lang w:val="uk-UA"/>
              </w:rPr>
              <w:t>Поголів’я великої рогатої худоби порівняно з 2011 роком скоротилось на 5,7%, в тому числі корів –  4,4%.</w:t>
            </w:r>
          </w:p>
        </w:tc>
      </w:tr>
      <w:tr w:rsidR="00FF58C8" w:rsidRPr="00F7290F" w:rsidTr="00BA6341">
        <w:trPr>
          <w:trHeight w:val="528"/>
        </w:trPr>
        <w:tc>
          <w:tcPr>
            <w:tcW w:w="6120" w:type="dxa"/>
          </w:tcPr>
          <w:p w:rsidR="00FF58C8" w:rsidRPr="00F7290F" w:rsidRDefault="00FF58C8" w:rsidP="00D65D2E">
            <w:pPr>
              <w:keepNext/>
              <w:widowControl w:val="0"/>
              <w:jc w:val="center"/>
              <w:rPr>
                <w:b/>
                <w:color w:val="000000" w:themeColor="text1"/>
                <w:lang w:val="uk-UA"/>
              </w:rPr>
            </w:pPr>
            <w:r w:rsidRPr="00F7290F">
              <w:rPr>
                <w:b/>
                <w:color w:val="000000" w:themeColor="text1"/>
                <w:lang w:val="uk-UA"/>
              </w:rPr>
              <w:t>Динаміка поголів'я великої рогатої худоби</w:t>
            </w:r>
          </w:p>
          <w:p w:rsidR="00FF58C8" w:rsidRPr="00F7290F" w:rsidRDefault="00FF58C8" w:rsidP="00D65D2E">
            <w:pPr>
              <w:keepNext/>
              <w:widowControl w:val="0"/>
              <w:jc w:val="center"/>
              <w:rPr>
                <w:color w:val="FF0000"/>
                <w:lang w:val="uk-UA"/>
              </w:rPr>
            </w:pPr>
            <w:r w:rsidRPr="00F7290F">
              <w:rPr>
                <w:b/>
                <w:color w:val="000000" w:themeColor="text1"/>
                <w:lang w:val="uk-UA"/>
              </w:rPr>
              <w:t xml:space="preserve"> (на кінець періоду), тис.голів</w:t>
            </w:r>
          </w:p>
        </w:tc>
        <w:tc>
          <w:tcPr>
            <w:tcW w:w="3558" w:type="dxa"/>
            <w:vMerge/>
          </w:tcPr>
          <w:p w:rsidR="00FF58C8" w:rsidRPr="00F7290F" w:rsidRDefault="00FF58C8" w:rsidP="00D65D2E">
            <w:pPr>
              <w:keepNext/>
              <w:widowControl w:val="0"/>
              <w:spacing w:after="120"/>
              <w:ind w:firstLine="284"/>
              <w:jc w:val="both"/>
              <w:rPr>
                <w:color w:val="FF0000"/>
                <w:lang w:val="uk-UA"/>
              </w:rPr>
            </w:pPr>
          </w:p>
        </w:tc>
      </w:tr>
      <w:tr w:rsidR="00FF58C8" w:rsidRPr="00F7290F" w:rsidTr="00BA6341">
        <w:trPr>
          <w:trHeight w:val="2240"/>
        </w:trPr>
        <w:tc>
          <w:tcPr>
            <w:tcW w:w="6120" w:type="dxa"/>
          </w:tcPr>
          <w:p w:rsidR="00FF58C8" w:rsidRPr="00F7290F" w:rsidRDefault="00FF58C8" w:rsidP="00D65D2E">
            <w:pPr>
              <w:keepNext/>
              <w:widowControl w:val="0"/>
              <w:spacing w:before="100" w:beforeAutospacing="1"/>
              <w:jc w:val="center"/>
              <w:rPr>
                <w:color w:val="FF0000"/>
                <w:lang w:val="uk-UA"/>
              </w:rPr>
            </w:pPr>
            <w:r w:rsidRPr="00F7290F">
              <w:rPr>
                <w:noProof/>
                <w:color w:val="FF0000"/>
              </w:rPr>
              <w:drawing>
                <wp:inline distT="0" distB="0" distL="0" distR="0">
                  <wp:extent cx="3657600" cy="1343025"/>
                  <wp:effectExtent l="0" t="0" r="0" b="0"/>
                  <wp:docPr id="39"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3558" w:type="dxa"/>
            <w:vMerge/>
          </w:tcPr>
          <w:p w:rsidR="00FF58C8" w:rsidRPr="00F7290F" w:rsidRDefault="00FF58C8" w:rsidP="00D65D2E">
            <w:pPr>
              <w:keepNext/>
              <w:widowControl w:val="0"/>
              <w:spacing w:after="120"/>
              <w:ind w:firstLine="284"/>
              <w:jc w:val="both"/>
              <w:rPr>
                <w:color w:val="FF0000"/>
                <w:lang w:val="uk-UA"/>
              </w:rPr>
            </w:pPr>
          </w:p>
        </w:tc>
      </w:tr>
      <w:tr w:rsidR="001F5241" w:rsidRPr="00F7290F" w:rsidTr="00BA6341">
        <w:trPr>
          <w:trHeight w:val="276"/>
        </w:trPr>
        <w:tc>
          <w:tcPr>
            <w:tcW w:w="6120" w:type="dxa"/>
            <w:vAlign w:val="center"/>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Динаміка поголів'я свиней та птиці  </w:t>
            </w:r>
          </w:p>
          <w:p w:rsidR="001F5241" w:rsidRPr="00F7290F" w:rsidRDefault="001F5241" w:rsidP="00D65D2E">
            <w:pPr>
              <w:keepNext/>
              <w:widowControl w:val="0"/>
              <w:jc w:val="center"/>
              <w:rPr>
                <w:color w:val="FF0000"/>
                <w:lang w:val="uk-UA"/>
              </w:rPr>
            </w:pPr>
            <w:r w:rsidRPr="00F7290F">
              <w:rPr>
                <w:color w:val="000000" w:themeColor="text1"/>
                <w:lang w:val="uk-UA"/>
              </w:rPr>
              <w:t>(на кінець періоду)</w:t>
            </w:r>
          </w:p>
        </w:tc>
        <w:tc>
          <w:tcPr>
            <w:tcW w:w="3558" w:type="dxa"/>
            <w:vMerge w:val="restart"/>
          </w:tcPr>
          <w:p w:rsidR="001F5241" w:rsidRPr="00F7290F" w:rsidRDefault="001F5241" w:rsidP="00D65D2E">
            <w:pPr>
              <w:keepNext/>
              <w:widowControl w:val="0"/>
              <w:spacing w:after="60"/>
              <w:ind w:firstLine="284"/>
              <w:jc w:val="both"/>
              <w:rPr>
                <w:color w:val="FF0000"/>
                <w:lang w:val="uk-UA"/>
              </w:rPr>
            </w:pPr>
          </w:p>
          <w:p w:rsidR="00FE253C" w:rsidRPr="00F7290F" w:rsidRDefault="00FE253C" w:rsidP="00FE253C">
            <w:pPr>
              <w:keepNext/>
              <w:widowControl w:val="0"/>
              <w:spacing w:after="60"/>
              <w:ind w:firstLine="284"/>
              <w:jc w:val="both"/>
              <w:rPr>
                <w:lang w:val="uk-UA"/>
              </w:rPr>
            </w:pPr>
            <w:r w:rsidRPr="00F7290F">
              <w:rPr>
                <w:lang w:val="uk-UA"/>
              </w:rPr>
              <w:t>Збільшилась чисельність свиней на 6,3%. Поголів’я птиці зменшилось на 9,6%.</w:t>
            </w:r>
          </w:p>
          <w:p w:rsidR="001F5241" w:rsidRPr="00F7290F" w:rsidRDefault="001F5241" w:rsidP="00D65D2E">
            <w:pPr>
              <w:keepNext/>
              <w:widowControl w:val="0"/>
              <w:spacing w:after="60"/>
              <w:ind w:firstLine="284"/>
              <w:jc w:val="both"/>
              <w:rPr>
                <w:color w:val="FF0000"/>
                <w:lang w:val="uk-UA"/>
              </w:rPr>
            </w:pPr>
          </w:p>
        </w:tc>
      </w:tr>
      <w:tr w:rsidR="001F5241" w:rsidRPr="00F7290F" w:rsidTr="00BA6341">
        <w:trPr>
          <w:trHeight w:val="276"/>
        </w:trPr>
        <w:tc>
          <w:tcPr>
            <w:tcW w:w="6120" w:type="dxa"/>
          </w:tcPr>
          <w:p w:rsidR="001F5241" w:rsidRPr="00F7290F" w:rsidRDefault="001F5241" w:rsidP="00D65D2E">
            <w:pPr>
              <w:keepNext/>
              <w:widowControl w:val="0"/>
              <w:jc w:val="center"/>
              <w:rPr>
                <w:color w:val="FF0000"/>
                <w:lang w:val="uk-UA"/>
              </w:rPr>
            </w:pPr>
            <w:r w:rsidRPr="00F7290F">
              <w:rPr>
                <w:noProof/>
                <w:color w:val="FF0000"/>
              </w:rPr>
              <w:drawing>
                <wp:inline distT="0" distB="0" distL="0" distR="0">
                  <wp:extent cx="3615069" cy="1180214"/>
                  <wp:effectExtent l="0" t="0" r="0" b="0"/>
                  <wp:docPr id="82"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3558" w:type="dxa"/>
            <w:vMerge/>
          </w:tcPr>
          <w:p w:rsidR="001F5241" w:rsidRPr="00F7290F" w:rsidRDefault="001F5241" w:rsidP="00D65D2E">
            <w:pPr>
              <w:keepNext/>
              <w:widowControl w:val="0"/>
              <w:spacing w:after="60"/>
              <w:ind w:firstLine="284"/>
              <w:jc w:val="both"/>
              <w:rPr>
                <w:color w:val="FF0000"/>
                <w:lang w:val="uk-UA"/>
              </w:rPr>
            </w:pPr>
          </w:p>
        </w:tc>
      </w:tr>
      <w:tr w:rsidR="001F5241" w:rsidRPr="00F7290F" w:rsidTr="00BA6341">
        <w:trPr>
          <w:trHeight w:val="276"/>
        </w:trPr>
        <w:tc>
          <w:tcPr>
            <w:tcW w:w="9678" w:type="dxa"/>
            <w:gridSpan w:val="2"/>
          </w:tcPr>
          <w:p w:rsidR="00FA589C" w:rsidRPr="00F7290F" w:rsidRDefault="00FA589C" w:rsidP="00FA589C">
            <w:pPr>
              <w:pStyle w:val="aff2"/>
              <w:keepNext/>
              <w:widowControl w:val="0"/>
              <w:ind w:left="-33" w:firstLine="753"/>
              <w:jc w:val="both"/>
              <w:rPr>
                <w:lang w:val="uk-UA"/>
              </w:rPr>
            </w:pPr>
            <w:r w:rsidRPr="00F7290F">
              <w:rPr>
                <w:lang w:val="uk-UA"/>
              </w:rPr>
              <w:lastRenderedPageBreak/>
              <w:t>З метою підвищення ефективності аграрного виробництва, забезпечення потреб населення в продовольстві продовжувалась реалізація інвестиційних проектів, впроваджувалися  новітні технології та сучасне обладнання.</w:t>
            </w:r>
          </w:p>
          <w:p w:rsidR="00FA589C" w:rsidRPr="00F7290F" w:rsidRDefault="00FA589C" w:rsidP="00FA589C">
            <w:pPr>
              <w:keepNext/>
              <w:widowControl w:val="0"/>
              <w:spacing w:after="120"/>
              <w:ind w:firstLine="720"/>
              <w:jc w:val="both"/>
              <w:rPr>
                <w:b/>
                <w:u w:val="single"/>
                <w:lang w:val="uk-UA"/>
              </w:rPr>
            </w:pPr>
            <w:r w:rsidRPr="00F7290F">
              <w:rPr>
                <w:lang w:val="uk-UA"/>
              </w:rPr>
              <w:t xml:space="preserve">У ТОВ «Сади Донбасу» (Костянтинівський район) проведено роботи по закладці молодого саду зерняткових на площі </w:t>
            </w:r>
            <w:smartTag w:uri="urn:schemas-microsoft-com:office:smarttags" w:element="metricconverter">
              <w:smartTagPr>
                <w:attr w:name="ProductID" w:val="30,9 га"/>
              </w:smartTagPr>
              <w:r w:rsidRPr="00F7290F">
                <w:rPr>
                  <w:lang w:val="uk-UA"/>
                </w:rPr>
                <w:t>30,9 га</w:t>
              </w:r>
            </w:smartTag>
            <w:r w:rsidRPr="00F7290F">
              <w:rPr>
                <w:lang w:val="uk-UA"/>
              </w:rPr>
              <w:t xml:space="preserve"> та насаджень фундука – на площі </w:t>
            </w:r>
            <w:smartTag w:uri="urn:schemas-microsoft-com:office:smarttags" w:element="metricconverter">
              <w:smartTagPr>
                <w:attr w:name="ProductID" w:val="46,2 га"/>
              </w:smartTagPr>
              <w:r w:rsidRPr="00F7290F">
                <w:rPr>
                  <w:lang w:val="uk-UA"/>
                </w:rPr>
                <w:t>46,2 га</w:t>
              </w:r>
            </w:smartTag>
            <w:r w:rsidRPr="00F7290F">
              <w:rPr>
                <w:lang w:val="uk-UA"/>
              </w:rPr>
              <w:t xml:space="preserve">, встановлено крапельне зрошення. </w:t>
            </w:r>
          </w:p>
          <w:p w:rsidR="00FA589C" w:rsidRPr="00F7290F" w:rsidRDefault="00FA589C" w:rsidP="00FA589C">
            <w:pPr>
              <w:keepNext/>
              <w:widowControl w:val="0"/>
              <w:spacing w:after="120"/>
              <w:ind w:firstLine="794"/>
              <w:jc w:val="both"/>
              <w:rPr>
                <w:lang w:val="uk-UA"/>
              </w:rPr>
            </w:pPr>
            <w:r w:rsidRPr="00F7290F">
              <w:rPr>
                <w:lang w:val="uk-UA"/>
              </w:rPr>
              <w:t xml:space="preserve">У ТОВ «МИР» (Ясинуватський район) здійснювалось будівництво ІІ черги комплексу з вирощування овочевої продукції на площі </w:t>
            </w:r>
            <w:smartTag w:uri="urn:schemas-microsoft-com:office:smarttags" w:element="metricconverter">
              <w:smartTagPr>
                <w:attr w:name="ProductID" w:val="1 га"/>
              </w:smartTagPr>
              <w:r w:rsidRPr="00F7290F">
                <w:rPr>
                  <w:lang w:val="uk-UA"/>
                </w:rPr>
                <w:t>1 га</w:t>
              </w:r>
            </w:smartTag>
            <w:r w:rsidRPr="00F7290F">
              <w:rPr>
                <w:lang w:val="uk-UA"/>
              </w:rPr>
              <w:t>.</w:t>
            </w:r>
          </w:p>
          <w:p w:rsidR="00FA589C" w:rsidRPr="00F7290F" w:rsidRDefault="00FA589C" w:rsidP="00FA589C">
            <w:pPr>
              <w:pStyle w:val="aff2"/>
              <w:keepNext/>
              <w:widowControl w:val="0"/>
              <w:ind w:left="-33" w:firstLine="753"/>
              <w:jc w:val="both"/>
              <w:rPr>
                <w:lang w:val="uk-UA"/>
              </w:rPr>
            </w:pPr>
            <w:r w:rsidRPr="00F7290F">
              <w:rPr>
                <w:lang w:val="uk-UA"/>
              </w:rPr>
              <w:t xml:space="preserve">У ТОВ «МІКО-ФУД» (Ясинуватський район) введено в експлуатацію дві черги комплексу по вирощуванню грибів. </w:t>
            </w:r>
          </w:p>
          <w:p w:rsidR="00FA589C" w:rsidRPr="00F7290F" w:rsidRDefault="00FA589C" w:rsidP="00FA589C">
            <w:pPr>
              <w:keepNext/>
              <w:widowControl w:val="0"/>
              <w:spacing w:after="120"/>
              <w:ind w:firstLine="709"/>
              <w:jc w:val="both"/>
              <w:rPr>
                <w:lang w:val="uk-UA"/>
              </w:rPr>
            </w:pPr>
            <w:r w:rsidRPr="00F7290F">
              <w:rPr>
                <w:lang w:val="uk-UA"/>
              </w:rPr>
              <w:t xml:space="preserve">У ТОВ «АФ «Відродження» (м. Сніжне) впроваджено передові голландські технології у вирощуванні овочів на площі </w:t>
            </w:r>
            <w:smartTag w:uri="urn:schemas-microsoft-com:office:smarttags" w:element="metricconverter">
              <w:smartTagPr>
                <w:attr w:name="ProductID" w:val="38 га"/>
              </w:smartTagPr>
              <w:r w:rsidRPr="00F7290F">
                <w:rPr>
                  <w:lang w:val="uk-UA"/>
                </w:rPr>
                <w:t>38 га</w:t>
              </w:r>
            </w:smartTag>
            <w:r w:rsidRPr="00F7290F">
              <w:rPr>
                <w:lang w:val="uk-UA"/>
              </w:rPr>
              <w:t xml:space="preserve"> із застосуванням крапельного зрошення, досягнуто урожайність 313 ц/га. </w:t>
            </w:r>
          </w:p>
          <w:p w:rsidR="00FA589C" w:rsidRPr="00F7290F" w:rsidRDefault="00FA589C" w:rsidP="00FA589C">
            <w:pPr>
              <w:keepNext/>
              <w:widowControl w:val="0"/>
              <w:spacing w:after="120"/>
              <w:ind w:firstLine="792"/>
              <w:jc w:val="both"/>
              <w:rPr>
                <w:lang w:val="uk-UA"/>
              </w:rPr>
            </w:pPr>
            <w:r w:rsidRPr="00F7290F">
              <w:rPr>
                <w:lang w:val="uk-UA"/>
              </w:rPr>
              <w:t xml:space="preserve">В рамках реалізації інвестиційного проекту «Розширення підприємства ДП «Птахофабрика Шахтарська Нова» ПАТ «Миронівський хлібопродукт» (Шахтарський, Амвросіївський райони) введено в експлуатацію площадку з вирощування ремонтного молодняка птиці та площадку з утримання продуктивного стада. </w:t>
            </w:r>
          </w:p>
          <w:p w:rsidR="00FA589C" w:rsidRPr="00F7290F" w:rsidRDefault="00FA589C" w:rsidP="00FA589C">
            <w:pPr>
              <w:keepNext/>
              <w:widowControl w:val="0"/>
              <w:spacing w:after="120"/>
              <w:ind w:firstLine="792"/>
              <w:jc w:val="both"/>
              <w:rPr>
                <w:lang w:val="uk-UA"/>
              </w:rPr>
            </w:pPr>
            <w:r w:rsidRPr="00F7290F">
              <w:rPr>
                <w:lang w:val="uk-UA"/>
              </w:rPr>
              <w:t xml:space="preserve">У ПрАТ «АПК-ІНВЕСТ» (Красноармійський район) введено в експлуатацію насіннєвий завод потужністю 200 тонн насіннєвого матеріалу на добу, а також тваринницький комплекс потужністю 50 тис.голів свиней одночасного утримання в Костянтинівському районі. </w:t>
            </w:r>
          </w:p>
          <w:p w:rsidR="00FA589C" w:rsidRPr="00F7290F" w:rsidRDefault="00FA589C" w:rsidP="00FA589C">
            <w:pPr>
              <w:keepNext/>
              <w:widowControl w:val="0"/>
              <w:spacing w:after="120"/>
              <w:ind w:firstLine="792"/>
              <w:jc w:val="both"/>
              <w:rPr>
                <w:lang w:val="uk-UA"/>
              </w:rPr>
            </w:pPr>
            <w:r w:rsidRPr="00F7290F">
              <w:rPr>
                <w:lang w:val="uk-UA"/>
              </w:rPr>
              <w:t>У філії «Богоявленська» ТОВ АФ «Агротіс», ТОВ АФ «Світанок», СТОВ «Нива» (Мар’їнський район) здійснено заміну старого доїльного обладнання на нове фірми «Де Лаваль».</w:t>
            </w:r>
          </w:p>
          <w:p w:rsidR="00FA589C" w:rsidRPr="00F7290F" w:rsidRDefault="00FA589C" w:rsidP="00FA589C">
            <w:pPr>
              <w:keepNext/>
              <w:widowControl w:val="0"/>
              <w:spacing w:after="120"/>
              <w:ind w:firstLine="792"/>
              <w:jc w:val="both"/>
              <w:rPr>
                <w:lang w:val="uk-UA"/>
              </w:rPr>
            </w:pPr>
            <w:r w:rsidRPr="00F7290F">
              <w:rPr>
                <w:lang w:val="uk-UA"/>
              </w:rPr>
              <w:t>З метою забезпечення населення області високоякісними продуктами харчування за доступними цінами продовжувалось будівництво оптових ринків сільгосппродукції «Господар» (Ясинуватський район) та «Азовський»  (м.Маріуполь).</w:t>
            </w:r>
          </w:p>
          <w:p w:rsidR="001F5241" w:rsidRPr="00F7290F" w:rsidRDefault="00FA589C" w:rsidP="00FA589C">
            <w:pPr>
              <w:pStyle w:val="aff2"/>
              <w:keepNext/>
              <w:widowControl w:val="0"/>
              <w:ind w:left="72" w:firstLine="540"/>
              <w:jc w:val="both"/>
              <w:rPr>
                <w:color w:val="FF0000"/>
                <w:lang w:val="uk-UA"/>
              </w:rPr>
            </w:pPr>
            <w:r w:rsidRPr="00F7290F">
              <w:rPr>
                <w:lang w:val="uk-UA"/>
              </w:rPr>
              <w:t>Для оновлення машинно-тракторного парку з початку року придбано 195 одиниць сільськогосподарської техніки на суму 79,2 млн.грн.</w:t>
            </w:r>
          </w:p>
        </w:tc>
      </w:tr>
      <w:tr w:rsidR="001F5241" w:rsidRPr="00F7290F" w:rsidTr="00BA6341">
        <w:trPr>
          <w:trHeight w:val="492"/>
        </w:trPr>
        <w:tc>
          <w:tcPr>
            <w:tcW w:w="6120" w:type="dxa"/>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Темп зростання (зниження) продукції харчової </w:t>
            </w:r>
          </w:p>
          <w:p w:rsidR="001F5241" w:rsidRPr="00F7290F" w:rsidRDefault="001F5241" w:rsidP="00D65D2E">
            <w:pPr>
              <w:keepNext/>
              <w:widowControl w:val="0"/>
              <w:jc w:val="center"/>
              <w:rPr>
                <w:b/>
                <w:color w:val="FF0000"/>
                <w:lang w:val="uk-UA"/>
              </w:rPr>
            </w:pPr>
            <w:r w:rsidRPr="00F7290F">
              <w:rPr>
                <w:b/>
                <w:color w:val="000000" w:themeColor="text1"/>
                <w:lang w:val="uk-UA"/>
              </w:rPr>
              <w:t>промисловості</w:t>
            </w:r>
            <w:r w:rsidRPr="00F7290F">
              <w:rPr>
                <w:color w:val="000000" w:themeColor="text1"/>
                <w:lang w:val="uk-UA"/>
              </w:rPr>
              <w:t xml:space="preserve"> </w:t>
            </w:r>
            <w:r w:rsidRPr="00F7290F">
              <w:rPr>
                <w:b/>
                <w:color w:val="000000" w:themeColor="text1"/>
                <w:lang w:val="uk-UA"/>
              </w:rPr>
              <w:t>у % до попереднього року</w:t>
            </w:r>
          </w:p>
        </w:tc>
        <w:tc>
          <w:tcPr>
            <w:tcW w:w="3558" w:type="dxa"/>
            <w:vMerge w:val="restart"/>
          </w:tcPr>
          <w:p w:rsidR="00067A22" w:rsidRPr="00F7290F" w:rsidRDefault="00067A22" w:rsidP="00FA589C">
            <w:pPr>
              <w:keepNext/>
              <w:widowControl w:val="0"/>
              <w:ind w:firstLine="284"/>
              <w:jc w:val="both"/>
              <w:rPr>
                <w:lang w:val="uk-UA"/>
              </w:rPr>
            </w:pPr>
          </w:p>
          <w:p w:rsidR="00FA589C" w:rsidRPr="00F7290F" w:rsidRDefault="00FA589C" w:rsidP="00FA589C">
            <w:pPr>
              <w:keepNext/>
              <w:widowControl w:val="0"/>
              <w:spacing w:before="120" w:after="120"/>
              <w:ind w:firstLine="249"/>
              <w:jc w:val="both"/>
              <w:rPr>
                <w:lang w:val="uk-UA"/>
              </w:rPr>
            </w:pPr>
            <w:r w:rsidRPr="00F7290F">
              <w:rPr>
                <w:bCs/>
                <w:lang w:val="uk-UA"/>
              </w:rPr>
              <w:t>Знизився випуск</w:t>
            </w:r>
            <w:r w:rsidRPr="00F7290F">
              <w:rPr>
                <w:lang w:val="uk-UA"/>
              </w:rPr>
              <w:t xml:space="preserve"> молока обробленого рідкого на 2,1%, </w:t>
            </w:r>
            <w:r w:rsidR="00237279">
              <w:rPr>
                <w:lang w:val="uk-UA"/>
              </w:rPr>
              <w:t xml:space="preserve">продуктів кисломолочних на 6,8%, </w:t>
            </w:r>
            <w:r w:rsidRPr="00F7290F">
              <w:rPr>
                <w:lang w:val="uk-UA"/>
              </w:rPr>
              <w:t>борошна – на 8%, хлібобулочних виробів – на 10%, шоколаду та інших продуктів з вмістом какао – на 7,5%, виробів кондитерських з цукру, включаючи білий шоколад – на 15,2%.</w:t>
            </w:r>
          </w:p>
          <w:p w:rsidR="001F5241" w:rsidRPr="00F7290F" w:rsidRDefault="00237279" w:rsidP="00BA6341">
            <w:pPr>
              <w:keepNext/>
              <w:widowControl w:val="0"/>
              <w:ind w:firstLine="284"/>
              <w:jc w:val="both"/>
              <w:rPr>
                <w:color w:val="FF0000"/>
                <w:lang w:val="uk-UA"/>
              </w:rPr>
            </w:pPr>
            <w:r w:rsidRPr="00F7290F">
              <w:rPr>
                <w:lang w:val="uk-UA"/>
              </w:rPr>
              <w:t>Зросло  виробництво</w:t>
            </w:r>
            <w:r w:rsidRPr="00F7290F">
              <w:rPr>
                <w:bCs/>
                <w:lang w:val="uk-UA"/>
              </w:rPr>
              <w:t xml:space="preserve"> ковбасних виробів на 4,2%,</w:t>
            </w:r>
            <w:r w:rsidRPr="00F7290F">
              <w:rPr>
                <w:lang w:val="uk-UA"/>
              </w:rPr>
              <w:t xml:space="preserve"> напівфабрикатів м’ясних – в 1,9 рази, масла вершкового – на 15,2%, олії соняшникової нерафінованої – на 10,8%, пива – на 14%.</w:t>
            </w:r>
          </w:p>
        </w:tc>
      </w:tr>
      <w:tr w:rsidR="001F5241" w:rsidRPr="00F7290F" w:rsidTr="00BA6341">
        <w:trPr>
          <w:trHeight w:val="3968"/>
        </w:trPr>
        <w:tc>
          <w:tcPr>
            <w:tcW w:w="6120" w:type="dxa"/>
          </w:tcPr>
          <w:p w:rsidR="001F5241" w:rsidRPr="00F7290F" w:rsidRDefault="001F5241" w:rsidP="00D65D2E">
            <w:pPr>
              <w:keepNext/>
              <w:widowControl w:val="0"/>
              <w:ind w:left="-454"/>
              <w:jc w:val="right"/>
              <w:rPr>
                <w:b/>
                <w:color w:val="FF0000"/>
                <w:lang w:val="uk-UA"/>
              </w:rPr>
            </w:pPr>
            <w:r w:rsidRPr="00F7290F">
              <w:rPr>
                <w:b/>
                <w:noProof/>
                <w:color w:val="FF0000"/>
              </w:rPr>
              <w:drawing>
                <wp:inline distT="0" distB="0" distL="0" distR="0">
                  <wp:extent cx="3691890" cy="2434590"/>
                  <wp:effectExtent l="0" t="0" r="0" b="0"/>
                  <wp:docPr id="8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3558" w:type="dxa"/>
            <w:vMerge/>
            <w:vAlign w:val="center"/>
          </w:tcPr>
          <w:p w:rsidR="001F5241" w:rsidRPr="00F7290F" w:rsidRDefault="001F5241" w:rsidP="00D65D2E">
            <w:pPr>
              <w:keepNext/>
              <w:widowControl w:val="0"/>
              <w:ind w:left="-454"/>
              <w:rPr>
                <w:color w:val="FF0000"/>
                <w:lang w:val="uk-UA"/>
              </w:rPr>
            </w:pPr>
          </w:p>
        </w:tc>
      </w:tr>
    </w:tbl>
    <w:p w:rsidR="001F5241" w:rsidRPr="00F7290F" w:rsidRDefault="001F5241" w:rsidP="00D65D2E">
      <w:pPr>
        <w:keepNext/>
        <w:widowControl w:val="0"/>
        <w:rPr>
          <w:color w:val="FF0000"/>
          <w:sz w:val="2"/>
          <w:szCs w:val="2"/>
          <w:lang w:val="uk-UA"/>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0"/>
        <w:gridCol w:w="14"/>
        <w:gridCol w:w="3544"/>
      </w:tblGrid>
      <w:tr w:rsidR="001F5241" w:rsidRPr="00F7290F" w:rsidTr="00BA6341">
        <w:trPr>
          <w:trHeight w:hRule="exact" w:val="332"/>
        </w:trPr>
        <w:tc>
          <w:tcPr>
            <w:tcW w:w="6134" w:type="dxa"/>
            <w:gridSpan w:val="2"/>
            <w:tcBorders>
              <w:top w:val="nil"/>
              <w:left w:val="nil"/>
              <w:bottom w:val="nil"/>
              <w:right w:val="nil"/>
            </w:tcBorders>
          </w:tcPr>
          <w:p w:rsidR="001F5241" w:rsidRPr="00F7290F" w:rsidRDefault="001F5241" w:rsidP="00D65D2E">
            <w:pPr>
              <w:keepNext/>
              <w:widowControl w:val="0"/>
              <w:jc w:val="center"/>
              <w:rPr>
                <w:b/>
                <w:color w:val="000000" w:themeColor="text1"/>
                <w:lang w:val="uk-UA"/>
              </w:rPr>
            </w:pPr>
            <w:r w:rsidRPr="00F7290F">
              <w:rPr>
                <w:color w:val="FF0000"/>
                <w:lang w:val="uk-UA"/>
              </w:rPr>
              <w:lastRenderedPageBreak/>
              <w:br w:type="page"/>
            </w:r>
            <w:r w:rsidRPr="00F7290F">
              <w:rPr>
                <w:b/>
                <w:color w:val="000000" w:themeColor="text1"/>
                <w:lang w:val="uk-UA"/>
              </w:rPr>
              <w:t>Динаміка перевезень вантажів, млн.т</w:t>
            </w:r>
          </w:p>
        </w:tc>
        <w:tc>
          <w:tcPr>
            <w:tcW w:w="3544" w:type="dxa"/>
            <w:tcBorders>
              <w:top w:val="nil"/>
              <w:left w:val="nil"/>
              <w:bottom w:val="nil"/>
              <w:right w:val="nil"/>
            </w:tcBorders>
          </w:tcPr>
          <w:p w:rsidR="001F5241" w:rsidRPr="00F7290F" w:rsidRDefault="001F5241" w:rsidP="00D65D2E">
            <w:pPr>
              <w:keepNext/>
              <w:widowControl w:val="0"/>
              <w:ind w:firstLine="284"/>
              <w:jc w:val="both"/>
              <w:rPr>
                <w:color w:val="FF0000"/>
                <w:lang w:val="uk-UA"/>
              </w:rPr>
            </w:pPr>
          </w:p>
        </w:tc>
      </w:tr>
      <w:tr w:rsidR="001F5241" w:rsidRPr="00F7290F" w:rsidTr="00BA6341">
        <w:trPr>
          <w:trHeight w:hRule="exact" w:val="3947"/>
        </w:trPr>
        <w:tc>
          <w:tcPr>
            <w:tcW w:w="6134" w:type="dxa"/>
            <w:gridSpan w:val="2"/>
            <w:tcBorders>
              <w:top w:val="nil"/>
              <w:left w:val="nil"/>
              <w:bottom w:val="nil"/>
              <w:right w:val="nil"/>
            </w:tcBorders>
          </w:tcPr>
          <w:p w:rsidR="001F5241" w:rsidRPr="00F7290F" w:rsidRDefault="001F5241" w:rsidP="00D65D2E">
            <w:pPr>
              <w:keepNext/>
              <w:widowControl w:val="0"/>
              <w:ind w:hanging="108"/>
              <w:rPr>
                <w:color w:val="FF0000"/>
                <w:sz w:val="2"/>
                <w:szCs w:val="2"/>
                <w:lang w:val="uk-UA"/>
              </w:rPr>
            </w:pPr>
            <w:r w:rsidRPr="00F7290F">
              <w:rPr>
                <w:noProof/>
                <w:color w:val="FF0000"/>
              </w:rPr>
              <w:drawing>
                <wp:inline distT="0" distB="0" distL="0" distR="0">
                  <wp:extent cx="3952875" cy="2390775"/>
                  <wp:effectExtent l="0" t="0" r="0" b="0"/>
                  <wp:docPr id="84"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3544" w:type="dxa"/>
            <w:tcBorders>
              <w:top w:val="nil"/>
              <w:left w:val="nil"/>
              <w:bottom w:val="nil"/>
              <w:right w:val="nil"/>
            </w:tcBorders>
          </w:tcPr>
          <w:p w:rsidR="001F5241" w:rsidRPr="00F7290F" w:rsidRDefault="001F5241" w:rsidP="00D65D2E">
            <w:pPr>
              <w:keepNext/>
              <w:widowControl w:val="0"/>
              <w:spacing w:after="60"/>
              <w:ind w:firstLine="284"/>
              <w:jc w:val="both"/>
              <w:rPr>
                <w:color w:val="FF0000"/>
                <w:lang w:val="uk-UA"/>
              </w:rPr>
            </w:pPr>
          </w:p>
          <w:p w:rsidR="00CC236C" w:rsidRPr="00F7290F" w:rsidRDefault="00CC236C" w:rsidP="00CC236C">
            <w:pPr>
              <w:keepNext/>
              <w:widowControl w:val="0"/>
              <w:ind w:firstLine="284"/>
              <w:jc w:val="both"/>
              <w:rPr>
                <w:lang w:val="uk-UA"/>
              </w:rPr>
            </w:pPr>
            <w:r w:rsidRPr="00F7290F">
              <w:rPr>
                <w:lang w:val="uk-UA"/>
              </w:rPr>
              <w:t>Обсяг перевезень (відправ</w:t>
            </w:r>
            <w:r w:rsidR="00BA6341">
              <w:rPr>
                <w:lang w:val="uk-UA"/>
              </w:rPr>
              <w:t xml:space="preserve">лень) вантажів у порівнянні з </w:t>
            </w:r>
            <w:r w:rsidRPr="00F7290F">
              <w:rPr>
                <w:lang w:val="uk-UA"/>
              </w:rPr>
              <w:t>2011 роком зменшився:</w:t>
            </w:r>
          </w:p>
          <w:p w:rsidR="00CC236C" w:rsidRPr="00F7290F" w:rsidRDefault="00CC236C" w:rsidP="00CC236C">
            <w:pPr>
              <w:keepNext/>
              <w:widowControl w:val="0"/>
              <w:numPr>
                <w:ilvl w:val="0"/>
                <w:numId w:val="4"/>
              </w:numPr>
              <w:ind w:left="292" w:hanging="284"/>
              <w:jc w:val="both"/>
              <w:rPr>
                <w:lang w:val="uk-UA"/>
              </w:rPr>
            </w:pPr>
            <w:r w:rsidRPr="00F7290F">
              <w:rPr>
                <w:lang w:val="uk-UA"/>
              </w:rPr>
              <w:t>залізничним транспортом на 3,6%;</w:t>
            </w:r>
          </w:p>
          <w:p w:rsidR="00CC236C" w:rsidRPr="00F7290F" w:rsidRDefault="00CC236C" w:rsidP="00CC236C">
            <w:pPr>
              <w:pStyle w:val="ab"/>
              <w:keepNext/>
              <w:widowControl w:val="0"/>
              <w:numPr>
                <w:ilvl w:val="0"/>
                <w:numId w:val="4"/>
              </w:numPr>
              <w:ind w:left="292" w:hanging="284"/>
              <w:jc w:val="both"/>
              <w:rPr>
                <w:lang w:val="uk-UA"/>
              </w:rPr>
            </w:pPr>
            <w:r w:rsidRPr="00F7290F">
              <w:rPr>
                <w:lang w:val="uk-UA"/>
              </w:rPr>
              <w:t>автомобільним  –</w:t>
            </w:r>
            <w:r w:rsidRPr="00F7290F">
              <w:rPr>
                <w:bCs/>
                <w:color w:val="FF0000"/>
                <w:lang w:val="uk-UA"/>
              </w:rPr>
              <w:t xml:space="preserve"> </w:t>
            </w:r>
            <w:r w:rsidRPr="00F7290F">
              <w:rPr>
                <w:lang w:val="uk-UA"/>
              </w:rPr>
              <w:t xml:space="preserve"> на 8,8%.</w:t>
            </w:r>
          </w:p>
          <w:p w:rsidR="00955192" w:rsidRPr="00F7290F" w:rsidRDefault="00955192" w:rsidP="00D65D2E">
            <w:pPr>
              <w:keepNext/>
              <w:widowControl w:val="0"/>
              <w:rPr>
                <w:color w:val="FF0000"/>
                <w:lang w:val="uk-UA"/>
              </w:rPr>
            </w:pPr>
          </w:p>
          <w:p w:rsidR="001F5241" w:rsidRPr="00F7290F" w:rsidRDefault="001F5241" w:rsidP="00D65D2E">
            <w:pPr>
              <w:keepNext/>
              <w:widowControl w:val="0"/>
              <w:rPr>
                <w:color w:val="FF0000"/>
                <w:lang w:val="uk-UA"/>
              </w:rPr>
            </w:pPr>
          </w:p>
          <w:p w:rsidR="001F5241" w:rsidRPr="00F7290F" w:rsidRDefault="001F5241" w:rsidP="00D65D2E">
            <w:pPr>
              <w:keepNext/>
              <w:widowControl w:val="0"/>
              <w:rPr>
                <w:color w:val="FF0000"/>
                <w:lang w:val="uk-UA"/>
              </w:rPr>
            </w:pPr>
          </w:p>
        </w:tc>
      </w:tr>
      <w:tr w:rsidR="001F5241" w:rsidRPr="00F7290F" w:rsidTr="00BA6341">
        <w:trPr>
          <w:trHeight w:hRule="exact" w:val="569"/>
        </w:trPr>
        <w:tc>
          <w:tcPr>
            <w:tcW w:w="6134" w:type="dxa"/>
            <w:gridSpan w:val="2"/>
            <w:tcBorders>
              <w:top w:val="nil"/>
              <w:left w:val="nil"/>
              <w:bottom w:val="single" w:sz="4" w:space="0" w:color="auto"/>
              <w:right w:val="nil"/>
            </w:tcBorders>
          </w:tcPr>
          <w:p w:rsidR="001F5241" w:rsidRPr="00F7290F" w:rsidRDefault="001F5241" w:rsidP="00D65D2E">
            <w:pPr>
              <w:keepNext/>
              <w:widowControl w:val="0"/>
              <w:spacing w:before="120" w:after="120"/>
              <w:jc w:val="center"/>
              <w:rPr>
                <w:b/>
                <w:color w:val="000000" w:themeColor="text1"/>
                <w:lang w:val="uk-UA"/>
              </w:rPr>
            </w:pPr>
            <w:r w:rsidRPr="00F7290F">
              <w:rPr>
                <w:b/>
                <w:color w:val="000000" w:themeColor="text1"/>
                <w:lang w:val="uk-UA"/>
              </w:rPr>
              <w:t>Динаміка перевезень пасажирів</w:t>
            </w:r>
          </w:p>
          <w:p w:rsidR="001F5241" w:rsidRPr="00F7290F" w:rsidRDefault="001F5241" w:rsidP="00D65D2E">
            <w:pPr>
              <w:keepNext/>
              <w:widowControl w:val="0"/>
              <w:spacing w:before="120"/>
              <w:jc w:val="center"/>
              <w:rPr>
                <w:b/>
                <w:color w:val="FF0000"/>
                <w:lang w:val="uk-UA"/>
              </w:rPr>
            </w:pPr>
          </w:p>
        </w:tc>
        <w:tc>
          <w:tcPr>
            <w:tcW w:w="3544" w:type="dxa"/>
            <w:vMerge w:val="restart"/>
            <w:tcBorders>
              <w:top w:val="nil"/>
              <w:left w:val="nil"/>
              <w:right w:val="nil"/>
            </w:tcBorders>
          </w:tcPr>
          <w:p w:rsidR="00CC236C" w:rsidRPr="00F7290F" w:rsidRDefault="00BA6341" w:rsidP="00CC236C">
            <w:pPr>
              <w:keepNext/>
              <w:widowControl w:val="0"/>
              <w:tabs>
                <w:tab w:val="left" w:pos="9072"/>
              </w:tabs>
              <w:ind w:firstLine="284"/>
              <w:jc w:val="both"/>
              <w:rPr>
                <w:lang w:val="uk-UA"/>
              </w:rPr>
            </w:pPr>
            <w:r>
              <w:rPr>
                <w:lang w:val="uk-UA"/>
              </w:rPr>
              <w:t xml:space="preserve">Обсяг </w:t>
            </w:r>
            <w:r w:rsidR="00CC236C" w:rsidRPr="00F7290F">
              <w:rPr>
                <w:lang w:val="uk-UA"/>
              </w:rPr>
              <w:t>перевезень (відправлень) пасажирів зменшився:</w:t>
            </w:r>
          </w:p>
          <w:p w:rsidR="00CC236C" w:rsidRPr="00F7290F" w:rsidRDefault="00CC236C" w:rsidP="00CC236C">
            <w:pPr>
              <w:keepNext/>
              <w:widowControl w:val="0"/>
              <w:numPr>
                <w:ilvl w:val="0"/>
                <w:numId w:val="3"/>
              </w:numPr>
              <w:tabs>
                <w:tab w:val="clear" w:pos="719"/>
                <w:tab w:val="num" w:pos="577"/>
                <w:tab w:val="left" w:pos="9072"/>
              </w:tabs>
              <w:ind w:left="253" w:hanging="243"/>
              <w:jc w:val="both"/>
              <w:rPr>
                <w:lang w:val="uk-UA"/>
              </w:rPr>
            </w:pPr>
            <w:r w:rsidRPr="00F7290F">
              <w:rPr>
                <w:lang w:val="uk-UA"/>
              </w:rPr>
              <w:t>автомобільним –</w:t>
            </w:r>
            <w:r w:rsidRPr="00F7290F">
              <w:rPr>
                <w:bCs/>
                <w:lang w:val="uk-UA"/>
              </w:rPr>
              <w:t xml:space="preserve"> </w:t>
            </w:r>
            <w:r w:rsidRPr="00F7290F">
              <w:rPr>
                <w:lang w:val="uk-UA"/>
              </w:rPr>
              <w:t xml:space="preserve"> на 3,0%;</w:t>
            </w:r>
          </w:p>
          <w:p w:rsidR="00CC236C" w:rsidRPr="00F7290F" w:rsidRDefault="00CC236C" w:rsidP="00CC236C">
            <w:pPr>
              <w:keepNext/>
              <w:widowControl w:val="0"/>
              <w:numPr>
                <w:ilvl w:val="0"/>
                <w:numId w:val="3"/>
              </w:numPr>
              <w:tabs>
                <w:tab w:val="clear" w:pos="719"/>
                <w:tab w:val="num" w:pos="577"/>
                <w:tab w:val="left" w:pos="9072"/>
              </w:tabs>
              <w:ind w:left="253" w:hanging="243"/>
              <w:jc w:val="both"/>
              <w:rPr>
                <w:lang w:val="uk-UA"/>
              </w:rPr>
            </w:pPr>
            <w:r w:rsidRPr="00F7290F">
              <w:rPr>
                <w:lang w:val="uk-UA"/>
              </w:rPr>
              <w:t>залізничним –</w:t>
            </w:r>
            <w:r w:rsidRPr="00F7290F">
              <w:rPr>
                <w:bCs/>
                <w:lang w:val="uk-UA"/>
              </w:rPr>
              <w:t xml:space="preserve"> </w:t>
            </w:r>
            <w:r w:rsidRPr="00F7290F">
              <w:rPr>
                <w:lang w:val="uk-UA"/>
              </w:rPr>
              <w:t xml:space="preserve"> на 1,4%.</w:t>
            </w:r>
          </w:p>
          <w:p w:rsidR="00CC236C" w:rsidRPr="00F7290F" w:rsidRDefault="00CC236C" w:rsidP="00CC236C">
            <w:pPr>
              <w:keepNext/>
              <w:widowControl w:val="0"/>
              <w:tabs>
                <w:tab w:val="left" w:pos="9072"/>
              </w:tabs>
              <w:spacing w:after="60"/>
              <w:ind w:firstLine="252"/>
              <w:jc w:val="both"/>
              <w:rPr>
                <w:lang w:val="uk-UA"/>
              </w:rPr>
            </w:pPr>
            <w:r w:rsidRPr="00F7290F">
              <w:rPr>
                <w:lang w:val="uk-UA"/>
              </w:rPr>
              <w:t>Кількість відправлених пасажирів з аеропортів області склала 495 тис. осіб   (збіль</w:t>
            </w:r>
            <w:r w:rsidRPr="00F7290F">
              <w:rPr>
                <w:lang w:val="uk-UA"/>
              </w:rPr>
              <w:softHyphen/>
              <w:t>шен</w:t>
            </w:r>
            <w:r w:rsidRPr="00F7290F">
              <w:rPr>
                <w:lang w:val="uk-UA"/>
              </w:rPr>
              <w:softHyphen/>
              <w:t>ня на 19,9%).</w:t>
            </w:r>
          </w:p>
          <w:p w:rsidR="00CC236C" w:rsidRPr="00F7290F" w:rsidRDefault="00CC236C" w:rsidP="00CC236C">
            <w:pPr>
              <w:keepNext/>
              <w:widowControl w:val="0"/>
              <w:tabs>
                <w:tab w:val="left" w:pos="9072"/>
              </w:tabs>
              <w:spacing w:after="60"/>
              <w:ind w:firstLine="252"/>
              <w:jc w:val="both"/>
              <w:rPr>
                <w:lang w:val="uk-UA"/>
              </w:rPr>
            </w:pPr>
            <w:r w:rsidRPr="00F7290F">
              <w:rPr>
                <w:lang w:val="uk-UA"/>
              </w:rPr>
              <w:t>Авіакомпанією «Донбасаеро» з червня 2012 року припинено виконання авіарей</w:t>
            </w:r>
            <w:r w:rsidRPr="00F7290F">
              <w:rPr>
                <w:lang w:val="uk-UA"/>
              </w:rPr>
              <w:softHyphen/>
              <w:t xml:space="preserve">сів. Основним видом діяльності підприємства є здача літаків в оренду разом з екіпажем (на балансі 8 літаків). </w:t>
            </w:r>
          </w:p>
          <w:p w:rsidR="001F5241" w:rsidRPr="00F7290F" w:rsidRDefault="001F5241" w:rsidP="00D65D2E">
            <w:pPr>
              <w:keepNext/>
              <w:widowControl w:val="0"/>
              <w:tabs>
                <w:tab w:val="left" w:pos="9072"/>
              </w:tabs>
              <w:spacing w:after="60"/>
              <w:ind w:firstLine="252"/>
              <w:jc w:val="both"/>
              <w:rPr>
                <w:color w:val="FF0000"/>
                <w:lang w:val="uk-UA"/>
              </w:rPr>
            </w:pPr>
          </w:p>
          <w:p w:rsidR="001F5241" w:rsidRPr="00F7290F" w:rsidRDefault="001F5241" w:rsidP="00D65D2E">
            <w:pPr>
              <w:keepNext/>
              <w:widowControl w:val="0"/>
              <w:tabs>
                <w:tab w:val="left" w:pos="9072"/>
              </w:tabs>
              <w:spacing w:after="60"/>
              <w:jc w:val="both"/>
              <w:rPr>
                <w:color w:val="FF0000"/>
                <w:lang w:val="uk-UA"/>
              </w:rPr>
            </w:pPr>
          </w:p>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tabs>
                <w:tab w:val="left" w:pos="9072"/>
              </w:tabs>
              <w:spacing w:after="60"/>
              <w:ind w:firstLine="284"/>
              <w:jc w:val="both"/>
              <w:rPr>
                <w:color w:val="FF0000"/>
                <w:lang w:val="uk-UA"/>
              </w:rPr>
            </w:pPr>
          </w:p>
          <w:p w:rsidR="001F5241" w:rsidRPr="00F7290F" w:rsidRDefault="001F5241" w:rsidP="00D65D2E">
            <w:pPr>
              <w:keepNext/>
              <w:widowControl w:val="0"/>
              <w:tabs>
                <w:tab w:val="left" w:pos="9072"/>
              </w:tabs>
              <w:spacing w:after="60"/>
              <w:ind w:firstLine="284"/>
              <w:jc w:val="both"/>
              <w:rPr>
                <w:color w:val="FF0000"/>
                <w:lang w:val="uk-UA"/>
              </w:rPr>
            </w:pPr>
          </w:p>
        </w:tc>
      </w:tr>
      <w:tr w:rsidR="001F5241" w:rsidRPr="00F7290F" w:rsidTr="00BA6341">
        <w:trPr>
          <w:trHeight w:hRule="exact" w:val="4542"/>
        </w:trPr>
        <w:tc>
          <w:tcPr>
            <w:tcW w:w="6134" w:type="dxa"/>
            <w:gridSpan w:val="2"/>
            <w:tcBorders>
              <w:top w:val="single" w:sz="4" w:space="0" w:color="auto"/>
              <w:left w:val="nil"/>
              <w:bottom w:val="nil"/>
              <w:right w:val="nil"/>
            </w:tcBorders>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0"/>
              <w:gridCol w:w="1792"/>
              <w:gridCol w:w="1642"/>
              <w:gridCol w:w="1643"/>
            </w:tblGrid>
            <w:tr w:rsidR="001F5241" w:rsidRPr="00F7290F" w:rsidTr="004E0406">
              <w:trPr>
                <w:trHeight w:val="1208"/>
              </w:trPr>
              <w:tc>
                <w:tcPr>
                  <w:tcW w:w="970" w:type="dxa"/>
                  <w:tcBorders>
                    <w:top w:val="single" w:sz="4" w:space="0" w:color="auto"/>
                    <w:left w:val="single" w:sz="4" w:space="0" w:color="auto"/>
                    <w:bottom w:val="single" w:sz="4" w:space="0" w:color="auto"/>
                    <w:right w:val="single" w:sz="4" w:space="0" w:color="auto"/>
                  </w:tcBorders>
                </w:tcPr>
                <w:p w:rsidR="001F5241" w:rsidRPr="00F7290F" w:rsidRDefault="001F5241" w:rsidP="00D65D2E">
                  <w:pPr>
                    <w:keepNext/>
                    <w:widowControl w:val="0"/>
                    <w:jc w:val="center"/>
                    <w:rPr>
                      <w:color w:val="FF0000"/>
                      <w:lang w:val="uk-UA"/>
                    </w:rPr>
                  </w:pPr>
                </w:p>
              </w:tc>
              <w:tc>
                <w:tcPr>
                  <w:tcW w:w="1792" w:type="dxa"/>
                  <w:tcBorders>
                    <w:top w:val="single" w:sz="4" w:space="0" w:color="auto"/>
                    <w:left w:val="single" w:sz="4" w:space="0" w:color="auto"/>
                    <w:bottom w:val="single" w:sz="4" w:space="0" w:color="auto"/>
                    <w:right w:val="single" w:sz="4" w:space="0" w:color="auto"/>
                  </w:tcBorders>
                  <w:vAlign w:val="center"/>
                </w:tcPr>
                <w:p w:rsidR="001F5241" w:rsidRPr="00F7290F" w:rsidRDefault="001F5241" w:rsidP="00D65D2E">
                  <w:pPr>
                    <w:keepNext/>
                    <w:widowControl w:val="0"/>
                    <w:jc w:val="center"/>
                    <w:rPr>
                      <w:color w:val="000000" w:themeColor="text1"/>
                      <w:lang w:val="uk-UA"/>
                    </w:rPr>
                  </w:pPr>
                  <w:r w:rsidRPr="00F7290F">
                    <w:rPr>
                      <w:color w:val="000000" w:themeColor="text1"/>
                      <w:lang w:val="uk-UA"/>
                    </w:rPr>
                    <w:t xml:space="preserve">Залізничний,               млн. пас.                </w:t>
                  </w:r>
                  <w:r w:rsidRPr="00F7290F">
                    <w:rPr>
                      <w:i/>
                      <w:color w:val="000000" w:themeColor="text1"/>
                      <w:sz w:val="20"/>
                      <w:szCs w:val="20"/>
                      <w:lang w:val="uk-UA"/>
                    </w:rPr>
                    <w:t>(з  території   області)</w:t>
                  </w:r>
                </w:p>
              </w:tc>
              <w:tc>
                <w:tcPr>
                  <w:tcW w:w="1642" w:type="dxa"/>
                  <w:tcBorders>
                    <w:top w:val="single" w:sz="4" w:space="0" w:color="auto"/>
                    <w:left w:val="single" w:sz="4" w:space="0" w:color="auto"/>
                    <w:bottom w:val="single" w:sz="4" w:space="0" w:color="auto"/>
                    <w:right w:val="single" w:sz="4" w:space="0" w:color="auto"/>
                  </w:tcBorders>
                  <w:vAlign w:val="center"/>
                </w:tcPr>
                <w:p w:rsidR="001F5241" w:rsidRPr="00F7290F" w:rsidRDefault="001F5241" w:rsidP="00D65D2E">
                  <w:pPr>
                    <w:keepNext/>
                    <w:widowControl w:val="0"/>
                    <w:jc w:val="center"/>
                    <w:rPr>
                      <w:color w:val="000000" w:themeColor="text1"/>
                      <w:lang w:val="uk-UA"/>
                    </w:rPr>
                  </w:pPr>
                  <w:r w:rsidRPr="00F7290F">
                    <w:rPr>
                      <w:color w:val="000000" w:themeColor="text1"/>
                      <w:lang w:val="uk-UA"/>
                    </w:rPr>
                    <w:t>Автомобіль</w:t>
                  </w:r>
                  <w:r w:rsidRPr="00F7290F">
                    <w:rPr>
                      <w:color w:val="000000" w:themeColor="text1"/>
                      <w:lang w:val="uk-UA"/>
                    </w:rPr>
                    <w:softHyphen/>
                    <w:t>ний, млн. пас.</w:t>
                  </w:r>
                </w:p>
              </w:tc>
              <w:tc>
                <w:tcPr>
                  <w:tcW w:w="1643" w:type="dxa"/>
                  <w:tcBorders>
                    <w:top w:val="single" w:sz="4" w:space="0" w:color="auto"/>
                    <w:left w:val="single" w:sz="4" w:space="0" w:color="auto"/>
                    <w:bottom w:val="single" w:sz="4" w:space="0" w:color="auto"/>
                    <w:right w:val="single" w:sz="4" w:space="0" w:color="auto"/>
                  </w:tcBorders>
                  <w:vAlign w:val="center"/>
                </w:tcPr>
                <w:p w:rsidR="001F5241" w:rsidRPr="00F7290F" w:rsidRDefault="001F5241" w:rsidP="00D65D2E">
                  <w:pPr>
                    <w:keepNext/>
                    <w:widowControl w:val="0"/>
                    <w:jc w:val="center"/>
                    <w:rPr>
                      <w:color w:val="000000" w:themeColor="text1"/>
                      <w:lang w:val="uk-UA"/>
                    </w:rPr>
                  </w:pPr>
                  <w:r w:rsidRPr="00F7290F">
                    <w:rPr>
                      <w:color w:val="000000" w:themeColor="text1"/>
                      <w:lang w:val="uk-UA"/>
                    </w:rPr>
                    <w:t>Авіаційний,               тис. пас.</w:t>
                  </w:r>
                </w:p>
              </w:tc>
            </w:tr>
            <w:tr w:rsidR="00CC236C" w:rsidRPr="00F7290F" w:rsidTr="004E0406">
              <w:trPr>
                <w:trHeight w:val="544"/>
              </w:trPr>
              <w:tc>
                <w:tcPr>
                  <w:tcW w:w="970" w:type="dxa"/>
                  <w:tcBorders>
                    <w:top w:val="single" w:sz="4" w:space="0" w:color="auto"/>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2008</w:t>
                  </w:r>
                </w:p>
              </w:tc>
              <w:tc>
                <w:tcPr>
                  <w:tcW w:w="1792" w:type="dxa"/>
                  <w:tcBorders>
                    <w:top w:val="single" w:sz="4" w:space="0" w:color="auto"/>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46,2</w:t>
                  </w:r>
                </w:p>
              </w:tc>
              <w:tc>
                <w:tcPr>
                  <w:tcW w:w="1642" w:type="dxa"/>
                  <w:tcBorders>
                    <w:top w:val="single" w:sz="4" w:space="0" w:color="auto"/>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531,5</w:t>
                  </w:r>
                </w:p>
              </w:tc>
              <w:tc>
                <w:tcPr>
                  <w:tcW w:w="1643" w:type="dxa"/>
                  <w:tcBorders>
                    <w:top w:val="single" w:sz="4" w:space="0" w:color="auto"/>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553,1</w:t>
                  </w:r>
                </w:p>
              </w:tc>
            </w:tr>
            <w:tr w:rsidR="00CC236C" w:rsidRPr="00F7290F" w:rsidTr="004E0406">
              <w:trPr>
                <w:trHeight w:val="469"/>
              </w:trPr>
              <w:tc>
                <w:tcPr>
                  <w:tcW w:w="970"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2009</w:t>
                  </w:r>
                </w:p>
              </w:tc>
              <w:tc>
                <w:tcPr>
                  <w:tcW w:w="179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42,8</w:t>
                  </w:r>
                </w:p>
              </w:tc>
              <w:tc>
                <w:tcPr>
                  <w:tcW w:w="164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533,6</w:t>
                  </w:r>
                </w:p>
              </w:tc>
              <w:tc>
                <w:tcPr>
                  <w:tcW w:w="1643"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464,7</w:t>
                  </w:r>
                </w:p>
              </w:tc>
            </w:tr>
            <w:tr w:rsidR="00CC236C" w:rsidRPr="00F7290F" w:rsidTr="004E0406">
              <w:trPr>
                <w:trHeight w:val="458"/>
              </w:trPr>
              <w:tc>
                <w:tcPr>
                  <w:tcW w:w="970"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2010</w:t>
                  </w:r>
                </w:p>
              </w:tc>
              <w:tc>
                <w:tcPr>
                  <w:tcW w:w="179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42,1</w:t>
                  </w:r>
                </w:p>
              </w:tc>
              <w:tc>
                <w:tcPr>
                  <w:tcW w:w="164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534,6</w:t>
                  </w:r>
                </w:p>
              </w:tc>
              <w:tc>
                <w:tcPr>
                  <w:tcW w:w="1643"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362,4</w:t>
                  </w:r>
                </w:p>
              </w:tc>
            </w:tr>
            <w:tr w:rsidR="00CC236C" w:rsidRPr="00F7290F" w:rsidTr="004E0406">
              <w:trPr>
                <w:trHeight w:val="536"/>
              </w:trPr>
              <w:tc>
                <w:tcPr>
                  <w:tcW w:w="970"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 xml:space="preserve">2011 </w:t>
                  </w:r>
                </w:p>
              </w:tc>
              <w:tc>
                <w:tcPr>
                  <w:tcW w:w="179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41,3</w:t>
                  </w:r>
                </w:p>
              </w:tc>
              <w:tc>
                <w:tcPr>
                  <w:tcW w:w="164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521,0</w:t>
                  </w:r>
                </w:p>
              </w:tc>
              <w:tc>
                <w:tcPr>
                  <w:tcW w:w="1643"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112,2</w:t>
                  </w:r>
                </w:p>
              </w:tc>
            </w:tr>
            <w:tr w:rsidR="00CC236C" w:rsidRPr="00F7290F" w:rsidTr="004E0406">
              <w:trPr>
                <w:trHeight w:val="645"/>
              </w:trPr>
              <w:tc>
                <w:tcPr>
                  <w:tcW w:w="970"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2012</w:t>
                  </w:r>
                </w:p>
              </w:tc>
              <w:tc>
                <w:tcPr>
                  <w:tcW w:w="179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40,7</w:t>
                  </w:r>
                </w:p>
              </w:tc>
              <w:tc>
                <w:tcPr>
                  <w:tcW w:w="164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505,3</w:t>
                  </w:r>
                </w:p>
              </w:tc>
              <w:tc>
                <w:tcPr>
                  <w:tcW w:w="1643"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28,6</w:t>
                  </w:r>
                </w:p>
              </w:tc>
            </w:tr>
          </w:tbl>
          <w:p w:rsidR="001F5241" w:rsidRPr="00F7290F" w:rsidRDefault="001F5241" w:rsidP="00D65D2E">
            <w:pPr>
              <w:keepNext/>
              <w:widowControl w:val="0"/>
              <w:rPr>
                <w:color w:val="FF0000"/>
                <w:lang w:val="uk-UA"/>
              </w:rPr>
            </w:pPr>
          </w:p>
        </w:tc>
        <w:tc>
          <w:tcPr>
            <w:tcW w:w="3544" w:type="dxa"/>
            <w:vMerge/>
            <w:tcBorders>
              <w:left w:val="nil"/>
              <w:bottom w:val="nil"/>
              <w:right w:val="nil"/>
            </w:tcBorders>
          </w:tcPr>
          <w:p w:rsidR="001F5241" w:rsidRPr="00F7290F" w:rsidRDefault="001F5241" w:rsidP="00D65D2E">
            <w:pPr>
              <w:keepNext/>
              <w:widowControl w:val="0"/>
              <w:tabs>
                <w:tab w:val="left" w:pos="9072"/>
              </w:tabs>
              <w:spacing w:after="60"/>
              <w:ind w:firstLine="284"/>
              <w:jc w:val="both"/>
              <w:rPr>
                <w:color w:val="FF0000"/>
                <w:lang w:val="uk-UA"/>
              </w:rPr>
            </w:pPr>
          </w:p>
        </w:tc>
      </w:tr>
      <w:tr w:rsidR="00603ED9" w:rsidRPr="00F7290F" w:rsidTr="00BA6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1"/>
        </w:trPr>
        <w:tc>
          <w:tcPr>
            <w:tcW w:w="6120" w:type="dxa"/>
          </w:tcPr>
          <w:p w:rsidR="00603ED9" w:rsidRPr="00F7290F" w:rsidRDefault="00603ED9" w:rsidP="00D65D2E">
            <w:pPr>
              <w:keepNext/>
              <w:widowControl w:val="0"/>
              <w:ind w:left="-397"/>
              <w:jc w:val="center"/>
              <w:rPr>
                <w:b/>
                <w:noProof/>
                <w:color w:val="000000" w:themeColor="text1"/>
                <w:lang w:val="uk-UA"/>
              </w:rPr>
            </w:pPr>
            <w:r w:rsidRPr="00F7290F">
              <w:rPr>
                <w:b/>
                <w:noProof/>
                <w:color w:val="000000" w:themeColor="text1"/>
                <w:lang w:val="uk-UA"/>
              </w:rPr>
              <w:t xml:space="preserve">Динаміка обробки вантажів </w:t>
            </w:r>
          </w:p>
          <w:p w:rsidR="00603ED9" w:rsidRPr="00F7290F" w:rsidRDefault="00603ED9" w:rsidP="00D65D2E">
            <w:pPr>
              <w:keepNext/>
              <w:widowControl w:val="0"/>
              <w:ind w:left="-397"/>
              <w:jc w:val="center"/>
              <w:rPr>
                <w:b/>
                <w:noProof/>
                <w:color w:val="FF0000"/>
                <w:lang w:val="uk-UA"/>
              </w:rPr>
            </w:pPr>
            <w:r w:rsidRPr="00F7290F">
              <w:rPr>
                <w:b/>
                <w:noProof/>
                <w:color w:val="000000" w:themeColor="text1"/>
                <w:lang w:val="uk-UA"/>
              </w:rPr>
              <w:t>на морських причалах області, млн.т</w:t>
            </w:r>
          </w:p>
        </w:tc>
        <w:tc>
          <w:tcPr>
            <w:tcW w:w="3558" w:type="dxa"/>
            <w:gridSpan w:val="2"/>
          </w:tcPr>
          <w:p w:rsidR="00603ED9" w:rsidRPr="00F7290F" w:rsidRDefault="00603ED9" w:rsidP="00D65D2E">
            <w:pPr>
              <w:keepNext/>
              <w:widowControl w:val="0"/>
              <w:spacing w:after="60"/>
              <w:ind w:firstLine="284"/>
              <w:jc w:val="both"/>
              <w:rPr>
                <w:color w:val="FF0000"/>
                <w:lang w:val="uk-UA"/>
              </w:rPr>
            </w:pPr>
          </w:p>
        </w:tc>
      </w:tr>
      <w:tr w:rsidR="00603ED9" w:rsidRPr="00F7290F" w:rsidTr="00BA6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2"/>
        </w:trPr>
        <w:tc>
          <w:tcPr>
            <w:tcW w:w="6120" w:type="dxa"/>
          </w:tcPr>
          <w:p w:rsidR="00603ED9" w:rsidRPr="00F7290F" w:rsidRDefault="00603ED9" w:rsidP="00D65D2E">
            <w:pPr>
              <w:keepNext/>
              <w:widowControl w:val="0"/>
              <w:ind w:left="-397"/>
              <w:jc w:val="center"/>
              <w:rPr>
                <w:b/>
                <w:noProof/>
                <w:color w:val="FF0000"/>
                <w:lang w:val="uk-UA"/>
              </w:rPr>
            </w:pPr>
            <w:r w:rsidRPr="00F7290F">
              <w:rPr>
                <w:b/>
                <w:noProof/>
                <w:color w:val="FF0000"/>
              </w:rPr>
              <w:drawing>
                <wp:inline distT="0" distB="0" distL="0" distR="0">
                  <wp:extent cx="3749040" cy="1714500"/>
                  <wp:effectExtent l="0" t="0" r="0" b="0"/>
                  <wp:docPr id="43"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3558" w:type="dxa"/>
            <w:gridSpan w:val="2"/>
          </w:tcPr>
          <w:p w:rsidR="00603ED9" w:rsidRPr="00F7290F" w:rsidRDefault="00603ED9" w:rsidP="00D65D2E">
            <w:pPr>
              <w:keepNext/>
              <w:widowControl w:val="0"/>
              <w:spacing w:after="60"/>
              <w:ind w:firstLine="284"/>
              <w:jc w:val="both"/>
              <w:rPr>
                <w:color w:val="FF0000"/>
                <w:lang w:val="uk-UA"/>
              </w:rPr>
            </w:pPr>
          </w:p>
          <w:p w:rsidR="00603ED9" w:rsidRPr="00F7290F" w:rsidRDefault="00ED197F" w:rsidP="00D65D2E">
            <w:pPr>
              <w:keepNext/>
              <w:widowControl w:val="0"/>
              <w:spacing w:after="60"/>
              <w:ind w:firstLine="284"/>
              <w:jc w:val="both"/>
              <w:rPr>
                <w:color w:val="FF0000"/>
                <w:lang w:val="uk-UA"/>
              </w:rPr>
            </w:pPr>
            <w:r w:rsidRPr="00F7290F">
              <w:rPr>
                <w:spacing w:val="-6"/>
                <w:lang w:val="uk-UA"/>
              </w:rPr>
              <w:t>Обсяг обробки вантажів на морських причалах області зменшився на 8,1%. Обробка експортних вантажів скоротилася на 7,1%, транзитних – на 14,3%, частка яких в загальному обсязі вантажо</w:t>
            </w:r>
            <w:r w:rsidRPr="00F7290F">
              <w:rPr>
                <w:spacing w:val="-6"/>
                <w:lang w:val="uk-UA"/>
              </w:rPr>
              <w:softHyphen/>
              <w:t>обробки – 86,5% і 10,8%, відповідно.</w:t>
            </w:r>
          </w:p>
        </w:tc>
      </w:tr>
    </w:tbl>
    <w:p w:rsidR="007E118E" w:rsidRPr="00F7290F" w:rsidRDefault="007E118E" w:rsidP="00D65D2E">
      <w:pPr>
        <w:keepNext/>
        <w:widowControl w:val="0"/>
        <w:rPr>
          <w:color w:val="FF0000"/>
          <w:lang w:val="uk-UA"/>
        </w:rPr>
      </w:pPr>
      <w:r w:rsidRPr="00F7290F">
        <w:rPr>
          <w:color w:val="FF0000"/>
          <w:lang w:val="uk-UA"/>
        </w:rPr>
        <w:br w:type="page"/>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2"/>
        <w:gridCol w:w="3546"/>
      </w:tblGrid>
      <w:tr w:rsidR="001F5241" w:rsidRPr="00F7290F" w:rsidTr="00BA6341">
        <w:trPr>
          <w:trHeight w:val="359"/>
        </w:trPr>
        <w:tc>
          <w:tcPr>
            <w:tcW w:w="6132" w:type="dxa"/>
            <w:tcBorders>
              <w:top w:val="nil"/>
              <w:left w:val="nil"/>
              <w:bottom w:val="nil"/>
              <w:right w:val="nil"/>
            </w:tcBorders>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lastRenderedPageBreak/>
              <w:t xml:space="preserve">Динаміка обсягу реалізованих послуг </w:t>
            </w:r>
          </w:p>
          <w:p w:rsidR="001F5241" w:rsidRPr="00F7290F" w:rsidRDefault="001F5241" w:rsidP="00D65D2E">
            <w:pPr>
              <w:keepNext/>
              <w:widowControl w:val="0"/>
              <w:jc w:val="center"/>
              <w:rPr>
                <w:color w:val="FF0000"/>
                <w:lang w:val="uk-UA"/>
              </w:rPr>
            </w:pPr>
            <w:r w:rsidRPr="00F7290F">
              <w:rPr>
                <w:b/>
                <w:color w:val="000000" w:themeColor="text1"/>
                <w:lang w:val="uk-UA"/>
              </w:rPr>
              <w:t>у діючих цінах, млрд.грн.</w:t>
            </w:r>
          </w:p>
        </w:tc>
        <w:tc>
          <w:tcPr>
            <w:tcW w:w="3546" w:type="dxa"/>
            <w:tcBorders>
              <w:top w:val="nil"/>
              <w:left w:val="nil"/>
              <w:bottom w:val="nil"/>
              <w:right w:val="nil"/>
            </w:tcBorders>
          </w:tcPr>
          <w:p w:rsidR="001F5241" w:rsidRPr="00F7290F" w:rsidRDefault="001F5241" w:rsidP="00D65D2E">
            <w:pPr>
              <w:keepNext/>
              <w:widowControl w:val="0"/>
              <w:spacing w:after="60"/>
              <w:ind w:firstLine="284"/>
              <w:jc w:val="both"/>
              <w:rPr>
                <w:b/>
                <w:color w:val="FF0000"/>
                <w:spacing w:val="-6"/>
                <w:lang w:val="uk-UA"/>
              </w:rPr>
            </w:pPr>
          </w:p>
        </w:tc>
      </w:tr>
      <w:tr w:rsidR="001F5241" w:rsidRPr="00F7290F" w:rsidTr="00BA6341">
        <w:trPr>
          <w:trHeight w:val="2965"/>
        </w:trPr>
        <w:tc>
          <w:tcPr>
            <w:tcW w:w="6132" w:type="dxa"/>
            <w:tcBorders>
              <w:top w:val="nil"/>
              <w:left w:val="nil"/>
              <w:bottom w:val="nil"/>
              <w:right w:val="nil"/>
            </w:tcBorders>
          </w:tcPr>
          <w:p w:rsidR="001F5241" w:rsidRPr="00F7290F" w:rsidRDefault="001F5241" w:rsidP="00D65D2E">
            <w:pPr>
              <w:keepNext/>
              <w:widowControl w:val="0"/>
              <w:ind w:left="-510" w:right="-108"/>
              <w:jc w:val="center"/>
              <w:rPr>
                <w:color w:val="FF0000"/>
                <w:sz w:val="2"/>
                <w:szCs w:val="2"/>
                <w:lang w:val="uk-UA"/>
              </w:rPr>
            </w:pPr>
            <w:r w:rsidRPr="00F7290F">
              <w:rPr>
                <w:noProof/>
                <w:color w:val="FF0000"/>
              </w:rPr>
              <w:drawing>
                <wp:inline distT="0" distB="0" distL="0" distR="0">
                  <wp:extent cx="4540102" cy="2126512"/>
                  <wp:effectExtent l="0" t="0" r="0" b="0"/>
                  <wp:docPr id="86"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3546" w:type="dxa"/>
            <w:tcBorders>
              <w:top w:val="nil"/>
              <w:left w:val="nil"/>
              <w:bottom w:val="nil"/>
              <w:right w:val="nil"/>
            </w:tcBorders>
          </w:tcPr>
          <w:p w:rsidR="00201660" w:rsidRPr="00F7290F" w:rsidRDefault="00201660" w:rsidP="00D65D2E">
            <w:pPr>
              <w:keepNext/>
              <w:widowControl w:val="0"/>
              <w:spacing w:after="60"/>
              <w:ind w:firstLine="284"/>
              <w:jc w:val="both"/>
              <w:rPr>
                <w:color w:val="FF0000"/>
                <w:lang w:val="uk-UA"/>
              </w:rPr>
            </w:pPr>
          </w:p>
          <w:p w:rsidR="00ED197F" w:rsidRPr="00F7290F" w:rsidRDefault="00ED197F" w:rsidP="00ED197F">
            <w:pPr>
              <w:keepNext/>
              <w:widowControl w:val="0"/>
              <w:spacing w:after="60"/>
              <w:ind w:firstLine="284"/>
              <w:jc w:val="both"/>
              <w:rPr>
                <w:lang w:val="uk-UA"/>
              </w:rPr>
            </w:pPr>
            <w:r w:rsidRPr="00F7290F">
              <w:rPr>
                <w:lang w:val="uk-UA"/>
              </w:rPr>
              <w:t>Обсяг реалізованих послуг для всіх споживачів у діючих цінах зріс на 25,9%.</w:t>
            </w:r>
          </w:p>
          <w:p w:rsidR="001F5241" w:rsidRPr="00F7290F" w:rsidRDefault="00ED197F" w:rsidP="00ED197F">
            <w:pPr>
              <w:keepNext/>
              <w:widowControl w:val="0"/>
              <w:spacing w:after="60"/>
              <w:ind w:firstLine="284"/>
              <w:jc w:val="both"/>
              <w:rPr>
                <w:color w:val="FF0000"/>
                <w:lang w:val="uk-UA"/>
              </w:rPr>
            </w:pPr>
            <w:r w:rsidRPr="00F7290F">
              <w:rPr>
                <w:lang w:val="uk-UA"/>
              </w:rPr>
              <w:t>Обсяг послуг, наданих населенню, збільшився на 9,3% і склав 3,9 млрд.грн. (18,6% від загального обсягу послуг).</w:t>
            </w:r>
          </w:p>
        </w:tc>
      </w:tr>
      <w:tr w:rsidR="001F5241" w:rsidRPr="00F7290F" w:rsidTr="00BA6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678" w:type="dxa"/>
            <w:gridSpan w:val="2"/>
          </w:tcPr>
          <w:p w:rsidR="001F5241" w:rsidRPr="00F7290F" w:rsidRDefault="001F5241" w:rsidP="00125FF0">
            <w:pPr>
              <w:pStyle w:val="23"/>
              <w:keepNext/>
              <w:widowControl w:val="0"/>
              <w:spacing w:after="0"/>
              <w:ind w:firstLine="709"/>
              <w:rPr>
                <w:color w:val="FF0000"/>
              </w:rPr>
            </w:pPr>
            <w:r w:rsidRPr="00F7290F">
              <w:rPr>
                <w:color w:val="FF0000"/>
              </w:rPr>
              <w:br w:type="page"/>
            </w:r>
            <w:r w:rsidR="00ED197F" w:rsidRPr="00F7290F">
              <w:rPr>
                <w:bCs/>
              </w:rPr>
              <w:t>З метою створення конкурентоспроможних виробництв за пріоритетними напрямами інноваційного розвитку регіону підприємствами, організаціями та установами протягом року реалізовувались 5</w:t>
            </w:r>
            <w:r w:rsidR="00125FF0" w:rsidRPr="00F7290F">
              <w:rPr>
                <w:bCs/>
              </w:rPr>
              <w:t>6</w:t>
            </w:r>
            <w:r w:rsidR="00ED197F" w:rsidRPr="00F7290F">
              <w:rPr>
                <w:bCs/>
              </w:rPr>
              <w:t xml:space="preserve"> проект</w:t>
            </w:r>
            <w:r w:rsidR="00125FF0" w:rsidRPr="00F7290F">
              <w:rPr>
                <w:bCs/>
              </w:rPr>
              <w:t>ів</w:t>
            </w:r>
            <w:r w:rsidR="00ED197F" w:rsidRPr="00F7290F">
              <w:rPr>
                <w:bCs/>
              </w:rPr>
              <w:t>, на які спрямовано 3</w:t>
            </w:r>
            <w:r w:rsidR="00125FF0" w:rsidRPr="00F7290F">
              <w:rPr>
                <w:bCs/>
              </w:rPr>
              <w:t>93</w:t>
            </w:r>
            <w:r w:rsidR="00ED197F" w:rsidRPr="00F7290F">
              <w:rPr>
                <w:bCs/>
              </w:rPr>
              <w:t xml:space="preserve">,0 млн.грн., у тому числі: з держбюджету – </w:t>
            </w:r>
            <w:r w:rsidR="00125FF0" w:rsidRPr="00F7290F">
              <w:rPr>
                <w:bCs/>
              </w:rPr>
              <w:t>7,1</w:t>
            </w:r>
            <w:r w:rsidR="00ED197F" w:rsidRPr="00F7290F">
              <w:rPr>
                <w:bCs/>
              </w:rPr>
              <w:t xml:space="preserve"> млн.грн., власних коштів підприємств –  </w:t>
            </w:r>
            <w:r w:rsidR="00125FF0" w:rsidRPr="00F7290F">
              <w:rPr>
                <w:bCs/>
              </w:rPr>
              <w:t>253,7</w:t>
            </w:r>
            <w:r w:rsidR="00ED197F" w:rsidRPr="00F7290F">
              <w:rPr>
                <w:bCs/>
              </w:rPr>
              <w:t xml:space="preserve"> млн.грн., з інших джерел – </w:t>
            </w:r>
            <w:r w:rsidR="00125FF0" w:rsidRPr="00F7290F">
              <w:rPr>
                <w:bCs/>
              </w:rPr>
              <w:t>132</w:t>
            </w:r>
            <w:r w:rsidR="00ED197F" w:rsidRPr="00F7290F">
              <w:rPr>
                <w:bCs/>
              </w:rPr>
              <w:t>,2 млн.грн.</w:t>
            </w:r>
          </w:p>
        </w:tc>
      </w:tr>
      <w:tr w:rsidR="001F5241" w:rsidRPr="00F7290F" w:rsidTr="00BA6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6132" w:type="dxa"/>
          </w:tcPr>
          <w:p w:rsidR="001F5241" w:rsidRPr="00F7290F" w:rsidRDefault="001F5241" w:rsidP="00D65D2E">
            <w:pPr>
              <w:keepNext/>
              <w:widowControl w:val="0"/>
              <w:spacing w:before="120"/>
              <w:jc w:val="center"/>
              <w:rPr>
                <w:b/>
                <w:color w:val="000000" w:themeColor="text1"/>
                <w:lang w:val="uk-UA"/>
              </w:rPr>
            </w:pPr>
            <w:r w:rsidRPr="00F7290F">
              <w:rPr>
                <w:b/>
                <w:color w:val="000000" w:themeColor="text1"/>
                <w:lang w:val="uk-UA"/>
              </w:rPr>
              <w:t xml:space="preserve">Динаміка споживання </w:t>
            </w:r>
          </w:p>
          <w:p w:rsidR="001F5241" w:rsidRPr="00F7290F" w:rsidRDefault="001F5241" w:rsidP="00D65D2E">
            <w:pPr>
              <w:keepNext/>
              <w:widowControl w:val="0"/>
              <w:jc w:val="center"/>
              <w:rPr>
                <w:b/>
                <w:color w:val="000000" w:themeColor="text1"/>
                <w:lang w:val="uk-UA"/>
              </w:rPr>
            </w:pPr>
            <w:r w:rsidRPr="00F7290F">
              <w:rPr>
                <w:b/>
                <w:color w:val="000000" w:themeColor="text1"/>
                <w:lang w:val="uk-UA"/>
              </w:rPr>
              <w:t>паливно-енергетичних ресурсів</w:t>
            </w:r>
          </w:p>
        </w:tc>
        <w:tc>
          <w:tcPr>
            <w:tcW w:w="3546" w:type="dxa"/>
            <w:vMerge w:val="restart"/>
          </w:tcPr>
          <w:p w:rsidR="00BA6341" w:rsidRDefault="001F5241" w:rsidP="00BA6341">
            <w:pPr>
              <w:keepNext/>
              <w:widowControl w:val="0"/>
              <w:tabs>
                <w:tab w:val="left" w:pos="180"/>
              </w:tabs>
              <w:spacing w:after="120"/>
              <w:jc w:val="both"/>
              <w:rPr>
                <w:color w:val="FF0000"/>
                <w:lang w:val="uk-UA"/>
              </w:rPr>
            </w:pPr>
            <w:r w:rsidRPr="00F7290F">
              <w:rPr>
                <w:color w:val="FF0000"/>
                <w:lang w:val="uk-UA"/>
              </w:rPr>
              <w:t xml:space="preserve">    </w:t>
            </w:r>
          </w:p>
          <w:p w:rsidR="00D3347A" w:rsidRPr="00F7290F" w:rsidRDefault="00D3347A" w:rsidP="00BA6341">
            <w:pPr>
              <w:keepNext/>
              <w:widowControl w:val="0"/>
              <w:tabs>
                <w:tab w:val="left" w:pos="180"/>
              </w:tabs>
              <w:spacing w:after="120"/>
              <w:jc w:val="both"/>
              <w:rPr>
                <w:lang w:val="uk-UA"/>
              </w:rPr>
            </w:pPr>
            <w:r w:rsidRPr="00F7290F">
              <w:rPr>
                <w:lang w:val="uk-UA"/>
              </w:rPr>
              <w:t>Значна увага приділялась реалізації Програми енергоефектив</w:t>
            </w:r>
            <w:r w:rsidRPr="00F7290F">
              <w:rPr>
                <w:lang w:val="uk-UA"/>
              </w:rPr>
              <w:softHyphen/>
              <w:t>ності Донецької області на 2010-2015 роки.</w:t>
            </w:r>
          </w:p>
          <w:p w:rsidR="001F5241" w:rsidRPr="00F7290F" w:rsidRDefault="00D3347A" w:rsidP="00BA6341">
            <w:pPr>
              <w:keepNext/>
              <w:widowControl w:val="0"/>
              <w:tabs>
                <w:tab w:val="left" w:pos="180"/>
              </w:tabs>
              <w:spacing w:after="120"/>
              <w:jc w:val="both"/>
              <w:rPr>
                <w:color w:val="FF0000"/>
                <w:lang w:val="uk-UA"/>
              </w:rPr>
            </w:pPr>
            <w:r w:rsidRPr="00F7290F">
              <w:rPr>
                <w:lang w:val="uk-UA"/>
              </w:rPr>
              <w:t xml:space="preserve">    За рахунок здійснення заходів з </w:t>
            </w:r>
            <w:r w:rsidRPr="00F7290F">
              <w:rPr>
                <w:spacing w:val="-2"/>
                <w:lang w:val="uk-UA"/>
              </w:rPr>
              <w:t>енергозбереження у 2012 році  зеко</w:t>
            </w:r>
            <w:r w:rsidRPr="00F7290F">
              <w:rPr>
                <w:spacing w:val="-2"/>
                <w:lang w:val="uk-UA"/>
              </w:rPr>
              <w:softHyphen/>
              <w:t>ном</w:t>
            </w:r>
            <w:r w:rsidRPr="00F7290F">
              <w:rPr>
                <w:spacing w:val="-2"/>
                <w:lang w:val="uk-UA"/>
              </w:rPr>
              <w:softHyphen/>
              <w:t>лено</w:t>
            </w:r>
            <w:r w:rsidRPr="00F7290F">
              <w:rPr>
                <w:lang w:val="uk-UA"/>
              </w:rPr>
              <w:t xml:space="preserve"> 1660,2 тис.туп паливно-енергетич</w:t>
            </w:r>
            <w:r w:rsidRPr="00F7290F">
              <w:rPr>
                <w:lang w:val="uk-UA"/>
              </w:rPr>
              <w:softHyphen/>
              <w:t>них ресурсів.</w:t>
            </w:r>
          </w:p>
        </w:tc>
      </w:tr>
      <w:tr w:rsidR="001F5241" w:rsidRPr="00F7290F" w:rsidTr="00BA6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6132" w:type="dxa"/>
          </w:tcPr>
          <w:tbl>
            <w:tblPr>
              <w:tblW w:w="0" w:type="auto"/>
              <w:tblLayout w:type="fixed"/>
              <w:tblLook w:val="01E0"/>
            </w:tblPr>
            <w:tblGrid>
              <w:gridCol w:w="3307"/>
              <w:gridCol w:w="857"/>
              <w:gridCol w:w="857"/>
              <w:gridCol w:w="858"/>
            </w:tblGrid>
            <w:tr w:rsidR="00E224CB" w:rsidRPr="00F7290F" w:rsidTr="004E0406">
              <w:trPr>
                <w:trHeight w:val="290"/>
              </w:trPr>
              <w:tc>
                <w:tcPr>
                  <w:tcW w:w="3307" w:type="dxa"/>
                  <w:tcBorders>
                    <w:top w:val="single" w:sz="4" w:space="0" w:color="auto"/>
                    <w:left w:val="single" w:sz="4" w:space="0" w:color="auto"/>
                    <w:bottom w:val="single" w:sz="4" w:space="0" w:color="auto"/>
                    <w:right w:val="single" w:sz="4" w:space="0" w:color="auto"/>
                  </w:tcBorders>
                  <w:vAlign w:val="center"/>
                </w:tcPr>
                <w:p w:rsidR="00E224CB" w:rsidRPr="00F7290F" w:rsidRDefault="00E224CB" w:rsidP="00D65D2E">
                  <w:pPr>
                    <w:keepNext/>
                    <w:widowControl w:val="0"/>
                    <w:spacing w:after="120"/>
                    <w:jc w:val="center"/>
                    <w:rPr>
                      <w:b/>
                      <w:color w:val="000000" w:themeColor="text1"/>
                      <w:lang w:val="uk-UA"/>
                    </w:rPr>
                  </w:pPr>
                </w:p>
              </w:tc>
              <w:tc>
                <w:tcPr>
                  <w:tcW w:w="857" w:type="dxa"/>
                  <w:tcBorders>
                    <w:top w:val="single" w:sz="4" w:space="0" w:color="auto"/>
                    <w:left w:val="single" w:sz="4" w:space="0" w:color="auto"/>
                    <w:bottom w:val="single" w:sz="4" w:space="0" w:color="auto"/>
                    <w:right w:val="single" w:sz="4" w:space="0" w:color="auto"/>
                  </w:tcBorders>
                  <w:vAlign w:val="center"/>
                </w:tcPr>
                <w:p w:rsidR="00E224CB" w:rsidRPr="00F7290F" w:rsidRDefault="00E224CB" w:rsidP="00D65D2E">
                  <w:pPr>
                    <w:keepNext/>
                    <w:widowControl w:val="0"/>
                    <w:spacing w:after="120"/>
                    <w:jc w:val="center"/>
                    <w:rPr>
                      <w:color w:val="000000" w:themeColor="text1"/>
                      <w:lang w:val="uk-UA"/>
                    </w:rPr>
                  </w:pPr>
                  <w:r w:rsidRPr="00F7290F">
                    <w:rPr>
                      <w:color w:val="000000" w:themeColor="text1"/>
                      <w:lang w:val="uk-UA"/>
                    </w:rPr>
                    <w:t>2010</w:t>
                  </w:r>
                </w:p>
              </w:tc>
              <w:tc>
                <w:tcPr>
                  <w:tcW w:w="857" w:type="dxa"/>
                  <w:tcBorders>
                    <w:top w:val="single" w:sz="4" w:space="0" w:color="auto"/>
                    <w:left w:val="single" w:sz="4" w:space="0" w:color="auto"/>
                    <w:bottom w:val="single" w:sz="4" w:space="0" w:color="auto"/>
                    <w:right w:val="single" w:sz="4" w:space="0" w:color="auto"/>
                  </w:tcBorders>
                  <w:vAlign w:val="center"/>
                </w:tcPr>
                <w:p w:rsidR="00E224CB" w:rsidRPr="00F7290F" w:rsidRDefault="00E224CB" w:rsidP="00D65D2E">
                  <w:pPr>
                    <w:keepNext/>
                    <w:widowControl w:val="0"/>
                    <w:spacing w:after="120"/>
                    <w:jc w:val="center"/>
                    <w:rPr>
                      <w:color w:val="000000" w:themeColor="text1"/>
                      <w:lang w:val="uk-UA"/>
                    </w:rPr>
                  </w:pPr>
                  <w:r w:rsidRPr="00F7290F">
                    <w:rPr>
                      <w:color w:val="000000" w:themeColor="text1"/>
                      <w:lang w:val="uk-UA"/>
                    </w:rPr>
                    <w:t>2011</w:t>
                  </w:r>
                </w:p>
              </w:tc>
              <w:tc>
                <w:tcPr>
                  <w:tcW w:w="858" w:type="dxa"/>
                  <w:tcBorders>
                    <w:top w:val="single" w:sz="4" w:space="0" w:color="auto"/>
                    <w:left w:val="single" w:sz="4" w:space="0" w:color="auto"/>
                    <w:bottom w:val="single" w:sz="4" w:space="0" w:color="auto"/>
                    <w:right w:val="single" w:sz="4" w:space="0" w:color="auto"/>
                  </w:tcBorders>
                  <w:vAlign w:val="center"/>
                </w:tcPr>
                <w:p w:rsidR="00E224CB" w:rsidRPr="00F7290F" w:rsidRDefault="00E224CB" w:rsidP="00D65D2E">
                  <w:pPr>
                    <w:keepNext/>
                    <w:widowControl w:val="0"/>
                    <w:spacing w:after="120"/>
                    <w:jc w:val="center"/>
                    <w:rPr>
                      <w:color w:val="000000" w:themeColor="text1"/>
                      <w:lang w:val="uk-UA"/>
                    </w:rPr>
                  </w:pPr>
                  <w:r w:rsidRPr="00F7290F">
                    <w:rPr>
                      <w:color w:val="000000" w:themeColor="text1"/>
                      <w:lang w:val="uk-UA"/>
                    </w:rPr>
                    <w:t xml:space="preserve">2012 </w:t>
                  </w:r>
                  <w:r w:rsidR="002A0846" w:rsidRPr="00F7290F">
                    <w:rPr>
                      <w:color w:val="000000" w:themeColor="text1"/>
                      <w:lang w:val="uk-UA"/>
                    </w:rPr>
                    <w:t xml:space="preserve"> очік.</w:t>
                  </w:r>
                </w:p>
              </w:tc>
            </w:tr>
            <w:tr w:rsidR="00D3347A" w:rsidRPr="00F7290F" w:rsidTr="004E0406">
              <w:tc>
                <w:tcPr>
                  <w:tcW w:w="3307" w:type="dxa"/>
                  <w:tcBorders>
                    <w:top w:val="single" w:sz="4" w:space="0" w:color="auto"/>
                    <w:left w:val="nil"/>
                    <w:bottom w:val="nil"/>
                    <w:right w:val="nil"/>
                  </w:tcBorders>
                  <w:vAlign w:val="center"/>
                </w:tcPr>
                <w:p w:rsidR="00D3347A" w:rsidRPr="00BA6341" w:rsidRDefault="00D3347A" w:rsidP="00BA6341">
                  <w:pPr>
                    <w:keepNext/>
                    <w:widowControl w:val="0"/>
                    <w:rPr>
                      <w:color w:val="000000" w:themeColor="text1"/>
                      <w:sz w:val="22"/>
                      <w:szCs w:val="22"/>
                      <w:lang w:val="uk-UA"/>
                    </w:rPr>
                  </w:pPr>
                  <w:r w:rsidRPr="00BA6341">
                    <w:rPr>
                      <w:color w:val="000000" w:themeColor="text1"/>
                      <w:sz w:val="22"/>
                      <w:szCs w:val="22"/>
                      <w:lang w:val="uk-UA"/>
                    </w:rPr>
                    <w:t>Природний газ, млрд.куб.м</w:t>
                  </w:r>
                </w:p>
              </w:tc>
              <w:tc>
                <w:tcPr>
                  <w:tcW w:w="857" w:type="dxa"/>
                  <w:tcBorders>
                    <w:top w:val="single" w:sz="4" w:space="0" w:color="auto"/>
                    <w:left w:val="nil"/>
                    <w:bottom w:val="nil"/>
                    <w:right w:val="nil"/>
                  </w:tcBorders>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7,3</w:t>
                  </w:r>
                </w:p>
              </w:tc>
              <w:tc>
                <w:tcPr>
                  <w:tcW w:w="857" w:type="dxa"/>
                  <w:tcBorders>
                    <w:top w:val="single" w:sz="4" w:space="0" w:color="auto"/>
                    <w:left w:val="nil"/>
                    <w:bottom w:val="nil"/>
                    <w:right w:val="nil"/>
                  </w:tcBorders>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8,0</w:t>
                  </w:r>
                </w:p>
              </w:tc>
              <w:tc>
                <w:tcPr>
                  <w:tcW w:w="858" w:type="dxa"/>
                  <w:tcBorders>
                    <w:top w:val="single" w:sz="4" w:space="0" w:color="auto"/>
                    <w:left w:val="nil"/>
                    <w:bottom w:val="nil"/>
                    <w:right w:val="nil"/>
                  </w:tcBorders>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7,1</w:t>
                  </w:r>
                </w:p>
              </w:tc>
            </w:tr>
            <w:tr w:rsidR="00D3347A" w:rsidRPr="00F7290F" w:rsidTr="004E0406">
              <w:tc>
                <w:tcPr>
                  <w:tcW w:w="3307" w:type="dxa"/>
                  <w:vAlign w:val="center"/>
                </w:tcPr>
                <w:p w:rsidR="00D3347A" w:rsidRPr="00BA6341" w:rsidRDefault="00D3347A" w:rsidP="00BA6341">
                  <w:pPr>
                    <w:keepNext/>
                    <w:widowControl w:val="0"/>
                    <w:rPr>
                      <w:color w:val="000000" w:themeColor="text1"/>
                      <w:sz w:val="22"/>
                      <w:szCs w:val="22"/>
                      <w:lang w:val="uk-UA"/>
                    </w:rPr>
                  </w:pPr>
                  <w:r w:rsidRPr="00BA6341">
                    <w:rPr>
                      <w:color w:val="000000" w:themeColor="text1"/>
                      <w:sz w:val="22"/>
                      <w:szCs w:val="22"/>
                      <w:lang w:val="uk-UA"/>
                    </w:rPr>
                    <w:t>Коксовий газ, млрд.куб.м</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3,7</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4,0</w:t>
                  </w:r>
                </w:p>
              </w:tc>
              <w:tc>
                <w:tcPr>
                  <w:tcW w:w="858"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3,5</w:t>
                  </w:r>
                </w:p>
              </w:tc>
            </w:tr>
            <w:tr w:rsidR="00D3347A" w:rsidRPr="00F7290F" w:rsidTr="004E0406">
              <w:tc>
                <w:tcPr>
                  <w:tcW w:w="3307" w:type="dxa"/>
                  <w:vAlign w:val="center"/>
                </w:tcPr>
                <w:p w:rsidR="00D3347A" w:rsidRPr="00BA6341" w:rsidRDefault="00D3347A" w:rsidP="00BA6341">
                  <w:pPr>
                    <w:keepNext/>
                    <w:widowControl w:val="0"/>
                    <w:rPr>
                      <w:color w:val="000000" w:themeColor="text1"/>
                      <w:sz w:val="22"/>
                      <w:szCs w:val="22"/>
                      <w:lang w:val="uk-UA"/>
                    </w:rPr>
                  </w:pPr>
                  <w:r w:rsidRPr="00BA6341">
                    <w:rPr>
                      <w:color w:val="000000" w:themeColor="text1"/>
                      <w:sz w:val="22"/>
                      <w:szCs w:val="22"/>
                      <w:lang w:val="uk-UA"/>
                    </w:rPr>
                    <w:t>Доменний газ, млрд.куб.м</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20,5</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20,9</w:t>
                  </w:r>
                </w:p>
              </w:tc>
              <w:tc>
                <w:tcPr>
                  <w:tcW w:w="858"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20,0</w:t>
                  </w:r>
                </w:p>
              </w:tc>
            </w:tr>
            <w:tr w:rsidR="00D3347A" w:rsidRPr="00F7290F" w:rsidTr="004E0406">
              <w:tc>
                <w:tcPr>
                  <w:tcW w:w="3307" w:type="dxa"/>
                  <w:vAlign w:val="center"/>
                </w:tcPr>
                <w:p w:rsidR="00D3347A" w:rsidRPr="00BA6341" w:rsidRDefault="00D3347A" w:rsidP="00BA6341">
                  <w:pPr>
                    <w:keepNext/>
                    <w:widowControl w:val="0"/>
                    <w:rPr>
                      <w:color w:val="000000" w:themeColor="text1"/>
                      <w:sz w:val="22"/>
                      <w:szCs w:val="22"/>
                      <w:lang w:val="uk-UA"/>
                    </w:rPr>
                  </w:pPr>
                  <w:r w:rsidRPr="00BA6341">
                    <w:rPr>
                      <w:color w:val="000000" w:themeColor="text1"/>
                      <w:sz w:val="22"/>
                      <w:szCs w:val="22"/>
                      <w:lang w:val="uk-UA"/>
                    </w:rPr>
                    <w:t>Вугілля кам’яне, млн.т</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30,1</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32,0</w:t>
                  </w:r>
                </w:p>
              </w:tc>
              <w:tc>
                <w:tcPr>
                  <w:tcW w:w="858"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29,5</w:t>
                  </w:r>
                </w:p>
              </w:tc>
            </w:tr>
            <w:tr w:rsidR="00D3347A" w:rsidRPr="00F7290F" w:rsidTr="004E0406">
              <w:tc>
                <w:tcPr>
                  <w:tcW w:w="3307" w:type="dxa"/>
                  <w:vAlign w:val="center"/>
                </w:tcPr>
                <w:p w:rsidR="00D3347A" w:rsidRPr="00BA6341" w:rsidRDefault="00D3347A" w:rsidP="00BA6341">
                  <w:pPr>
                    <w:keepNext/>
                    <w:widowControl w:val="0"/>
                    <w:rPr>
                      <w:color w:val="000000" w:themeColor="text1"/>
                      <w:sz w:val="22"/>
                      <w:szCs w:val="22"/>
                      <w:lang w:val="uk-UA"/>
                    </w:rPr>
                  </w:pPr>
                  <w:r w:rsidRPr="00BA6341">
                    <w:rPr>
                      <w:color w:val="000000" w:themeColor="text1"/>
                      <w:sz w:val="22"/>
                      <w:szCs w:val="22"/>
                      <w:lang w:val="uk-UA"/>
                    </w:rPr>
                    <w:t>Електроенергія, млрд.кВт.год (з урахуван</w:t>
                  </w:r>
                  <w:r w:rsidRPr="00BA6341">
                    <w:rPr>
                      <w:color w:val="000000" w:themeColor="text1"/>
                      <w:sz w:val="22"/>
                      <w:szCs w:val="22"/>
                      <w:lang w:val="uk-UA"/>
                    </w:rPr>
                    <w:softHyphen/>
                    <w:t xml:space="preserve">ням втрат в електромережах) </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28,5</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29,7</w:t>
                  </w:r>
                </w:p>
              </w:tc>
              <w:tc>
                <w:tcPr>
                  <w:tcW w:w="858"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29,4</w:t>
                  </w:r>
                </w:p>
              </w:tc>
            </w:tr>
          </w:tbl>
          <w:p w:rsidR="001F5241" w:rsidRPr="00F7290F" w:rsidRDefault="001F5241" w:rsidP="00D65D2E">
            <w:pPr>
              <w:keepNext/>
              <w:widowControl w:val="0"/>
              <w:rPr>
                <w:color w:val="000000" w:themeColor="text1"/>
                <w:lang w:val="uk-UA"/>
              </w:rPr>
            </w:pPr>
          </w:p>
        </w:tc>
        <w:tc>
          <w:tcPr>
            <w:tcW w:w="3546" w:type="dxa"/>
            <w:vMerge/>
            <w:vAlign w:val="center"/>
          </w:tcPr>
          <w:p w:rsidR="001F5241" w:rsidRPr="00F7290F" w:rsidRDefault="001F5241" w:rsidP="00D65D2E">
            <w:pPr>
              <w:keepNext/>
              <w:widowControl w:val="0"/>
              <w:rPr>
                <w:color w:val="FF0000"/>
                <w:lang w:val="uk-UA"/>
              </w:rPr>
            </w:pPr>
          </w:p>
        </w:tc>
      </w:tr>
      <w:tr w:rsidR="001F5241" w:rsidRPr="00F7290F" w:rsidTr="00BA6341">
        <w:trPr>
          <w:trHeight w:val="242"/>
        </w:trPr>
        <w:tc>
          <w:tcPr>
            <w:tcW w:w="6132" w:type="dxa"/>
            <w:tcBorders>
              <w:top w:val="nil"/>
              <w:left w:val="nil"/>
              <w:bottom w:val="nil"/>
              <w:right w:val="nil"/>
            </w:tcBorders>
          </w:tcPr>
          <w:p w:rsidR="001F5241" w:rsidRPr="00F7290F" w:rsidRDefault="001F5241" w:rsidP="00D65D2E">
            <w:pPr>
              <w:keepNext/>
              <w:widowControl w:val="0"/>
              <w:jc w:val="center"/>
              <w:rPr>
                <w:b/>
                <w:color w:val="FF0000"/>
                <w:sz w:val="14"/>
                <w:szCs w:val="14"/>
                <w:lang w:val="uk-UA"/>
              </w:rPr>
            </w:pPr>
          </w:p>
          <w:p w:rsidR="001F5241" w:rsidRPr="00F7290F" w:rsidRDefault="001F5241" w:rsidP="00D3347A">
            <w:pPr>
              <w:keepNext/>
              <w:widowControl w:val="0"/>
              <w:jc w:val="center"/>
              <w:rPr>
                <w:b/>
                <w:color w:val="000000" w:themeColor="text1"/>
                <w:lang w:val="uk-UA"/>
              </w:rPr>
            </w:pPr>
            <w:r w:rsidRPr="00F7290F">
              <w:rPr>
                <w:b/>
                <w:color w:val="000000" w:themeColor="text1"/>
                <w:lang w:val="uk-UA"/>
              </w:rPr>
              <w:t>Динаміка експорту, імпорту товарів, мл</w:t>
            </w:r>
            <w:r w:rsidR="00D3347A" w:rsidRPr="00F7290F">
              <w:rPr>
                <w:b/>
                <w:color w:val="000000" w:themeColor="text1"/>
                <w:lang w:val="uk-UA"/>
              </w:rPr>
              <w:t>рд</w:t>
            </w:r>
            <w:r w:rsidRPr="00F7290F">
              <w:rPr>
                <w:b/>
                <w:color w:val="000000" w:themeColor="text1"/>
                <w:lang w:val="uk-UA"/>
              </w:rPr>
              <w:t>.дол.США</w:t>
            </w:r>
          </w:p>
        </w:tc>
        <w:tc>
          <w:tcPr>
            <w:tcW w:w="3546" w:type="dxa"/>
            <w:vMerge w:val="restart"/>
            <w:tcBorders>
              <w:top w:val="nil"/>
              <w:left w:val="nil"/>
              <w:bottom w:val="nil"/>
              <w:right w:val="nil"/>
            </w:tcBorders>
          </w:tcPr>
          <w:p w:rsidR="00D3347A" w:rsidRPr="00F7290F" w:rsidRDefault="00D3347A" w:rsidP="00D3347A">
            <w:pPr>
              <w:keepNext/>
              <w:widowControl w:val="0"/>
              <w:spacing w:after="60"/>
              <w:ind w:firstLine="284"/>
              <w:jc w:val="both"/>
              <w:rPr>
                <w:lang w:val="uk-UA"/>
              </w:rPr>
            </w:pPr>
            <w:r w:rsidRPr="00F7290F">
              <w:rPr>
                <w:lang w:val="uk-UA"/>
              </w:rPr>
              <w:t>Зовнішньоторговельний обо</w:t>
            </w:r>
            <w:r w:rsidRPr="00F7290F">
              <w:rPr>
                <w:lang w:val="uk-UA"/>
              </w:rPr>
              <w:softHyphen/>
              <w:t>рот товарами</w:t>
            </w:r>
            <w:r w:rsidRPr="00F7290F">
              <w:rPr>
                <w:b/>
                <w:lang w:val="uk-UA"/>
              </w:rPr>
              <w:t xml:space="preserve"> </w:t>
            </w:r>
            <w:r w:rsidRPr="00F7290F">
              <w:rPr>
                <w:lang w:val="uk-UA"/>
              </w:rPr>
              <w:t>в порівнянні з 2011 роком зменшиться на 1</w:t>
            </w:r>
            <w:r w:rsidR="009656C5">
              <w:rPr>
                <w:lang w:val="uk-UA"/>
              </w:rPr>
              <w:t>2,6</w:t>
            </w:r>
            <w:r w:rsidRPr="00F7290F">
              <w:rPr>
                <w:lang w:val="uk-UA"/>
              </w:rPr>
              <w:t xml:space="preserve">%. </w:t>
            </w:r>
          </w:p>
          <w:p w:rsidR="00D3347A" w:rsidRPr="00F7290F" w:rsidRDefault="00D3347A" w:rsidP="00D3347A">
            <w:pPr>
              <w:keepNext/>
              <w:widowControl w:val="0"/>
              <w:spacing w:after="60"/>
              <w:ind w:firstLine="284"/>
              <w:jc w:val="both"/>
              <w:rPr>
                <w:lang w:val="uk-UA"/>
              </w:rPr>
            </w:pPr>
            <w:r w:rsidRPr="00F7290F">
              <w:rPr>
                <w:lang w:val="uk-UA"/>
              </w:rPr>
              <w:t xml:space="preserve">Експорт </w:t>
            </w:r>
            <w:r w:rsidRPr="00F7290F">
              <w:rPr>
                <w:spacing w:val="-4"/>
                <w:lang w:val="uk-UA"/>
              </w:rPr>
              <w:t>скоротиться на 17,</w:t>
            </w:r>
            <w:r w:rsidR="009656C5">
              <w:rPr>
                <w:spacing w:val="-4"/>
                <w:lang w:val="uk-UA"/>
              </w:rPr>
              <w:t>9</w:t>
            </w:r>
            <w:r w:rsidRPr="00F7290F">
              <w:rPr>
                <w:spacing w:val="-4"/>
                <w:lang w:val="uk-UA"/>
              </w:rPr>
              <w:t xml:space="preserve">%, імпорт збільшиться на </w:t>
            </w:r>
            <w:r w:rsidR="009656C5">
              <w:rPr>
                <w:spacing w:val="-4"/>
                <w:lang w:val="uk-UA"/>
              </w:rPr>
              <w:t>5,4</w:t>
            </w:r>
            <w:r w:rsidRPr="00F7290F">
              <w:rPr>
                <w:spacing w:val="-4"/>
                <w:lang w:val="uk-UA"/>
              </w:rPr>
              <w:t>%</w:t>
            </w:r>
            <w:r w:rsidRPr="00F7290F">
              <w:rPr>
                <w:lang w:val="uk-UA"/>
              </w:rPr>
              <w:t xml:space="preserve">. Сальдо </w:t>
            </w:r>
            <w:r w:rsidRPr="00F7290F">
              <w:rPr>
                <w:spacing w:val="-4"/>
                <w:lang w:val="uk-UA"/>
              </w:rPr>
              <w:t>зовнішньо</w:t>
            </w:r>
            <w:r w:rsidR="00BA6341">
              <w:rPr>
                <w:spacing w:val="-4"/>
                <w:lang w:val="uk-UA"/>
              </w:rPr>
              <w:softHyphen/>
            </w:r>
            <w:r w:rsidRPr="00F7290F">
              <w:rPr>
                <w:spacing w:val="-4"/>
                <w:lang w:val="uk-UA"/>
              </w:rPr>
              <w:t>торговельного обороту</w:t>
            </w:r>
            <w:r w:rsidRPr="00F7290F">
              <w:rPr>
                <w:lang w:val="uk-UA"/>
              </w:rPr>
              <w:t xml:space="preserve"> позитивне –  8,</w:t>
            </w:r>
            <w:r w:rsidR="008B3173">
              <w:rPr>
                <w:lang w:val="uk-UA"/>
              </w:rPr>
              <w:t>8</w:t>
            </w:r>
            <w:r w:rsidRPr="00F7290F">
              <w:rPr>
                <w:spacing w:val="-4"/>
                <w:lang w:val="uk-UA"/>
              </w:rPr>
              <w:t>  млрд.дол.США (зменшення на 2</w:t>
            </w:r>
            <w:r w:rsidR="009656C5">
              <w:rPr>
                <w:spacing w:val="-4"/>
                <w:lang w:val="uk-UA"/>
              </w:rPr>
              <w:t>7,3</w:t>
            </w:r>
            <w:r w:rsidRPr="00F7290F">
              <w:rPr>
                <w:spacing w:val="-4"/>
                <w:lang w:val="uk-UA"/>
              </w:rPr>
              <w:t>%).</w:t>
            </w:r>
          </w:p>
          <w:p w:rsidR="00D3347A" w:rsidRPr="00F7290F" w:rsidRDefault="00D3347A" w:rsidP="00D3347A">
            <w:pPr>
              <w:keepNext/>
              <w:widowControl w:val="0"/>
              <w:spacing w:after="60"/>
              <w:ind w:firstLine="284"/>
              <w:jc w:val="both"/>
              <w:rPr>
                <w:lang w:val="uk-UA"/>
              </w:rPr>
            </w:pPr>
            <w:r w:rsidRPr="00F7290F">
              <w:rPr>
                <w:lang w:val="uk-UA"/>
              </w:rPr>
              <w:t>Експорт товарів здійснював</w:t>
            </w:r>
            <w:r w:rsidR="00BA6341">
              <w:rPr>
                <w:lang w:val="uk-UA"/>
              </w:rPr>
              <w:softHyphen/>
            </w:r>
            <w:r w:rsidRPr="00F7290F">
              <w:rPr>
                <w:lang w:val="uk-UA"/>
              </w:rPr>
              <w:t>ся до 13</w:t>
            </w:r>
            <w:r w:rsidR="009656C5">
              <w:rPr>
                <w:lang w:val="uk-UA"/>
              </w:rPr>
              <w:t>9</w:t>
            </w:r>
            <w:r w:rsidRPr="00F7290F">
              <w:rPr>
                <w:lang w:val="uk-UA"/>
              </w:rPr>
              <w:t xml:space="preserve"> країн, імпорт – з 106  країн світу. </w:t>
            </w:r>
          </w:p>
          <w:p w:rsidR="001F5241" w:rsidRPr="00F7290F" w:rsidRDefault="00D3347A" w:rsidP="00AB772D">
            <w:pPr>
              <w:keepNext/>
              <w:widowControl w:val="0"/>
              <w:ind w:firstLine="284"/>
              <w:jc w:val="both"/>
              <w:rPr>
                <w:color w:val="FF0000"/>
                <w:lang w:val="uk-UA"/>
              </w:rPr>
            </w:pPr>
            <w:r w:rsidRPr="00F7290F">
              <w:rPr>
                <w:lang w:val="uk-UA"/>
              </w:rPr>
              <w:t>Найбільшими торговельними партнерами є Російська Федера</w:t>
            </w:r>
            <w:r w:rsidRPr="00F7290F">
              <w:rPr>
                <w:lang w:val="uk-UA"/>
              </w:rPr>
              <w:softHyphen/>
              <w:t>ція (2</w:t>
            </w:r>
            <w:r w:rsidR="00AB772D">
              <w:rPr>
                <w:lang w:val="uk-UA"/>
              </w:rPr>
              <w:t>9,1</w:t>
            </w:r>
            <w:r w:rsidRPr="00F7290F">
              <w:rPr>
                <w:lang w:val="uk-UA"/>
              </w:rPr>
              <w:t>% зовнішньотор</w:t>
            </w:r>
            <w:r w:rsidRPr="00F7290F">
              <w:rPr>
                <w:lang w:val="uk-UA"/>
              </w:rPr>
              <w:softHyphen/>
              <w:t>го</w:t>
            </w:r>
            <w:r w:rsidRPr="00F7290F">
              <w:rPr>
                <w:lang w:val="uk-UA"/>
              </w:rPr>
              <w:softHyphen/>
              <w:t>вельного обороту)</w:t>
            </w:r>
            <w:r w:rsidRPr="00F7290F">
              <w:rPr>
                <w:bCs/>
                <w:lang w:val="uk-UA"/>
              </w:rPr>
              <w:t xml:space="preserve">, </w:t>
            </w:r>
            <w:r w:rsidRPr="00F7290F">
              <w:rPr>
                <w:lang w:val="uk-UA"/>
              </w:rPr>
              <w:t>Італія (6,8%), Туреччина (6,6%), Ліван (</w:t>
            </w:r>
            <w:r w:rsidR="00AB772D">
              <w:rPr>
                <w:lang w:val="uk-UA"/>
              </w:rPr>
              <w:t>5,7</w:t>
            </w:r>
            <w:r w:rsidRPr="00F7290F">
              <w:rPr>
                <w:lang w:val="uk-UA"/>
              </w:rPr>
              <w:t>%), Казахстан (4,</w:t>
            </w:r>
            <w:r w:rsidR="00AB772D">
              <w:rPr>
                <w:lang w:val="uk-UA"/>
              </w:rPr>
              <w:t>4</w:t>
            </w:r>
            <w:r w:rsidRPr="00F7290F">
              <w:rPr>
                <w:lang w:val="uk-UA"/>
              </w:rPr>
              <w:t>%), США (3,6%)</w:t>
            </w:r>
            <w:r w:rsidRPr="00F7290F">
              <w:rPr>
                <w:spacing w:val="-6"/>
                <w:lang w:val="uk-UA"/>
              </w:rPr>
              <w:t>.</w:t>
            </w:r>
          </w:p>
        </w:tc>
      </w:tr>
      <w:tr w:rsidR="001F5241" w:rsidRPr="00F7290F" w:rsidTr="00BA6341">
        <w:trPr>
          <w:trHeight w:val="3409"/>
        </w:trPr>
        <w:tc>
          <w:tcPr>
            <w:tcW w:w="6132" w:type="dxa"/>
            <w:tcBorders>
              <w:top w:val="nil"/>
              <w:left w:val="nil"/>
              <w:bottom w:val="nil"/>
              <w:right w:val="nil"/>
            </w:tcBorders>
          </w:tcPr>
          <w:p w:rsidR="001F5241" w:rsidRPr="00F7290F" w:rsidRDefault="001F5241" w:rsidP="00D65D2E">
            <w:pPr>
              <w:keepNext/>
              <w:widowControl w:val="0"/>
              <w:ind w:left="-1134"/>
              <w:jc w:val="center"/>
              <w:rPr>
                <w:b/>
                <w:color w:val="FF0000"/>
                <w:lang w:val="uk-UA"/>
              </w:rPr>
            </w:pPr>
            <w:r w:rsidRPr="00F7290F">
              <w:rPr>
                <w:b/>
                <w:noProof/>
                <w:color w:val="FF0000"/>
              </w:rPr>
              <w:drawing>
                <wp:inline distT="0" distB="0" distL="0" distR="0">
                  <wp:extent cx="5120640" cy="2308860"/>
                  <wp:effectExtent l="0" t="0" r="0" b="0"/>
                  <wp:docPr id="87"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3546" w:type="dxa"/>
            <w:vMerge/>
            <w:tcBorders>
              <w:top w:val="nil"/>
              <w:left w:val="nil"/>
              <w:bottom w:val="nil"/>
              <w:right w:val="nil"/>
            </w:tcBorders>
            <w:vAlign w:val="center"/>
          </w:tcPr>
          <w:p w:rsidR="001F5241" w:rsidRPr="00F7290F" w:rsidRDefault="001F5241" w:rsidP="00D65D2E">
            <w:pPr>
              <w:keepNext/>
              <w:widowControl w:val="0"/>
              <w:ind w:left="-1134"/>
              <w:rPr>
                <w:color w:val="FF0000"/>
                <w:lang w:val="uk-UA"/>
              </w:rPr>
            </w:pPr>
          </w:p>
        </w:tc>
      </w:tr>
    </w:tbl>
    <w:p w:rsidR="001F5241" w:rsidRPr="00F7290F" w:rsidRDefault="001F5241" w:rsidP="00D65D2E">
      <w:pPr>
        <w:keepNext/>
        <w:widowControl w:val="0"/>
        <w:rPr>
          <w:color w:val="FF0000"/>
          <w:lang w:val="uk-UA"/>
        </w:rPr>
        <w:sectPr w:rsidR="001F5241" w:rsidRPr="00F7290F" w:rsidSect="00936EA2">
          <w:pgSz w:w="11906" w:h="16838"/>
          <w:pgMar w:top="719" w:right="567" w:bottom="1134" w:left="1418" w:header="709" w:footer="709" w:gutter="0"/>
          <w:cols w:space="708"/>
          <w:docGrid w:linePitch="360"/>
        </w:sect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50"/>
        <w:gridCol w:w="284"/>
        <w:gridCol w:w="3544"/>
      </w:tblGrid>
      <w:tr w:rsidR="00011EAB" w:rsidRPr="00F7290F" w:rsidTr="00FC0B4D">
        <w:trPr>
          <w:trHeight w:val="299"/>
        </w:trPr>
        <w:tc>
          <w:tcPr>
            <w:tcW w:w="5850" w:type="dxa"/>
            <w:tcBorders>
              <w:top w:val="nil"/>
              <w:left w:val="nil"/>
              <w:bottom w:val="nil"/>
              <w:right w:val="nil"/>
            </w:tcBorders>
          </w:tcPr>
          <w:p w:rsidR="00011EAB" w:rsidRPr="00F7290F" w:rsidRDefault="00011EAB" w:rsidP="00D65D2E">
            <w:pPr>
              <w:keepNext/>
              <w:widowControl w:val="0"/>
              <w:spacing w:before="120"/>
              <w:jc w:val="center"/>
              <w:rPr>
                <w:b/>
                <w:color w:val="000000" w:themeColor="text1"/>
                <w:lang w:val="uk-UA"/>
              </w:rPr>
            </w:pPr>
            <w:r w:rsidRPr="00F7290F">
              <w:rPr>
                <w:b/>
                <w:color w:val="000000" w:themeColor="text1"/>
                <w:lang w:val="uk-UA"/>
              </w:rPr>
              <w:lastRenderedPageBreak/>
              <w:t>Основні засоби</w:t>
            </w:r>
          </w:p>
        </w:tc>
        <w:tc>
          <w:tcPr>
            <w:tcW w:w="3828" w:type="dxa"/>
            <w:gridSpan w:val="2"/>
            <w:vMerge w:val="restart"/>
            <w:tcBorders>
              <w:top w:val="nil"/>
              <w:left w:val="nil"/>
              <w:right w:val="nil"/>
            </w:tcBorders>
          </w:tcPr>
          <w:p w:rsidR="000262AC" w:rsidRPr="00F7290F" w:rsidRDefault="000262AC" w:rsidP="000262AC">
            <w:pPr>
              <w:keepNext/>
              <w:widowControl w:val="0"/>
              <w:tabs>
                <w:tab w:val="num" w:pos="556"/>
              </w:tabs>
              <w:ind w:firstLine="432"/>
              <w:jc w:val="both"/>
              <w:rPr>
                <w:lang w:val="uk-UA"/>
              </w:rPr>
            </w:pPr>
            <w:r w:rsidRPr="00F7290F">
              <w:rPr>
                <w:lang w:val="uk-UA"/>
              </w:rPr>
              <w:t xml:space="preserve">В області зосереджено 8% основних засобів України. Питома вага в структурі основних засобів за видами економічної діяльності складає: </w:t>
            </w:r>
          </w:p>
          <w:p w:rsidR="000262AC" w:rsidRPr="00F7290F" w:rsidRDefault="000262AC" w:rsidP="000262AC">
            <w:pPr>
              <w:keepNext/>
              <w:widowControl w:val="0"/>
              <w:numPr>
                <w:ilvl w:val="0"/>
                <w:numId w:val="6"/>
              </w:numPr>
              <w:tabs>
                <w:tab w:val="clear" w:pos="719"/>
                <w:tab w:val="num" w:pos="196"/>
                <w:tab w:val="num" w:pos="556"/>
              </w:tabs>
              <w:ind w:left="556" w:hanging="360"/>
              <w:jc w:val="both"/>
              <w:rPr>
                <w:lang w:val="uk-UA"/>
              </w:rPr>
            </w:pPr>
            <w:r w:rsidRPr="00F7290F">
              <w:rPr>
                <w:lang w:val="uk-UA"/>
              </w:rPr>
              <w:t xml:space="preserve">промисловості – 50,1%, </w:t>
            </w:r>
          </w:p>
          <w:p w:rsidR="000262AC" w:rsidRPr="00F7290F" w:rsidRDefault="000262AC" w:rsidP="000262AC">
            <w:pPr>
              <w:keepNext/>
              <w:widowControl w:val="0"/>
              <w:numPr>
                <w:ilvl w:val="0"/>
                <w:numId w:val="6"/>
              </w:numPr>
              <w:tabs>
                <w:tab w:val="clear" w:pos="719"/>
                <w:tab w:val="num" w:pos="556"/>
              </w:tabs>
              <w:ind w:left="556" w:hanging="360"/>
              <w:jc w:val="both"/>
              <w:rPr>
                <w:lang w:val="uk-UA"/>
              </w:rPr>
            </w:pPr>
            <w:r w:rsidRPr="00F7290F">
              <w:rPr>
                <w:lang w:val="uk-UA"/>
              </w:rPr>
              <w:t xml:space="preserve">операцій з нерухомим майном – 19,0%, </w:t>
            </w:r>
          </w:p>
          <w:p w:rsidR="000262AC" w:rsidRPr="00F7290F" w:rsidRDefault="000262AC" w:rsidP="000262AC">
            <w:pPr>
              <w:keepNext/>
              <w:widowControl w:val="0"/>
              <w:numPr>
                <w:ilvl w:val="0"/>
                <w:numId w:val="6"/>
              </w:numPr>
              <w:tabs>
                <w:tab w:val="clear" w:pos="719"/>
                <w:tab w:val="num" w:pos="556"/>
              </w:tabs>
              <w:ind w:left="556" w:hanging="360"/>
              <w:jc w:val="both"/>
              <w:rPr>
                <w:lang w:val="uk-UA"/>
              </w:rPr>
            </w:pPr>
            <w:r w:rsidRPr="00F7290F">
              <w:rPr>
                <w:lang w:val="uk-UA"/>
              </w:rPr>
              <w:t xml:space="preserve">діяльності транспорту та зв’язку – 18,3%, </w:t>
            </w:r>
          </w:p>
          <w:p w:rsidR="000262AC" w:rsidRPr="00F7290F" w:rsidRDefault="000262AC" w:rsidP="000262AC">
            <w:pPr>
              <w:keepNext/>
              <w:widowControl w:val="0"/>
              <w:numPr>
                <w:ilvl w:val="0"/>
                <w:numId w:val="6"/>
              </w:numPr>
              <w:tabs>
                <w:tab w:val="clear" w:pos="719"/>
                <w:tab w:val="num" w:pos="556"/>
              </w:tabs>
              <w:ind w:left="556" w:hanging="360"/>
              <w:jc w:val="both"/>
              <w:rPr>
                <w:lang w:val="uk-UA"/>
              </w:rPr>
            </w:pPr>
            <w:r w:rsidRPr="00F7290F">
              <w:rPr>
                <w:lang w:val="uk-UA"/>
              </w:rPr>
              <w:t>будівництва – 2,6%.</w:t>
            </w:r>
          </w:p>
          <w:p w:rsidR="000262AC" w:rsidRPr="00F7290F" w:rsidRDefault="000262AC" w:rsidP="000262AC">
            <w:pPr>
              <w:keepNext/>
              <w:widowControl w:val="0"/>
              <w:spacing w:after="60"/>
              <w:ind w:firstLine="284"/>
              <w:jc w:val="both"/>
              <w:rPr>
                <w:lang w:val="uk-UA"/>
              </w:rPr>
            </w:pPr>
            <w:r w:rsidRPr="00F7290F">
              <w:rPr>
                <w:lang w:val="uk-UA"/>
              </w:rPr>
              <w:t>Ступінь зносу основних засобів зріс з 54,5% у 2008 році до 67,1% у                    2012 році.</w:t>
            </w:r>
          </w:p>
          <w:p w:rsidR="000262AC" w:rsidRPr="00F7290F" w:rsidRDefault="000262AC" w:rsidP="000262AC">
            <w:pPr>
              <w:keepNext/>
              <w:widowControl w:val="0"/>
              <w:spacing w:after="60"/>
              <w:ind w:firstLine="284"/>
              <w:jc w:val="both"/>
              <w:rPr>
                <w:lang w:val="uk-UA"/>
              </w:rPr>
            </w:pPr>
            <w:r w:rsidRPr="00F7290F">
              <w:rPr>
                <w:lang w:val="uk-UA"/>
              </w:rPr>
              <w:t>Обсяг капітальних інвестицій у 2012 році складе 29 млрд.грн. проти 27,3 млрд.грн. у 2011 році.</w:t>
            </w:r>
          </w:p>
          <w:p w:rsidR="000262AC" w:rsidRPr="00FC0B4D" w:rsidRDefault="000262AC" w:rsidP="000262AC">
            <w:pPr>
              <w:keepNext/>
              <w:widowControl w:val="0"/>
              <w:spacing w:after="60"/>
              <w:ind w:firstLine="252"/>
              <w:jc w:val="both"/>
              <w:rPr>
                <w:spacing w:val="-8"/>
                <w:lang w:val="uk-UA"/>
              </w:rPr>
            </w:pPr>
            <w:r w:rsidRPr="00FC0B4D">
              <w:rPr>
                <w:spacing w:val="-8"/>
                <w:lang w:val="uk-UA"/>
              </w:rPr>
              <w:t>У загальному обсязі капітало</w:t>
            </w:r>
            <w:r w:rsidR="00FC0B4D">
              <w:rPr>
                <w:spacing w:val="-8"/>
                <w:lang w:val="uk-UA"/>
              </w:rPr>
              <w:softHyphen/>
            </w:r>
            <w:r w:rsidRPr="00FC0B4D">
              <w:rPr>
                <w:spacing w:val="-8"/>
                <w:lang w:val="uk-UA"/>
              </w:rPr>
              <w:t xml:space="preserve">вкладень традиційно переважну частку (50%) складають інвестиції у промисловість, з яких 90% спрямовуються у розвиток добувної та переробної промисловості. </w:t>
            </w:r>
          </w:p>
          <w:p w:rsidR="004F6F94" w:rsidRPr="00FC0B4D" w:rsidRDefault="004F6F94" w:rsidP="004F6F94">
            <w:pPr>
              <w:keepNext/>
              <w:widowControl w:val="0"/>
              <w:spacing w:after="60"/>
              <w:ind w:firstLine="284"/>
              <w:jc w:val="both"/>
              <w:rPr>
                <w:spacing w:val="-8"/>
                <w:lang w:val="uk-UA"/>
              </w:rPr>
            </w:pPr>
            <w:r w:rsidRPr="00FC0B4D">
              <w:rPr>
                <w:spacing w:val="-8"/>
                <w:lang w:val="uk-UA"/>
              </w:rPr>
              <w:t>За рахунок усіх джерел фінансування введено в експлуатацію 345,8 тис.кв.м загальної площі житла, що на 19,6% більше, ніж у 2011 році.</w:t>
            </w:r>
          </w:p>
          <w:p w:rsidR="000262AC" w:rsidRPr="00FC0B4D" w:rsidRDefault="000262AC" w:rsidP="000262AC">
            <w:pPr>
              <w:keepNext/>
              <w:widowControl w:val="0"/>
              <w:spacing w:after="60"/>
              <w:ind w:firstLine="284"/>
              <w:jc w:val="both"/>
              <w:rPr>
                <w:spacing w:val="-8"/>
                <w:lang w:val="uk-UA"/>
              </w:rPr>
            </w:pPr>
            <w:r w:rsidRPr="00FC0B4D">
              <w:rPr>
                <w:spacing w:val="-8"/>
                <w:lang w:val="uk-UA"/>
              </w:rPr>
              <w:t xml:space="preserve">Для покращення інвестиційної привабливості області у 2012 році проведено V Міжнародний інвестиційний саміт, виставку «Інвестиції. Інновації. Розвиток». </w:t>
            </w:r>
          </w:p>
          <w:p w:rsidR="000262AC" w:rsidRPr="00FC0B4D" w:rsidRDefault="000262AC" w:rsidP="000262AC">
            <w:pPr>
              <w:keepNext/>
              <w:widowControl w:val="0"/>
              <w:spacing w:after="60"/>
              <w:ind w:firstLine="284"/>
              <w:jc w:val="both"/>
              <w:rPr>
                <w:spacing w:val="-8"/>
                <w:lang w:val="uk-UA"/>
              </w:rPr>
            </w:pPr>
            <w:r w:rsidRPr="00FC0B4D">
              <w:rPr>
                <w:spacing w:val="-8"/>
                <w:lang w:val="uk-UA"/>
              </w:rPr>
              <w:t xml:space="preserve">Загальний обсяг прямих іноземних інвестицій, залучених в економіку області, з початку 2012 року збільшився на </w:t>
            </w:r>
            <w:r w:rsidR="006E4809" w:rsidRPr="00FC0B4D">
              <w:rPr>
                <w:spacing w:val="-8"/>
                <w:lang w:val="uk-UA"/>
              </w:rPr>
              <w:t>12,6</w:t>
            </w:r>
            <w:r w:rsidRPr="00FC0B4D">
              <w:rPr>
                <w:spacing w:val="-8"/>
                <w:lang w:val="uk-UA"/>
              </w:rPr>
              <w:t xml:space="preserve">% і станом на 01.01.2013 досяг </w:t>
            </w:r>
            <w:r w:rsidR="00FC0B4D" w:rsidRPr="00FC0B4D">
              <w:rPr>
                <w:spacing w:val="-8"/>
                <w:lang w:val="uk-UA"/>
              </w:rPr>
              <w:t xml:space="preserve"> </w:t>
            </w:r>
            <w:r w:rsidR="006E4809" w:rsidRPr="00FC0B4D">
              <w:rPr>
                <w:spacing w:val="-8"/>
                <w:lang w:val="uk-UA"/>
              </w:rPr>
              <w:t>2981,5</w:t>
            </w:r>
            <w:r w:rsidRPr="00FC0B4D">
              <w:rPr>
                <w:spacing w:val="-8"/>
                <w:lang w:val="uk-UA"/>
              </w:rPr>
              <w:t xml:space="preserve"> млн.дол.</w:t>
            </w:r>
            <w:r w:rsidR="00FC0B4D">
              <w:rPr>
                <w:spacing w:val="-8"/>
                <w:lang w:val="uk-UA"/>
              </w:rPr>
              <w:t xml:space="preserve"> </w:t>
            </w:r>
            <w:r w:rsidRPr="00FC0B4D">
              <w:rPr>
                <w:spacing w:val="-8"/>
                <w:lang w:val="uk-UA"/>
              </w:rPr>
              <w:t>США (10</w:t>
            </w:r>
            <w:r w:rsidR="006E4809" w:rsidRPr="00FC0B4D">
              <w:rPr>
                <w:spacing w:val="-8"/>
                <w:lang w:val="uk-UA"/>
              </w:rPr>
              <w:t>7</w:t>
            </w:r>
            <w:r w:rsidRPr="00FC0B4D">
              <w:rPr>
                <w:spacing w:val="-8"/>
                <w:lang w:val="uk-UA"/>
              </w:rPr>
              <w:t>,9% виконання показника Програми). За обсягом іноземного капіталу регіон займає третє місце в Україні.</w:t>
            </w:r>
          </w:p>
          <w:p w:rsidR="00011EAB" w:rsidRPr="00F7290F" w:rsidRDefault="000262AC" w:rsidP="00FC0B4D">
            <w:pPr>
              <w:keepNext/>
              <w:widowControl w:val="0"/>
              <w:spacing w:after="60"/>
              <w:ind w:firstLine="284"/>
              <w:jc w:val="both"/>
              <w:rPr>
                <w:color w:val="FF0000"/>
                <w:lang w:val="uk-UA"/>
              </w:rPr>
            </w:pPr>
            <w:r w:rsidRPr="00FC0B4D">
              <w:rPr>
                <w:spacing w:val="-8"/>
                <w:lang w:val="uk-UA"/>
              </w:rPr>
              <w:t>Приріст прямих іноземних інвестицій</w:t>
            </w:r>
            <w:r w:rsidR="00FC0B4D">
              <w:rPr>
                <w:spacing w:val="-8"/>
                <w:lang w:val="uk-UA"/>
              </w:rPr>
              <w:t xml:space="preserve"> </w:t>
            </w:r>
            <w:r w:rsidRPr="00FC0B4D">
              <w:rPr>
                <w:spacing w:val="-8"/>
                <w:lang w:val="uk-UA"/>
              </w:rPr>
              <w:t>склав</w:t>
            </w:r>
            <w:r w:rsidR="00FC0B4D">
              <w:rPr>
                <w:spacing w:val="-8"/>
                <w:lang w:val="uk-UA"/>
              </w:rPr>
              <w:t xml:space="preserve"> </w:t>
            </w:r>
            <w:r w:rsidR="006E4809" w:rsidRPr="00FC0B4D">
              <w:rPr>
                <w:spacing w:val="-8"/>
                <w:lang w:val="uk-UA"/>
              </w:rPr>
              <w:t>334,6</w:t>
            </w:r>
            <w:r w:rsidRPr="00FC0B4D">
              <w:rPr>
                <w:spacing w:val="-8"/>
                <w:lang w:val="uk-UA"/>
              </w:rPr>
              <w:t xml:space="preserve"> млн.дол.США, що на </w:t>
            </w:r>
            <w:r w:rsidR="006E4809" w:rsidRPr="00FC0B4D">
              <w:rPr>
                <w:spacing w:val="-8"/>
                <w:lang w:val="uk-UA"/>
              </w:rPr>
              <w:t>9,2</w:t>
            </w:r>
            <w:r w:rsidRPr="00FC0B4D">
              <w:rPr>
                <w:spacing w:val="-8"/>
                <w:lang w:val="uk-UA"/>
              </w:rPr>
              <w:t>% менше показника   2011 року (1</w:t>
            </w:r>
            <w:r w:rsidR="006E4809" w:rsidRPr="00FC0B4D">
              <w:rPr>
                <w:spacing w:val="-8"/>
                <w:lang w:val="uk-UA"/>
              </w:rPr>
              <w:t>33,8</w:t>
            </w:r>
            <w:r w:rsidRPr="00FC0B4D">
              <w:rPr>
                <w:spacing w:val="-8"/>
                <w:lang w:val="uk-UA"/>
              </w:rPr>
              <w:t xml:space="preserve">% виконання показника Програми). У 2012 році у розрахунку на 1 особу в області </w:t>
            </w:r>
            <w:r w:rsidR="00FC0B4D" w:rsidRPr="00FC0B4D">
              <w:rPr>
                <w:spacing w:val="-8"/>
                <w:lang w:val="uk-UA"/>
              </w:rPr>
              <w:t xml:space="preserve">припадало   </w:t>
            </w:r>
            <w:r w:rsidR="006E4809" w:rsidRPr="00FC0B4D">
              <w:rPr>
                <w:spacing w:val="-8"/>
                <w:lang w:val="uk-UA"/>
              </w:rPr>
              <w:t>681</w:t>
            </w:r>
            <w:r w:rsidRPr="00FC0B4D">
              <w:rPr>
                <w:spacing w:val="-8"/>
                <w:lang w:val="uk-UA"/>
              </w:rPr>
              <w:t xml:space="preserve"> дол.США (1</w:t>
            </w:r>
            <w:r w:rsidR="006E4809" w:rsidRPr="00FC0B4D">
              <w:rPr>
                <w:spacing w:val="-8"/>
                <w:lang w:val="uk-UA"/>
              </w:rPr>
              <w:t>10</w:t>
            </w:r>
            <w:r w:rsidRPr="00FC0B4D">
              <w:rPr>
                <w:spacing w:val="-8"/>
                <w:lang w:val="uk-UA"/>
              </w:rPr>
              <w:t>,6% виконання показника Програми).</w:t>
            </w:r>
          </w:p>
        </w:tc>
      </w:tr>
      <w:tr w:rsidR="00011EAB" w:rsidRPr="00F7290F" w:rsidTr="00FC0B4D">
        <w:trPr>
          <w:trHeight w:val="299"/>
        </w:trPr>
        <w:tc>
          <w:tcPr>
            <w:tcW w:w="5850" w:type="dxa"/>
            <w:tcBorders>
              <w:top w:val="nil"/>
              <w:left w:val="nil"/>
              <w:bottom w:val="nil"/>
              <w:right w:val="nil"/>
            </w:tcBorders>
          </w:tcPr>
          <w:p w:rsidR="00011EAB" w:rsidRPr="00F7290F" w:rsidRDefault="00011EAB" w:rsidP="00D65D2E">
            <w:pPr>
              <w:keepNext/>
              <w:widowControl w:val="0"/>
              <w:spacing w:before="120"/>
              <w:jc w:val="center"/>
              <w:rPr>
                <w:b/>
                <w:color w:val="FF0000"/>
                <w:lang w:val="uk-UA"/>
              </w:rPr>
            </w:pPr>
            <w:r w:rsidRPr="00F7290F">
              <w:rPr>
                <w:b/>
                <w:noProof/>
                <w:color w:val="FF0000"/>
              </w:rPr>
              <w:drawing>
                <wp:inline distT="0" distB="0" distL="0" distR="0">
                  <wp:extent cx="3577590" cy="2087245"/>
                  <wp:effectExtent l="0" t="0" r="0" b="0"/>
                  <wp:docPr id="54"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3828" w:type="dxa"/>
            <w:gridSpan w:val="2"/>
            <w:vMerge/>
            <w:tcBorders>
              <w:left w:val="nil"/>
              <w:right w:val="nil"/>
            </w:tcBorders>
          </w:tcPr>
          <w:p w:rsidR="00011EAB" w:rsidRPr="00F7290F" w:rsidRDefault="00011EAB" w:rsidP="00D65D2E">
            <w:pPr>
              <w:keepNext/>
              <w:widowControl w:val="0"/>
              <w:spacing w:after="60"/>
              <w:ind w:firstLine="284"/>
              <w:jc w:val="both"/>
              <w:rPr>
                <w:color w:val="FF0000"/>
                <w:lang w:val="uk-UA"/>
              </w:rPr>
            </w:pPr>
          </w:p>
        </w:tc>
      </w:tr>
      <w:tr w:rsidR="00011EAB"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50" w:type="dxa"/>
          </w:tcPr>
          <w:p w:rsidR="00011EAB" w:rsidRPr="00F7290F" w:rsidRDefault="00011EAB" w:rsidP="00D65D2E">
            <w:pPr>
              <w:keepNext/>
              <w:widowControl w:val="0"/>
              <w:spacing w:before="120"/>
              <w:jc w:val="center"/>
              <w:rPr>
                <w:b/>
                <w:noProof/>
                <w:spacing w:val="-6"/>
                <w:lang w:val="uk-UA"/>
              </w:rPr>
            </w:pPr>
            <w:r w:rsidRPr="00F7290F">
              <w:rPr>
                <w:b/>
                <w:noProof/>
                <w:spacing w:val="-6"/>
                <w:lang w:val="uk-UA"/>
              </w:rPr>
              <w:t xml:space="preserve">Обсяг </w:t>
            </w:r>
            <w:r w:rsidR="00C81DD8" w:rsidRPr="00F7290F">
              <w:rPr>
                <w:b/>
                <w:noProof/>
                <w:spacing w:val="-6"/>
                <w:lang w:val="uk-UA"/>
              </w:rPr>
              <w:t xml:space="preserve">капітальних </w:t>
            </w:r>
            <w:r w:rsidRPr="00F7290F">
              <w:rPr>
                <w:b/>
                <w:noProof/>
                <w:spacing w:val="-6"/>
                <w:lang w:val="uk-UA"/>
              </w:rPr>
              <w:t>інвестицій за рахунок усіх джерел фінансування у фактичних цінах, млрд.грн.</w:t>
            </w:r>
          </w:p>
        </w:tc>
        <w:tc>
          <w:tcPr>
            <w:tcW w:w="3828" w:type="dxa"/>
            <w:gridSpan w:val="2"/>
            <w:vMerge/>
          </w:tcPr>
          <w:p w:rsidR="00011EAB" w:rsidRPr="00F7290F" w:rsidRDefault="00011EAB" w:rsidP="00D65D2E">
            <w:pPr>
              <w:keepNext/>
              <w:widowControl w:val="0"/>
              <w:spacing w:after="60"/>
              <w:ind w:firstLine="284"/>
              <w:jc w:val="both"/>
              <w:rPr>
                <w:color w:val="FF0000"/>
                <w:spacing w:val="-4"/>
                <w:lang w:val="uk-UA"/>
              </w:rPr>
            </w:pPr>
          </w:p>
        </w:tc>
      </w:tr>
      <w:tr w:rsidR="00011EAB"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7"/>
        </w:trPr>
        <w:tc>
          <w:tcPr>
            <w:tcW w:w="5850" w:type="dxa"/>
          </w:tcPr>
          <w:p w:rsidR="00011EAB" w:rsidRPr="00F7290F" w:rsidRDefault="00914A69" w:rsidP="00D65D2E">
            <w:pPr>
              <w:keepNext/>
              <w:widowControl w:val="0"/>
              <w:ind w:left="-170"/>
              <w:rPr>
                <w:color w:val="FF0000"/>
                <w:lang w:val="uk-UA"/>
              </w:rPr>
            </w:pPr>
            <w:r w:rsidRPr="00914A69">
              <w:rPr>
                <w:noProof/>
                <w:color w:val="FF0000"/>
                <w:lang w:val="uk-UA"/>
              </w:rPr>
              <w:pict>
                <v:rect id="_x0000_s1266" style="position:absolute;left:0;text-align:left;margin-left:72.45pt;margin-top:3.15pt;width:109.15pt;height:17.75pt;z-index:251727872;mso-position-horizontal-relative:text;mso-position-vertical-relative:text" filled="f" stroked="f">
                  <v:textbox style="mso-next-textbox:#_x0000_s1266">
                    <w:txbxContent>
                      <w:p w:rsidR="00FC0B4D" w:rsidRPr="00ED3EBE" w:rsidRDefault="00FC0B4D" w:rsidP="001F5241">
                        <w:pPr>
                          <w:rPr>
                            <w:sz w:val="16"/>
                            <w:szCs w:val="16"/>
                            <w:lang w:val="uk-UA"/>
                          </w:rPr>
                        </w:pPr>
                        <w:r w:rsidRPr="00ED3EBE">
                          <w:rPr>
                            <w:sz w:val="16"/>
                            <w:szCs w:val="16"/>
                            <w:lang w:val="uk-UA"/>
                          </w:rPr>
                          <w:t xml:space="preserve"> </w:t>
                        </w:r>
                        <w:r>
                          <w:rPr>
                            <w:sz w:val="16"/>
                            <w:szCs w:val="16"/>
                            <w:lang w:val="uk-UA"/>
                          </w:rPr>
                          <w:t xml:space="preserve">*-  без </w:t>
                        </w:r>
                        <w:r w:rsidRPr="00ED3EBE">
                          <w:rPr>
                            <w:sz w:val="16"/>
                            <w:szCs w:val="16"/>
                            <w:lang w:val="uk-UA"/>
                          </w:rPr>
                          <w:t>урахування ПДВ</w:t>
                        </w:r>
                      </w:p>
                    </w:txbxContent>
                  </v:textbox>
                </v:rect>
              </w:pict>
            </w:r>
            <w:r w:rsidR="00011EAB" w:rsidRPr="00F7290F">
              <w:rPr>
                <w:noProof/>
                <w:color w:val="FF0000"/>
              </w:rPr>
              <w:drawing>
                <wp:inline distT="0" distB="0" distL="0" distR="0">
                  <wp:extent cx="3743325" cy="1781175"/>
                  <wp:effectExtent l="0" t="0" r="0" b="0"/>
                  <wp:docPr id="56"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3828" w:type="dxa"/>
            <w:gridSpan w:val="2"/>
            <w:vMerge/>
            <w:vAlign w:val="center"/>
          </w:tcPr>
          <w:p w:rsidR="00011EAB" w:rsidRPr="00F7290F" w:rsidRDefault="00011EAB" w:rsidP="00D65D2E">
            <w:pPr>
              <w:keepNext/>
              <w:widowControl w:val="0"/>
              <w:spacing w:after="60"/>
              <w:ind w:firstLine="284"/>
              <w:jc w:val="both"/>
              <w:rPr>
                <w:color w:val="FF0000"/>
                <w:lang w:val="uk-UA"/>
              </w:rPr>
            </w:pPr>
          </w:p>
        </w:tc>
      </w:tr>
      <w:tr w:rsidR="00011EAB"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9"/>
        </w:trPr>
        <w:tc>
          <w:tcPr>
            <w:tcW w:w="5850" w:type="dxa"/>
          </w:tcPr>
          <w:p w:rsidR="00011EAB" w:rsidRPr="00F7290F" w:rsidRDefault="00011EAB" w:rsidP="00D65D2E">
            <w:pPr>
              <w:keepNext/>
              <w:widowControl w:val="0"/>
              <w:jc w:val="center"/>
              <w:rPr>
                <w:b/>
                <w:lang w:val="uk-UA"/>
              </w:rPr>
            </w:pPr>
            <w:r w:rsidRPr="00F7290F">
              <w:rPr>
                <w:b/>
                <w:lang w:val="uk-UA"/>
              </w:rPr>
              <w:t>Житлове будівництво</w:t>
            </w:r>
          </w:p>
        </w:tc>
        <w:tc>
          <w:tcPr>
            <w:tcW w:w="3828" w:type="dxa"/>
            <w:gridSpan w:val="2"/>
            <w:vMerge/>
          </w:tcPr>
          <w:p w:rsidR="00011EAB" w:rsidRPr="00F7290F" w:rsidRDefault="00011EAB" w:rsidP="00D65D2E">
            <w:pPr>
              <w:keepNext/>
              <w:widowControl w:val="0"/>
              <w:spacing w:after="60"/>
              <w:ind w:firstLine="284"/>
              <w:jc w:val="both"/>
              <w:rPr>
                <w:color w:val="FF0000"/>
                <w:lang w:val="uk-UA"/>
              </w:rPr>
            </w:pPr>
          </w:p>
        </w:tc>
      </w:tr>
      <w:tr w:rsidR="00011EAB"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1"/>
        </w:trPr>
        <w:tc>
          <w:tcPr>
            <w:tcW w:w="5850" w:type="dxa"/>
          </w:tcPr>
          <w:p w:rsidR="00011EAB" w:rsidRPr="00F7290F" w:rsidRDefault="00011EAB" w:rsidP="00D65D2E">
            <w:pPr>
              <w:keepNext/>
              <w:widowControl w:val="0"/>
              <w:ind w:left="249" w:hanging="249"/>
              <w:rPr>
                <w:color w:val="FF0000"/>
                <w:sz w:val="2"/>
                <w:szCs w:val="2"/>
                <w:lang w:val="uk-UA"/>
              </w:rPr>
            </w:pPr>
            <w:r w:rsidRPr="00F7290F">
              <w:rPr>
                <w:noProof/>
                <w:color w:val="FF0000"/>
              </w:rPr>
              <w:drawing>
                <wp:inline distT="0" distB="0" distL="0" distR="0">
                  <wp:extent cx="3571875" cy="1790700"/>
                  <wp:effectExtent l="0" t="0" r="0" b="0"/>
                  <wp:docPr id="57"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3828" w:type="dxa"/>
            <w:gridSpan w:val="2"/>
            <w:vMerge/>
            <w:vAlign w:val="center"/>
          </w:tcPr>
          <w:p w:rsidR="00011EAB" w:rsidRPr="00F7290F" w:rsidRDefault="00011EAB" w:rsidP="00D65D2E">
            <w:pPr>
              <w:keepNext/>
              <w:widowControl w:val="0"/>
              <w:spacing w:after="60"/>
              <w:ind w:firstLine="284"/>
              <w:jc w:val="both"/>
              <w:rPr>
                <w:color w:val="FF0000"/>
                <w:sz w:val="20"/>
                <w:szCs w:val="20"/>
                <w:lang w:val="uk-UA"/>
              </w:rPr>
            </w:pPr>
          </w:p>
        </w:tc>
      </w:tr>
      <w:tr w:rsidR="00011EAB"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2"/>
        </w:trPr>
        <w:tc>
          <w:tcPr>
            <w:tcW w:w="5850" w:type="dxa"/>
          </w:tcPr>
          <w:p w:rsidR="00011EAB" w:rsidRPr="00F7290F" w:rsidRDefault="00011EAB" w:rsidP="00D65D2E">
            <w:pPr>
              <w:keepNext/>
              <w:widowControl w:val="0"/>
              <w:spacing w:before="120"/>
              <w:jc w:val="center"/>
              <w:rPr>
                <w:b/>
                <w:lang w:val="uk-UA"/>
              </w:rPr>
            </w:pPr>
            <w:r w:rsidRPr="00F7290F">
              <w:rPr>
                <w:b/>
                <w:lang w:val="uk-UA"/>
              </w:rPr>
              <w:t>Обсяг прямих іноземних інвестицій, млн.дол.США</w:t>
            </w:r>
          </w:p>
        </w:tc>
        <w:tc>
          <w:tcPr>
            <w:tcW w:w="3828" w:type="dxa"/>
            <w:gridSpan w:val="2"/>
            <w:vMerge/>
          </w:tcPr>
          <w:p w:rsidR="00011EAB" w:rsidRPr="00F7290F" w:rsidRDefault="00011EAB" w:rsidP="00D65D2E">
            <w:pPr>
              <w:keepNext/>
              <w:widowControl w:val="0"/>
              <w:spacing w:after="60"/>
              <w:ind w:firstLine="284"/>
              <w:jc w:val="both"/>
              <w:rPr>
                <w:color w:val="FF0000"/>
                <w:spacing w:val="-2"/>
                <w:lang w:val="uk-UA"/>
              </w:rPr>
            </w:pPr>
          </w:p>
        </w:tc>
      </w:tr>
      <w:tr w:rsidR="00011EAB"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5"/>
        </w:trPr>
        <w:tc>
          <w:tcPr>
            <w:tcW w:w="5850" w:type="dxa"/>
          </w:tcPr>
          <w:p w:rsidR="00011EAB" w:rsidRPr="00F7290F" w:rsidRDefault="00011EAB" w:rsidP="00D65D2E">
            <w:pPr>
              <w:keepNext/>
              <w:widowControl w:val="0"/>
              <w:spacing w:before="120"/>
              <w:jc w:val="center"/>
              <w:rPr>
                <w:b/>
                <w:color w:val="FF0000"/>
                <w:lang w:val="uk-UA"/>
              </w:rPr>
            </w:pPr>
            <w:r w:rsidRPr="00F7290F">
              <w:rPr>
                <w:b/>
                <w:noProof/>
                <w:color w:val="FF0000"/>
              </w:rPr>
              <w:drawing>
                <wp:inline distT="0" distB="0" distL="0" distR="0">
                  <wp:extent cx="3543300" cy="1857375"/>
                  <wp:effectExtent l="0" t="0" r="0" b="0"/>
                  <wp:docPr id="58"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11EAB" w:rsidRPr="00F7290F" w:rsidRDefault="00011EAB" w:rsidP="00D65D2E">
            <w:pPr>
              <w:keepNext/>
              <w:widowControl w:val="0"/>
              <w:spacing w:before="120"/>
              <w:jc w:val="center"/>
              <w:rPr>
                <w:b/>
                <w:color w:val="FF0000"/>
                <w:sz w:val="2"/>
                <w:szCs w:val="2"/>
                <w:lang w:val="uk-UA"/>
              </w:rPr>
            </w:pPr>
          </w:p>
        </w:tc>
        <w:tc>
          <w:tcPr>
            <w:tcW w:w="3828" w:type="dxa"/>
            <w:gridSpan w:val="2"/>
            <w:vMerge/>
          </w:tcPr>
          <w:p w:rsidR="00011EAB" w:rsidRPr="00F7290F" w:rsidRDefault="00011EAB" w:rsidP="00D65D2E">
            <w:pPr>
              <w:keepNext/>
              <w:widowControl w:val="0"/>
              <w:tabs>
                <w:tab w:val="num" w:pos="458"/>
              </w:tabs>
              <w:ind w:firstLine="278"/>
              <w:jc w:val="both"/>
              <w:rPr>
                <w:color w:val="FF0000"/>
                <w:lang w:val="uk-UA"/>
              </w:rPr>
            </w:pPr>
          </w:p>
        </w:tc>
      </w:tr>
      <w:tr w:rsidR="00E035F9" w:rsidRPr="008E4FA0"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ind w:left="-108"/>
              <w:jc w:val="center"/>
              <w:rPr>
                <w:b/>
                <w:lang w:val="uk-UA"/>
              </w:rPr>
            </w:pPr>
            <w:r w:rsidRPr="00F7290F">
              <w:rPr>
                <w:b/>
                <w:lang w:val="uk-UA"/>
              </w:rPr>
              <w:lastRenderedPageBreak/>
              <w:t>Стан реформування</w:t>
            </w:r>
          </w:p>
          <w:p w:rsidR="00E035F9" w:rsidRPr="00F7290F" w:rsidRDefault="00E035F9" w:rsidP="00D65D2E">
            <w:pPr>
              <w:keepNext/>
              <w:widowControl w:val="0"/>
              <w:ind w:left="-108"/>
              <w:jc w:val="center"/>
              <w:rPr>
                <w:color w:val="FF0000"/>
                <w:spacing w:val="-8"/>
                <w:lang w:val="uk-UA"/>
              </w:rPr>
            </w:pPr>
            <w:r w:rsidRPr="00F7290F">
              <w:rPr>
                <w:b/>
                <w:lang w:val="uk-UA"/>
              </w:rPr>
              <w:t>житлово-комунального господарства</w:t>
            </w:r>
          </w:p>
        </w:tc>
        <w:tc>
          <w:tcPr>
            <w:tcW w:w="3544" w:type="dxa"/>
            <w:vMerge w:val="restart"/>
          </w:tcPr>
          <w:p w:rsidR="00E035F9" w:rsidRPr="00F7290F" w:rsidRDefault="00E035F9" w:rsidP="003D3542">
            <w:pPr>
              <w:keepNext/>
              <w:widowControl w:val="0"/>
              <w:spacing w:before="120"/>
              <w:ind w:firstLine="284"/>
              <w:jc w:val="both"/>
              <w:rPr>
                <w:spacing w:val="-8"/>
                <w:lang w:val="uk-UA"/>
              </w:rPr>
            </w:pPr>
            <w:r w:rsidRPr="00F7290F">
              <w:rPr>
                <w:lang w:val="uk-UA"/>
              </w:rPr>
              <w:t>В ході реформування житлово-комунального господарства створено 2686 об’єднань співвласників багатоквартирних житлових будинків, на утримання яким передано тільки 15,5% загальної площі житлового фонду області, 84 підприємства недержавної форми власності здійснюють обслуговування             майже 19 млн.кв.м (37,3%) житла комунальної власності.</w:t>
            </w:r>
          </w:p>
        </w:tc>
      </w:tr>
      <w:tr w:rsidR="00E035F9"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jc w:val="both"/>
              <w:rPr>
                <w:color w:val="FF0000"/>
                <w:spacing w:val="-8"/>
                <w:lang w:val="uk-UA"/>
              </w:rPr>
            </w:pPr>
            <w:r w:rsidRPr="00F7290F">
              <w:rPr>
                <w:noProof/>
                <w:color w:val="FF0000"/>
                <w:spacing w:val="-8"/>
              </w:rPr>
              <w:drawing>
                <wp:inline distT="0" distB="0" distL="0" distR="0">
                  <wp:extent cx="3838575" cy="2200275"/>
                  <wp:effectExtent l="0" t="0" r="0" b="0"/>
                  <wp:docPr id="91"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3544" w:type="dxa"/>
            <w:vMerge/>
          </w:tcPr>
          <w:p w:rsidR="00E035F9" w:rsidRPr="00F7290F" w:rsidRDefault="00E035F9" w:rsidP="00D65D2E">
            <w:pPr>
              <w:keepNext/>
              <w:widowControl w:val="0"/>
              <w:ind w:left="318"/>
              <w:jc w:val="both"/>
              <w:rPr>
                <w:color w:val="FF0000"/>
                <w:spacing w:val="-8"/>
                <w:lang w:val="uk-UA"/>
              </w:rPr>
            </w:pPr>
          </w:p>
        </w:tc>
      </w:tr>
      <w:tr w:rsidR="00E035F9"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jc w:val="center"/>
              <w:rPr>
                <w:noProof/>
                <w:spacing w:val="-8"/>
                <w:lang w:val="uk-UA"/>
              </w:rPr>
            </w:pPr>
            <w:r w:rsidRPr="00F7290F">
              <w:rPr>
                <w:b/>
                <w:lang w:val="uk-UA"/>
              </w:rPr>
              <w:t>Технічний стан водопровідно-каналізаційного господарства</w:t>
            </w:r>
          </w:p>
        </w:tc>
        <w:tc>
          <w:tcPr>
            <w:tcW w:w="3544" w:type="dxa"/>
            <w:vMerge w:val="restart"/>
          </w:tcPr>
          <w:p w:rsidR="00E035F9" w:rsidRPr="00F7290F" w:rsidRDefault="00E035F9" w:rsidP="00FC0B4D">
            <w:pPr>
              <w:keepNext/>
              <w:widowControl w:val="0"/>
              <w:spacing w:after="60"/>
              <w:ind w:firstLine="284"/>
              <w:jc w:val="both"/>
              <w:rPr>
                <w:lang w:val="uk-UA"/>
              </w:rPr>
            </w:pPr>
            <w:r w:rsidRPr="00F7290F">
              <w:rPr>
                <w:lang w:val="uk-UA"/>
              </w:rPr>
              <w:t xml:space="preserve">Залишається незадовільним технічний стан житлово-комунального господарства. Втрати води у мережах по області складають 50,3%; втрати тепла у зовнішніх теплових мережах – 12,6%. </w:t>
            </w:r>
          </w:p>
          <w:p w:rsidR="00E035F9" w:rsidRPr="00F7290F" w:rsidRDefault="00E035F9" w:rsidP="00FC0B4D">
            <w:pPr>
              <w:keepNext/>
              <w:widowControl w:val="0"/>
              <w:spacing w:after="60"/>
              <w:ind w:firstLine="284"/>
              <w:jc w:val="both"/>
              <w:rPr>
                <w:spacing w:val="-8"/>
                <w:lang w:val="uk-UA"/>
              </w:rPr>
            </w:pPr>
            <w:r w:rsidRPr="00F7290F">
              <w:rPr>
                <w:lang w:val="uk-UA"/>
              </w:rPr>
              <w:t>У ветхому і аварійному стані знаходиться 50,2% водопровідно-каналізаційних і 12,6% теплових мереж. На підприємствах комунальної теплоенергетики 517 (17%) котлів мають ККД нижче 82%, 34% котлів відпрацювали нормативний термін і потребують заміни.</w:t>
            </w:r>
          </w:p>
        </w:tc>
      </w:tr>
      <w:tr w:rsidR="00E035F9"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jc w:val="both"/>
              <w:rPr>
                <w:noProof/>
                <w:color w:val="FF0000"/>
                <w:spacing w:val="-8"/>
                <w:lang w:val="uk-UA"/>
              </w:rPr>
            </w:pPr>
            <w:r w:rsidRPr="00F7290F">
              <w:rPr>
                <w:noProof/>
                <w:color w:val="FF0000"/>
                <w:spacing w:val="-8"/>
              </w:rPr>
              <w:drawing>
                <wp:inline distT="0" distB="0" distL="0" distR="0">
                  <wp:extent cx="3762375" cy="2400300"/>
                  <wp:effectExtent l="0" t="0" r="0" b="0"/>
                  <wp:docPr id="93"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3544" w:type="dxa"/>
            <w:vMerge/>
          </w:tcPr>
          <w:p w:rsidR="00E035F9" w:rsidRPr="00F7290F" w:rsidRDefault="00E035F9" w:rsidP="00FC0B4D">
            <w:pPr>
              <w:keepNext/>
              <w:widowControl w:val="0"/>
              <w:ind w:left="318" w:firstLine="284"/>
              <w:jc w:val="both"/>
              <w:rPr>
                <w:color w:val="FF0000"/>
                <w:spacing w:val="-8"/>
                <w:lang w:val="uk-UA"/>
              </w:rPr>
            </w:pPr>
          </w:p>
        </w:tc>
      </w:tr>
      <w:tr w:rsidR="00E035F9"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ind w:firstLine="284"/>
              <w:jc w:val="center"/>
              <w:rPr>
                <w:b/>
                <w:lang w:val="uk-UA"/>
              </w:rPr>
            </w:pPr>
            <w:r w:rsidRPr="00F7290F">
              <w:rPr>
                <w:b/>
                <w:lang w:val="uk-UA"/>
              </w:rPr>
              <w:t>Динаміка фінансових показників діяльності</w:t>
            </w:r>
          </w:p>
          <w:p w:rsidR="00E035F9" w:rsidRPr="00F7290F" w:rsidRDefault="00E035F9" w:rsidP="00D65D2E">
            <w:pPr>
              <w:keepNext/>
              <w:widowControl w:val="0"/>
              <w:jc w:val="center"/>
              <w:rPr>
                <w:noProof/>
                <w:color w:val="FF0000"/>
                <w:spacing w:val="-8"/>
                <w:lang w:val="uk-UA"/>
              </w:rPr>
            </w:pPr>
            <w:r w:rsidRPr="00F7290F">
              <w:rPr>
                <w:b/>
                <w:lang w:val="uk-UA"/>
              </w:rPr>
              <w:t>підприємств житлово-комунального господарства, млн.грн.</w:t>
            </w:r>
          </w:p>
        </w:tc>
        <w:tc>
          <w:tcPr>
            <w:tcW w:w="3544" w:type="dxa"/>
            <w:vMerge w:val="restart"/>
          </w:tcPr>
          <w:p w:rsidR="00E035F9" w:rsidRPr="00F7290F" w:rsidRDefault="00E035F9" w:rsidP="00FC0B4D">
            <w:pPr>
              <w:keepNext/>
              <w:widowControl w:val="0"/>
              <w:ind w:firstLine="284"/>
              <w:jc w:val="both"/>
              <w:rPr>
                <w:lang w:val="uk-UA"/>
              </w:rPr>
            </w:pPr>
            <w:r w:rsidRPr="00F7290F">
              <w:rPr>
                <w:lang w:val="uk-UA"/>
              </w:rPr>
              <w:t xml:space="preserve">Тільки 31% житлових будинків обладнані приладами обліку води і теплової енергії. </w:t>
            </w:r>
          </w:p>
          <w:p w:rsidR="00E035F9" w:rsidRPr="00F7290F" w:rsidRDefault="00E035F9" w:rsidP="00FC0B4D">
            <w:pPr>
              <w:keepNext/>
              <w:widowControl w:val="0"/>
              <w:ind w:firstLine="284"/>
              <w:jc w:val="both"/>
              <w:rPr>
                <w:lang w:val="uk-UA"/>
              </w:rPr>
            </w:pPr>
            <w:r w:rsidRPr="00F7290F">
              <w:rPr>
                <w:lang w:val="uk-UA"/>
              </w:rPr>
              <w:t>В житлових будинках області налічується 9720 ліфтів, з яких 6457 (66,4%) експлуатуються 25 і більше років, 504 (5,1%) ліфти не працюють.</w:t>
            </w:r>
          </w:p>
          <w:p w:rsidR="00E035F9" w:rsidRPr="00F7290F" w:rsidRDefault="00E035F9" w:rsidP="00FC0B4D">
            <w:pPr>
              <w:keepNext/>
              <w:widowControl w:val="0"/>
              <w:tabs>
                <w:tab w:val="left" w:pos="447"/>
              </w:tabs>
              <w:ind w:firstLine="284"/>
              <w:jc w:val="both"/>
              <w:rPr>
                <w:lang w:val="uk-UA"/>
              </w:rPr>
            </w:pPr>
            <w:r w:rsidRPr="00F7290F">
              <w:rPr>
                <w:lang w:val="uk-UA"/>
              </w:rPr>
              <w:t>Збитки підприємств житлово-комунальної сфери зменшились майже на 18% до відповідного періоду минулого року і на 01.10.2012 склали  865,4 млн.грн.</w:t>
            </w:r>
          </w:p>
          <w:p w:rsidR="00E035F9" w:rsidRPr="00F7290F" w:rsidRDefault="00E035F9" w:rsidP="00FC0B4D">
            <w:pPr>
              <w:keepNext/>
              <w:widowControl w:val="0"/>
              <w:ind w:firstLine="284"/>
              <w:jc w:val="both"/>
              <w:rPr>
                <w:spacing w:val="-8"/>
                <w:lang w:val="uk-UA"/>
              </w:rPr>
            </w:pPr>
            <w:r w:rsidRPr="00F7290F">
              <w:rPr>
                <w:lang w:val="uk-UA"/>
              </w:rPr>
              <w:t xml:space="preserve">Заборгованість населення за житлово-комунальні послуги з початку року збільшилась на               130,2 млн.грн., або на 6,6%, і на </w:t>
            </w:r>
            <w:r w:rsidRPr="00CD4824">
              <w:rPr>
                <w:spacing w:val="-8"/>
                <w:lang w:val="uk-UA"/>
              </w:rPr>
              <w:t>01.01.2013 склала 2111,1 млн.грн.</w:t>
            </w:r>
          </w:p>
        </w:tc>
      </w:tr>
      <w:tr w:rsidR="00C12D29"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C12D29" w:rsidRPr="00F7290F" w:rsidRDefault="00C12D29" w:rsidP="00D65D2E">
            <w:pPr>
              <w:keepNext/>
              <w:widowControl w:val="0"/>
              <w:jc w:val="both"/>
              <w:rPr>
                <w:noProof/>
                <w:color w:val="FF0000"/>
                <w:spacing w:val="-8"/>
                <w:lang w:val="uk-UA"/>
              </w:rPr>
            </w:pPr>
            <w:r w:rsidRPr="00F7290F">
              <w:rPr>
                <w:noProof/>
                <w:color w:val="FF0000"/>
                <w:spacing w:val="-8"/>
              </w:rPr>
              <w:drawing>
                <wp:inline distT="0" distB="0" distL="0" distR="0">
                  <wp:extent cx="3676650" cy="2752725"/>
                  <wp:effectExtent l="0" t="0" r="0" b="0"/>
                  <wp:docPr id="3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3544" w:type="dxa"/>
            <w:vMerge/>
          </w:tcPr>
          <w:p w:rsidR="00C12D29" w:rsidRPr="00F7290F" w:rsidRDefault="00C12D29" w:rsidP="00D65D2E">
            <w:pPr>
              <w:keepNext/>
              <w:widowControl w:val="0"/>
              <w:ind w:left="318"/>
              <w:jc w:val="both"/>
              <w:rPr>
                <w:color w:val="FF0000"/>
                <w:spacing w:val="-8"/>
                <w:lang w:val="uk-UA"/>
              </w:rPr>
            </w:pPr>
          </w:p>
        </w:tc>
      </w:tr>
    </w:tbl>
    <w:p w:rsidR="001F5241" w:rsidRPr="00F7290F" w:rsidRDefault="001F5241" w:rsidP="00D65D2E">
      <w:pPr>
        <w:keepNext/>
        <w:widowControl w:val="0"/>
        <w:rPr>
          <w:color w:val="FF0000"/>
          <w:sz w:val="2"/>
          <w:szCs w:val="2"/>
          <w:lang w:val="uk-UA"/>
        </w:rPr>
      </w:pPr>
    </w:p>
    <w:tbl>
      <w:tblPr>
        <w:tblW w:w="9678" w:type="dxa"/>
        <w:tblInd w:w="-72" w:type="dxa"/>
        <w:tblLayout w:type="fixed"/>
        <w:tblLook w:val="01E0"/>
      </w:tblPr>
      <w:tblGrid>
        <w:gridCol w:w="6134"/>
        <w:gridCol w:w="3544"/>
      </w:tblGrid>
      <w:tr w:rsidR="001F5241" w:rsidRPr="00F7290F" w:rsidTr="00CD4824">
        <w:trPr>
          <w:trHeight w:val="359"/>
        </w:trPr>
        <w:tc>
          <w:tcPr>
            <w:tcW w:w="6134" w:type="dxa"/>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lastRenderedPageBreak/>
              <w:t xml:space="preserve">Фінансове забезпечення щорічних </w:t>
            </w:r>
          </w:p>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програм економічного і  соціального розвитку </w:t>
            </w:r>
          </w:p>
          <w:p w:rsidR="001F5241" w:rsidRPr="00F7290F" w:rsidRDefault="001F5241" w:rsidP="00D65D2E">
            <w:pPr>
              <w:keepNext/>
              <w:widowControl w:val="0"/>
              <w:jc w:val="center"/>
              <w:rPr>
                <w:b/>
                <w:color w:val="FF0000"/>
                <w:lang w:val="uk-UA"/>
              </w:rPr>
            </w:pPr>
            <w:r w:rsidRPr="00F7290F">
              <w:rPr>
                <w:b/>
                <w:color w:val="000000" w:themeColor="text1"/>
                <w:lang w:val="uk-UA"/>
              </w:rPr>
              <w:t>Донецької області, млрд.грн.</w:t>
            </w:r>
          </w:p>
        </w:tc>
        <w:tc>
          <w:tcPr>
            <w:tcW w:w="3544" w:type="dxa"/>
          </w:tcPr>
          <w:p w:rsidR="001F5241" w:rsidRPr="00F7290F" w:rsidRDefault="001F5241" w:rsidP="00D65D2E">
            <w:pPr>
              <w:keepNext/>
              <w:widowControl w:val="0"/>
              <w:spacing w:after="120"/>
              <w:ind w:firstLine="284"/>
              <w:jc w:val="both"/>
              <w:rPr>
                <w:color w:val="FF0000"/>
                <w:spacing w:val="-6"/>
                <w:lang w:val="uk-UA"/>
              </w:rPr>
            </w:pPr>
          </w:p>
        </w:tc>
      </w:tr>
      <w:tr w:rsidR="001F5241" w:rsidRPr="00F7290F" w:rsidTr="00CD4824">
        <w:trPr>
          <w:trHeight w:val="359"/>
        </w:trPr>
        <w:tc>
          <w:tcPr>
            <w:tcW w:w="6134" w:type="dxa"/>
          </w:tcPr>
          <w:p w:rsidR="001F5241" w:rsidRPr="00F7290F" w:rsidRDefault="001F5241" w:rsidP="00D65D2E">
            <w:pPr>
              <w:keepNext/>
              <w:widowControl w:val="0"/>
              <w:jc w:val="center"/>
              <w:rPr>
                <w:b/>
                <w:color w:val="FF0000"/>
                <w:lang w:val="uk-UA"/>
              </w:rPr>
            </w:pPr>
            <w:r w:rsidRPr="00F7290F">
              <w:rPr>
                <w:noProof/>
                <w:color w:val="FF0000"/>
              </w:rPr>
              <w:drawing>
                <wp:inline distT="0" distB="0" distL="0" distR="0">
                  <wp:extent cx="3669030" cy="2606040"/>
                  <wp:effectExtent l="0" t="0" r="0" b="0"/>
                  <wp:docPr id="128" name="Объект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3544" w:type="dxa"/>
          </w:tcPr>
          <w:p w:rsidR="004256FC" w:rsidRPr="00F7290F" w:rsidRDefault="004256FC" w:rsidP="004256FC">
            <w:pPr>
              <w:keepNext/>
              <w:widowControl w:val="0"/>
              <w:spacing w:after="60"/>
              <w:ind w:firstLine="284"/>
              <w:jc w:val="both"/>
              <w:rPr>
                <w:lang w:val="uk-UA"/>
              </w:rPr>
            </w:pPr>
            <w:r w:rsidRPr="00F7290F">
              <w:rPr>
                <w:lang w:val="uk-UA"/>
              </w:rPr>
              <w:t>На фінансування заходів Програми за 2012 р</w:t>
            </w:r>
            <w:r w:rsidR="002800FF">
              <w:rPr>
                <w:lang w:val="uk-UA"/>
              </w:rPr>
              <w:t>ік</w:t>
            </w:r>
            <w:r w:rsidRPr="00F7290F">
              <w:rPr>
                <w:lang w:val="uk-UA"/>
              </w:rPr>
              <w:t xml:space="preserve"> спрямовано  </w:t>
            </w:r>
            <w:r w:rsidR="002800FF">
              <w:rPr>
                <w:lang w:val="uk-UA"/>
              </w:rPr>
              <w:t>15,0</w:t>
            </w:r>
            <w:r w:rsidRPr="00F7290F">
              <w:rPr>
                <w:lang w:val="uk-UA"/>
              </w:rPr>
              <w:t xml:space="preserve"> млрд.грн., що складає </w:t>
            </w:r>
            <w:r w:rsidR="001B6676">
              <w:rPr>
                <w:lang w:val="uk-UA"/>
              </w:rPr>
              <w:t>64,0</w:t>
            </w:r>
            <w:r w:rsidRPr="00F7290F">
              <w:rPr>
                <w:lang w:val="uk-UA"/>
              </w:rPr>
              <w:t xml:space="preserve">% до затверджених показників, в тому числі з державного бюджету –                  </w:t>
            </w:r>
            <w:r w:rsidR="002800FF">
              <w:rPr>
                <w:lang w:val="uk-UA"/>
              </w:rPr>
              <w:t>5,2</w:t>
            </w:r>
            <w:r w:rsidRPr="00F7290F">
              <w:rPr>
                <w:lang w:val="uk-UA"/>
              </w:rPr>
              <w:t xml:space="preserve"> млрд.грн.</w:t>
            </w:r>
          </w:p>
          <w:p w:rsidR="001F5241" w:rsidRPr="00F7290F" w:rsidRDefault="004256FC" w:rsidP="004256FC">
            <w:pPr>
              <w:keepNext/>
              <w:widowControl w:val="0"/>
              <w:spacing w:after="120"/>
              <w:ind w:firstLine="284"/>
              <w:jc w:val="both"/>
              <w:rPr>
                <w:color w:val="FF0000"/>
                <w:spacing w:val="-4"/>
                <w:lang w:val="uk-UA"/>
              </w:rPr>
            </w:pPr>
            <w:r w:rsidRPr="00F7290F">
              <w:rPr>
                <w:spacing w:val="-2"/>
                <w:lang w:val="uk-UA"/>
              </w:rPr>
              <w:t>Крім того, у 2012 році на виконання окремих централізо</w:t>
            </w:r>
            <w:r w:rsidR="00005D0B">
              <w:rPr>
                <w:spacing w:val="-2"/>
                <w:lang w:val="uk-UA"/>
              </w:rPr>
              <w:softHyphen/>
            </w:r>
            <w:r w:rsidRPr="00F7290F">
              <w:rPr>
                <w:spacing w:val="-2"/>
                <w:lang w:val="uk-UA"/>
              </w:rPr>
              <w:t>ваних заходів та програм по області за рахунок державного бюджету спрямовано                    12,3 млрд.грн.</w:t>
            </w:r>
          </w:p>
        </w:tc>
      </w:tr>
    </w:tbl>
    <w:p w:rsidR="007E67E6" w:rsidRPr="00F7290F" w:rsidRDefault="007E67E6" w:rsidP="00D65D2E">
      <w:pPr>
        <w:keepNext/>
        <w:widowControl w:val="0"/>
        <w:shd w:val="clear" w:color="auto" w:fill="FFFFFF"/>
        <w:spacing w:after="40"/>
        <w:ind w:firstLine="709"/>
        <w:jc w:val="both"/>
        <w:rPr>
          <w:bCs/>
          <w:color w:val="000000" w:themeColor="text1"/>
          <w:szCs w:val="28"/>
          <w:lang w:val="uk-UA"/>
        </w:rPr>
      </w:pPr>
      <w:r w:rsidRPr="00F7290F">
        <w:rPr>
          <w:bCs/>
          <w:color w:val="000000" w:themeColor="text1"/>
          <w:szCs w:val="28"/>
          <w:lang w:val="uk-UA"/>
        </w:rPr>
        <w:t xml:space="preserve">В області триває практична реалізація Програми економічних реформ Президента України на 2010-2014 роки </w:t>
      </w:r>
      <w:r w:rsidR="007768BF" w:rsidRPr="00F7290F">
        <w:rPr>
          <w:bCs/>
          <w:color w:val="000000" w:themeColor="text1"/>
          <w:szCs w:val="28"/>
          <w:lang w:val="uk-UA"/>
        </w:rPr>
        <w:t>«</w:t>
      </w:r>
      <w:r w:rsidRPr="00F7290F">
        <w:rPr>
          <w:bCs/>
          <w:color w:val="000000" w:themeColor="text1"/>
          <w:szCs w:val="28"/>
          <w:lang w:val="uk-UA"/>
        </w:rPr>
        <w:t>Заможне суспільство, конкурентоспроможна економіка, ефективна держава</w:t>
      </w:r>
      <w:r w:rsidR="007768BF" w:rsidRPr="00F7290F">
        <w:rPr>
          <w:bCs/>
          <w:color w:val="000000" w:themeColor="text1"/>
          <w:szCs w:val="28"/>
          <w:lang w:val="uk-UA"/>
        </w:rPr>
        <w:t>»</w:t>
      </w:r>
      <w:r w:rsidRPr="00F7290F">
        <w:rPr>
          <w:bCs/>
          <w:color w:val="000000" w:themeColor="text1"/>
          <w:szCs w:val="28"/>
          <w:lang w:val="uk-UA"/>
        </w:rPr>
        <w:t>.</w:t>
      </w:r>
    </w:p>
    <w:p w:rsidR="007E67E6" w:rsidRPr="00F7290F" w:rsidRDefault="004256FC" w:rsidP="00D65D2E">
      <w:pPr>
        <w:keepNext/>
        <w:widowControl w:val="0"/>
        <w:spacing w:after="40"/>
        <w:ind w:firstLine="720"/>
        <w:jc w:val="both"/>
        <w:rPr>
          <w:color w:val="000000" w:themeColor="text1"/>
          <w:szCs w:val="28"/>
          <w:lang w:val="uk-UA" w:eastAsia="uk-UA"/>
        </w:rPr>
      </w:pPr>
      <w:r w:rsidRPr="00F7290F">
        <w:rPr>
          <w:color w:val="000000" w:themeColor="text1"/>
          <w:szCs w:val="28"/>
          <w:lang w:val="uk-UA"/>
        </w:rPr>
        <w:t>В 2012 роц</w:t>
      </w:r>
      <w:r w:rsidR="00B716EA" w:rsidRPr="00F7290F">
        <w:rPr>
          <w:color w:val="000000" w:themeColor="text1"/>
          <w:szCs w:val="28"/>
          <w:lang w:val="uk-UA"/>
        </w:rPr>
        <w:t>і</w:t>
      </w:r>
      <w:r w:rsidR="007E67E6" w:rsidRPr="00F7290F">
        <w:rPr>
          <w:color w:val="000000" w:themeColor="text1"/>
          <w:szCs w:val="28"/>
          <w:lang w:val="uk-UA"/>
        </w:rPr>
        <w:t xml:space="preserve"> відбулось 1</w:t>
      </w:r>
      <w:r w:rsidRPr="00F7290F">
        <w:rPr>
          <w:color w:val="000000" w:themeColor="text1"/>
          <w:szCs w:val="28"/>
          <w:lang w:val="uk-UA"/>
        </w:rPr>
        <w:t>5</w:t>
      </w:r>
      <w:r w:rsidR="007E67E6" w:rsidRPr="00F7290F">
        <w:rPr>
          <w:color w:val="000000" w:themeColor="text1"/>
          <w:szCs w:val="28"/>
          <w:lang w:val="uk-UA"/>
        </w:rPr>
        <w:t xml:space="preserve"> засідань</w:t>
      </w:r>
      <w:r w:rsidR="007E67E6" w:rsidRPr="00F7290F">
        <w:rPr>
          <w:b/>
          <w:color w:val="000000" w:themeColor="text1"/>
          <w:szCs w:val="28"/>
          <w:lang w:val="uk-UA"/>
        </w:rPr>
        <w:t xml:space="preserve"> </w:t>
      </w:r>
      <w:r w:rsidR="007E67E6" w:rsidRPr="00F7290F">
        <w:rPr>
          <w:color w:val="000000" w:themeColor="text1"/>
          <w:szCs w:val="28"/>
          <w:lang w:val="uk-UA"/>
        </w:rPr>
        <w:t xml:space="preserve">регіонального комітету </w:t>
      </w:r>
      <w:r w:rsidR="007E67E6" w:rsidRPr="00F7290F">
        <w:rPr>
          <w:color w:val="000000" w:themeColor="text1"/>
          <w:szCs w:val="28"/>
          <w:lang w:val="uk-UA" w:eastAsia="uk-UA"/>
        </w:rPr>
        <w:t>з економічних реформ при облдержадміністрації,</w:t>
      </w:r>
      <w:r w:rsidR="007E67E6" w:rsidRPr="00F7290F">
        <w:rPr>
          <w:b/>
          <w:color w:val="000000" w:themeColor="text1"/>
          <w:szCs w:val="28"/>
          <w:lang w:val="uk-UA" w:eastAsia="uk-UA"/>
        </w:rPr>
        <w:t xml:space="preserve"> </w:t>
      </w:r>
      <w:r w:rsidR="007E67E6" w:rsidRPr="00F7290F">
        <w:rPr>
          <w:color w:val="000000" w:themeColor="text1"/>
          <w:szCs w:val="28"/>
          <w:lang w:val="uk-UA" w:eastAsia="uk-UA"/>
        </w:rPr>
        <w:t xml:space="preserve">на яких розглянуті актуальні для регіону питання, пов’язані з: </w:t>
      </w:r>
    </w:p>
    <w:p w:rsidR="007E67E6" w:rsidRPr="00F7290F" w:rsidRDefault="007E67E6" w:rsidP="00D65D2E">
      <w:pPr>
        <w:keepNext/>
        <w:widowControl w:val="0"/>
        <w:numPr>
          <w:ilvl w:val="0"/>
          <w:numId w:val="7"/>
        </w:numPr>
        <w:tabs>
          <w:tab w:val="clear" w:pos="1920"/>
          <w:tab w:val="num" w:pos="720"/>
        </w:tabs>
        <w:spacing w:after="40"/>
        <w:ind w:left="720" w:hanging="540"/>
        <w:jc w:val="both"/>
        <w:rPr>
          <w:color w:val="000000" w:themeColor="text1"/>
          <w:szCs w:val="28"/>
          <w:lang w:val="uk-UA" w:eastAsia="uk-UA"/>
        </w:rPr>
      </w:pPr>
      <w:r w:rsidRPr="00F7290F">
        <w:rPr>
          <w:color w:val="000000" w:themeColor="text1"/>
          <w:szCs w:val="28"/>
          <w:lang w:val="uk-UA" w:eastAsia="uk-UA"/>
        </w:rPr>
        <w:t xml:space="preserve">розвитком інноваційно-інвестиційної політики (стратегія розвитку інформаційної політики Донецької області на період 2012-2015 роки, впровадження інформаційних технологій в процес управління об'єктами комунальної власності, </w:t>
      </w:r>
      <w:r w:rsidRPr="00F7290F">
        <w:rPr>
          <w:color w:val="000000" w:themeColor="text1"/>
          <w:szCs w:val="28"/>
          <w:lang w:val="uk-UA"/>
        </w:rPr>
        <w:t>стратегія територіального маркетингу Донецької області до 2020 року</w:t>
      </w:r>
      <w:r w:rsidRPr="00F7290F">
        <w:rPr>
          <w:color w:val="000000" w:themeColor="text1"/>
          <w:szCs w:val="28"/>
          <w:lang w:val="uk-UA" w:eastAsia="uk-UA"/>
        </w:rPr>
        <w:t xml:space="preserve">; </w:t>
      </w:r>
    </w:p>
    <w:p w:rsidR="007E67E6" w:rsidRPr="00F7290F" w:rsidRDefault="007E67E6" w:rsidP="00D65D2E">
      <w:pPr>
        <w:keepNext/>
        <w:widowControl w:val="0"/>
        <w:numPr>
          <w:ilvl w:val="0"/>
          <w:numId w:val="7"/>
        </w:numPr>
        <w:tabs>
          <w:tab w:val="clear" w:pos="1920"/>
          <w:tab w:val="num" w:pos="720"/>
        </w:tabs>
        <w:spacing w:after="40"/>
        <w:ind w:left="720" w:hanging="540"/>
        <w:jc w:val="both"/>
        <w:rPr>
          <w:color w:val="000000" w:themeColor="text1"/>
          <w:szCs w:val="28"/>
          <w:lang w:val="uk-UA" w:eastAsia="uk-UA"/>
        </w:rPr>
      </w:pPr>
      <w:r w:rsidRPr="00F7290F">
        <w:rPr>
          <w:color w:val="000000" w:themeColor="text1"/>
          <w:szCs w:val="28"/>
          <w:lang w:val="uk-UA" w:eastAsia="uk-UA"/>
        </w:rPr>
        <w:t>підвищенням якості життя населення (</w:t>
      </w:r>
      <w:r w:rsidRPr="00F7290F">
        <w:rPr>
          <w:color w:val="000000" w:themeColor="text1"/>
          <w:szCs w:val="28"/>
          <w:lang w:val="uk-UA"/>
        </w:rPr>
        <w:t xml:space="preserve">хід реформування системи охорони здоров’я міст Макіївка, </w:t>
      </w:r>
      <w:r w:rsidRPr="00F7290F">
        <w:rPr>
          <w:color w:val="000000" w:themeColor="text1"/>
          <w:szCs w:val="28"/>
          <w:lang w:val="uk-UA" w:eastAsia="uk-UA"/>
        </w:rPr>
        <w:t>Маріуполь, Краматорськ, Дебальцеве і Харцизьк, с</w:t>
      </w:r>
      <w:r w:rsidRPr="00F7290F">
        <w:rPr>
          <w:color w:val="000000" w:themeColor="text1"/>
          <w:spacing w:val="-6"/>
          <w:szCs w:val="28"/>
          <w:lang w:val="uk-UA"/>
        </w:rPr>
        <w:t>анітарна очистка територій населених пунктів області</w:t>
      </w:r>
      <w:r w:rsidRPr="00F7290F">
        <w:rPr>
          <w:color w:val="000000" w:themeColor="text1"/>
          <w:szCs w:val="28"/>
          <w:lang w:val="uk-UA" w:eastAsia="uk-UA"/>
        </w:rPr>
        <w:t xml:space="preserve">); </w:t>
      </w:r>
    </w:p>
    <w:p w:rsidR="007E67E6" w:rsidRPr="00F7290F" w:rsidRDefault="007E67E6" w:rsidP="00D65D2E">
      <w:pPr>
        <w:keepNext/>
        <w:widowControl w:val="0"/>
        <w:numPr>
          <w:ilvl w:val="0"/>
          <w:numId w:val="7"/>
        </w:numPr>
        <w:tabs>
          <w:tab w:val="clear" w:pos="1920"/>
          <w:tab w:val="num" w:pos="720"/>
        </w:tabs>
        <w:spacing w:after="40"/>
        <w:ind w:left="720" w:hanging="540"/>
        <w:jc w:val="both"/>
        <w:rPr>
          <w:color w:val="000000" w:themeColor="text1"/>
          <w:szCs w:val="28"/>
          <w:lang w:val="uk-UA" w:eastAsia="uk-UA"/>
        </w:rPr>
      </w:pPr>
      <w:r w:rsidRPr="00F7290F">
        <w:rPr>
          <w:color w:val="000000" w:themeColor="text1"/>
          <w:szCs w:val="28"/>
          <w:lang w:val="uk-UA" w:eastAsia="uk-UA"/>
        </w:rPr>
        <w:t>реформуванням житлово-комунального господарства (стан ліфтового господарства Донецької області. П</w:t>
      </w:r>
      <w:r w:rsidRPr="00F7290F">
        <w:rPr>
          <w:color w:val="000000" w:themeColor="text1"/>
          <w:szCs w:val="28"/>
          <w:lang w:val="uk-UA"/>
        </w:rPr>
        <w:t>рограма капітального ремонту та модернізації ліфтового парку Донецької області на 2012 – 2015 рік</w:t>
      </w:r>
      <w:r w:rsidRPr="00F7290F">
        <w:rPr>
          <w:color w:val="000000" w:themeColor="text1"/>
          <w:szCs w:val="28"/>
          <w:lang w:val="uk-UA" w:eastAsia="uk-UA"/>
        </w:rPr>
        <w:t xml:space="preserve"> ),</w:t>
      </w:r>
    </w:p>
    <w:p w:rsidR="007E67E6" w:rsidRPr="00F7290F" w:rsidRDefault="007E67E6" w:rsidP="00D65D2E">
      <w:pPr>
        <w:keepNext/>
        <w:widowControl w:val="0"/>
        <w:numPr>
          <w:ilvl w:val="0"/>
          <w:numId w:val="7"/>
        </w:numPr>
        <w:tabs>
          <w:tab w:val="clear" w:pos="1920"/>
          <w:tab w:val="num" w:pos="720"/>
        </w:tabs>
        <w:spacing w:after="40"/>
        <w:ind w:left="720" w:hanging="540"/>
        <w:jc w:val="both"/>
        <w:rPr>
          <w:color w:val="000000" w:themeColor="text1"/>
          <w:szCs w:val="28"/>
          <w:lang w:val="uk-UA" w:eastAsia="uk-UA"/>
        </w:rPr>
      </w:pPr>
      <w:r w:rsidRPr="00F7290F">
        <w:rPr>
          <w:color w:val="000000" w:themeColor="text1"/>
          <w:szCs w:val="28"/>
          <w:lang w:val="uk-UA" w:eastAsia="uk-UA"/>
        </w:rPr>
        <w:t xml:space="preserve">розвитком </w:t>
      </w:r>
      <w:r w:rsidRPr="00F7290F">
        <w:rPr>
          <w:color w:val="000000" w:themeColor="text1"/>
          <w:szCs w:val="28"/>
          <w:lang w:val="uk-UA"/>
        </w:rPr>
        <w:t>малого бізнесу (створення обласного бізнес-інкубатору як елемента інфраструктури підтримки  та розвитку підприємництва у Донецькій області</w:t>
      </w:r>
      <w:r w:rsidRPr="00F7290F">
        <w:rPr>
          <w:color w:val="000000" w:themeColor="text1"/>
          <w:szCs w:val="28"/>
          <w:lang w:val="uk-UA" w:eastAsia="uk-UA"/>
        </w:rPr>
        <w:t xml:space="preserve">). </w:t>
      </w:r>
    </w:p>
    <w:p w:rsidR="001F5241" w:rsidRPr="00F7290F" w:rsidRDefault="001F5241" w:rsidP="00D65D2E">
      <w:pPr>
        <w:keepNext/>
        <w:widowControl w:val="0"/>
        <w:spacing w:after="120"/>
        <w:ind w:firstLine="709"/>
        <w:jc w:val="both"/>
        <w:rPr>
          <w:color w:val="FF0000"/>
          <w:szCs w:val="28"/>
          <w:lang w:val="uk-UA" w:eastAsia="uk-UA"/>
        </w:rPr>
      </w:pPr>
    </w:p>
    <w:p w:rsidR="001F5241" w:rsidRPr="00F7290F" w:rsidRDefault="001F5241" w:rsidP="00D65D2E">
      <w:pPr>
        <w:keepNext/>
        <w:widowControl w:val="0"/>
        <w:rPr>
          <w:b/>
          <w:color w:val="FF0000"/>
          <w:sz w:val="28"/>
          <w:szCs w:val="28"/>
          <w:lang w:val="uk-UA"/>
        </w:rPr>
      </w:pPr>
    </w:p>
    <w:p w:rsidR="001F5241" w:rsidRPr="00F7290F" w:rsidRDefault="001F5241" w:rsidP="00D65D2E">
      <w:pPr>
        <w:keepNext/>
        <w:widowControl w:val="0"/>
        <w:spacing w:after="200" w:line="288" w:lineRule="auto"/>
        <w:rPr>
          <w:b/>
          <w:color w:val="FF0000"/>
          <w:sz w:val="2"/>
          <w:szCs w:val="2"/>
          <w:lang w:val="uk-UA"/>
        </w:rPr>
      </w:pPr>
    </w:p>
    <w:p w:rsidR="003C53BC" w:rsidRPr="00F7290F" w:rsidRDefault="003C53BC" w:rsidP="00D65D2E">
      <w:pPr>
        <w:keepNext/>
        <w:widowControl w:val="0"/>
        <w:rPr>
          <w:color w:val="FF0000"/>
          <w:lang w:val="uk-UA"/>
        </w:rPr>
      </w:pPr>
    </w:p>
    <w:p w:rsidR="00141942" w:rsidRPr="00F7290F" w:rsidRDefault="00141942" w:rsidP="00D65D2E">
      <w:pPr>
        <w:keepNext/>
        <w:widowControl w:val="0"/>
        <w:tabs>
          <w:tab w:val="left" w:pos="959"/>
        </w:tabs>
        <w:spacing w:after="120"/>
        <w:ind w:left="108"/>
        <w:jc w:val="center"/>
        <w:rPr>
          <w:b/>
          <w:color w:val="FF0000"/>
          <w:sz w:val="28"/>
          <w:szCs w:val="28"/>
          <w:lang w:val="uk-UA"/>
        </w:rPr>
        <w:sectPr w:rsidR="00141942" w:rsidRPr="00F7290F" w:rsidSect="0003324A">
          <w:headerReference w:type="default" r:id="rId97"/>
          <w:pgSz w:w="11906" w:h="16838"/>
          <w:pgMar w:top="1134" w:right="567" w:bottom="1134" w:left="1418" w:header="709" w:footer="709" w:gutter="0"/>
          <w:cols w:space="708"/>
          <w:docGrid w:linePitch="360"/>
        </w:sectPr>
      </w:pPr>
    </w:p>
    <w:p w:rsidR="001F31C2" w:rsidRPr="00F7290F" w:rsidRDefault="00D024AC" w:rsidP="00D65D2E">
      <w:pPr>
        <w:keepNext/>
        <w:widowControl w:val="0"/>
        <w:tabs>
          <w:tab w:val="left" w:pos="959"/>
        </w:tabs>
        <w:spacing w:after="120"/>
        <w:ind w:left="108"/>
        <w:jc w:val="center"/>
        <w:rPr>
          <w:b/>
          <w:color w:val="000000" w:themeColor="text1"/>
          <w:sz w:val="28"/>
          <w:szCs w:val="28"/>
          <w:lang w:val="uk-UA"/>
        </w:rPr>
      </w:pPr>
      <w:r w:rsidRPr="00F7290F">
        <w:rPr>
          <w:b/>
          <w:color w:val="000000" w:themeColor="text1"/>
          <w:sz w:val="28"/>
          <w:szCs w:val="28"/>
          <w:lang w:val="uk-UA"/>
        </w:rPr>
        <w:lastRenderedPageBreak/>
        <w:t xml:space="preserve">2. </w:t>
      </w:r>
      <w:r w:rsidR="001F31C2" w:rsidRPr="00F7290F">
        <w:rPr>
          <w:b/>
          <w:color w:val="000000" w:themeColor="text1"/>
          <w:sz w:val="28"/>
          <w:szCs w:val="28"/>
          <w:lang w:val="uk-UA"/>
        </w:rPr>
        <w:t>Головна мета та пріоритетні напрями розвитку на 2013 рік</w:t>
      </w:r>
    </w:p>
    <w:p w:rsidR="001F31C2" w:rsidRPr="00F7290F" w:rsidRDefault="001F31C2" w:rsidP="00D65D2E">
      <w:pPr>
        <w:pStyle w:val="ab"/>
        <w:keepNext/>
        <w:widowControl w:val="0"/>
        <w:spacing w:after="120"/>
        <w:ind w:left="0" w:firstLine="709"/>
        <w:jc w:val="both"/>
        <w:rPr>
          <w:color w:val="000000" w:themeColor="text1"/>
          <w:lang w:val="uk-UA" w:eastAsia="uk-UA"/>
        </w:rPr>
      </w:pPr>
      <w:r w:rsidRPr="00F7290F">
        <w:rPr>
          <w:b/>
          <w:color w:val="000000" w:themeColor="text1"/>
          <w:lang w:val="uk-UA" w:eastAsia="uk-UA"/>
        </w:rPr>
        <w:t>Головною метою Програми</w:t>
      </w:r>
      <w:r w:rsidRPr="00F7290F">
        <w:rPr>
          <w:color w:val="000000" w:themeColor="text1"/>
          <w:lang w:val="uk-UA" w:eastAsia="uk-UA"/>
        </w:rPr>
        <w:t xml:space="preserve"> визначено зростання добробуту та підвищення рівня </w:t>
      </w:r>
      <w:r w:rsidRPr="00F7290F">
        <w:rPr>
          <w:color w:val="000000" w:themeColor="text1"/>
          <w:lang w:val="uk-UA"/>
        </w:rPr>
        <w:t>жит</w:t>
      </w:r>
      <w:r w:rsidRPr="00F7290F">
        <w:rPr>
          <w:color w:val="000000" w:themeColor="text1"/>
          <w:lang w:val="uk-UA"/>
        </w:rPr>
        <w:softHyphen/>
        <w:t xml:space="preserve">тя населення за рахунок створення умов щодо сталого економічного, інвестиційного </w:t>
      </w:r>
      <w:r w:rsidR="00CD4824" w:rsidRPr="00F7290F">
        <w:rPr>
          <w:color w:val="000000" w:themeColor="text1"/>
          <w:lang w:val="uk-UA"/>
        </w:rPr>
        <w:t xml:space="preserve">розвитку регіону </w:t>
      </w:r>
      <w:r w:rsidR="00CD4824">
        <w:rPr>
          <w:color w:val="000000" w:themeColor="text1"/>
          <w:lang w:val="uk-UA"/>
        </w:rPr>
        <w:t>та</w:t>
      </w:r>
      <w:r w:rsidRPr="00F7290F">
        <w:rPr>
          <w:color w:val="000000" w:themeColor="text1"/>
          <w:lang w:val="uk-UA"/>
        </w:rPr>
        <w:t xml:space="preserve"> </w:t>
      </w:r>
      <w:r w:rsidR="00CD4824" w:rsidRPr="00F7290F">
        <w:rPr>
          <w:color w:val="000000" w:themeColor="text1"/>
          <w:lang w:val="uk-UA"/>
        </w:rPr>
        <w:t xml:space="preserve">розвитку </w:t>
      </w:r>
      <w:r w:rsidRPr="00F7290F">
        <w:rPr>
          <w:color w:val="000000" w:themeColor="text1"/>
          <w:lang w:val="uk-UA"/>
        </w:rPr>
        <w:t>підприємницько</w:t>
      </w:r>
      <w:r w:rsidR="00CD4824">
        <w:rPr>
          <w:color w:val="000000" w:themeColor="text1"/>
          <w:lang w:val="uk-UA"/>
        </w:rPr>
        <w:t>ї діяльності</w:t>
      </w:r>
      <w:r w:rsidRPr="00F7290F">
        <w:rPr>
          <w:color w:val="000000" w:themeColor="text1"/>
          <w:lang w:val="uk-UA" w:eastAsia="uk-UA"/>
        </w:rPr>
        <w:t>.</w:t>
      </w:r>
    </w:p>
    <w:p w:rsidR="001F31C2" w:rsidRPr="00F7290F" w:rsidRDefault="001F31C2" w:rsidP="00D65D2E">
      <w:pPr>
        <w:keepNext/>
        <w:widowControl w:val="0"/>
        <w:spacing w:after="120"/>
        <w:ind w:firstLine="709"/>
        <w:jc w:val="both"/>
        <w:rPr>
          <w:color w:val="000000" w:themeColor="text1"/>
          <w:spacing w:val="-2"/>
          <w:lang w:val="uk-UA"/>
        </w:rPr>
      </w:pPr>
      <w:r w:rsidRPr="00F7290F">
        <w:rPr>
          <w:b/>
          <w:color w:val="000000" w:themeColor="text1"/>
          <w:spacing w:val="-2"/>
          <w:lang w:val="uk-UA"/>
        </w:rPr>
        <w:t>Головними пріоритетами</w:t>
      </w:r>
      <w:r w:rsidRPr="00F7290F">
        <w:rPr>
          <w:color w:val="000000" w:themeColor="text1"/>
          <w:spacing w:val="-2"/>
          <w:lang w:val="uk-UA"/>
        </w:rPr>
        <w:t xml:space="preserve"> в роботі облдержадміністрації, місцевих органів виконавчої влади щодо подальшого соціально-економічного розвитку області на 2013 рік визначені:</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створення середовища, комфорт</w:t>
      </w:r>
      <w:r w:rsidRPr="00F7290F">
        <w:rPr>
          <w:bCs/>
          <w:color w:val="000000" w:themeColor="text1"/>
          <w:lang w:val="uk-UA"/>
        </w:rPr>
        <w:softHyphen/>
        <w:t>ного для проживання населення;</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підвищення доступності і якості послуг з освіти та охорони здоров’я;</w:t>
      </w:r>
    </w:p>
    <w:p w:rsidR="001F31C2" w:rsidRPr="00F7290F" w:rsidRDefault="001F31C2"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підвищення рівня конкурентоспроможності реального сектору економіки та територій регіону;</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подальший розвиток малого бізнесу;</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 xml:space="preserve">підтримка </w:t>
      </w:r>
      <w:r w:rsidR="00314EB5" w:rsidRPr="00F7290F">
        <w:rPr>
          <w:bCs/>
          <w:color w:val="000000" w:themeColor="text1"/>
          <w:lang w:val="uk-UA"/>
        </w:rPr>
        <w:t>вітчизняного</w:t>
      </w:r>
      <w:r w:rsidRPr="00F7290F">
        <w:rPr>
          <w:bCs/>
          <w:color w:val="000000" w:themeColor="text1"/>
          <w:lang w:val="uk-UA"/>
        </w:rPr>
        <w:t xml:space="preserve"> товаровиробника;</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створення умов для активізації інноваційно-інвестиційної діяльності;</w:t>
      </w:r>
    </w:p>
    <w:p w:rsidR="001F31C2" w:rsidRPr="00F7290F" w:rsidRDefault="001F31C2" w:rsidP="00D65D2E">
      <w:pPr>
        <w:pStyle w:val="af9"/>
        <w:keepNext/>
        <w:widowControl w:val="0"/>
        <w:numPr>
          <w:ilvl w:val="0"/>
          <w:numId w:val="2"/>
        </w:numPr>
        <w:ind w:left="0" w:firstLine="357"/>
        <w:jc w:val="both"/>
        <w:rPr>
          <w:color w:val="000000" w:themeColor="text1"/>
          <w:lang w:val="uk-UA"/>
        </w:rPr>
      </w:pPr>
      <w:r w:rsidRPr="00F7290F">
        <w:rPr>
          <w:bCs/>
          <w:color w:val="000000" w:themeColor="text1"/>
          <w:lang w:val="uk-UA"/>
        </w:rPr>
        <w:t>забезпечення соціального партнер</w:t>
      </w:r>
      <w:r w:rsidRPr="00F7290F">
        <w:rPr>
          <w:bCs/>
          <w:color w:val="000000" w:themeColor="text1"/>
          <w:lang w:val="uk-UA"/>
        </w:rPr>
        <w:softHyphen/>
        <w:t>ст</w:t>
      </w:r>
      <w:r w:rsidRPr="00F7290F">
        <w:rPr>
          <w:bCs/>
          <w:color w:val="000000" w:themeColor="text1"/>
          <w:lang w:val="uk-UA"/>
        </w:rPr>
        <w:softHyphen/>
        <w:t>ва та відповідальності влади, проф</w:t>
      </w:r>
      <w:r w:rsidRPr="00F7290F">
        <w:rPr>
          <w:bCs/>
          <w:color w:val="000000" w:themeColor="text1"/>
          <w:lang w:val="uk-UA"/>
        </w:rPr>
        <w:softHyphen/>
        <w:t>спілок, роботодавців у вирішенні соціально-економічних проблем регіону.</w:t>
      </w:r>
    </w:p>
    <w:p w:rsidR="003343A3" w:rsidRPr="000B6A58" w:rsidRDefault="003343A3" w:rsidP="00D65D2E">
      <w:pPr>
        <w:keepNext/>
        <w:widowControl w:val="0"/>
        <w:tabs>
          <w:tab w:val="left" w:pos="959"/>
          <w:tab w:val="left" w:pos="2694"/>
        </w:tabs>
        <w:spacing w:before="120" w:after="120"/>
        <w:jc w:val="center"/>
        <w:rPr>
          <w:b/>
          <w:color w:val="000000" w:themeColor="text1"/>
          <w:sz w:val="28"/>
          <w:szCs w:val="28"/>
          <w:lang w:val="uk-UA"/>
        </w:rPr>
      </w:pPr>
      <w:r w:rsidRPr="000B6A58">
        <w:rPr>
          <w:b/>
          <w:color w:val="000000" w:themeColor="text1"/>
          <w:sz w:val="28"/>
          <w:szCs w:val="28"/>
          <w:lang w:val="uk-UA"/>
        </w:rPr>
        <w:t>3.</w:t>
      </w:r>
      <w:r w:rsidR="00827BEA" w:rsidRPr="000B6A58">
        <w:rPr>
          <w:b/>
          <w:color w:val="000000" w:themeColor="text1"/>
          <w:sz w:val="28"/>
          <w:szCs w:val="28"/>
          <w:lang w:val="uk-UA"/>
        </w:rPr>
        <w:t xml:space="preserve"> </w:t>
      </w:r>
      <w:r w:rsidRPr="000B6A58">
        <w:rPr>
          <w:b/>
          <w:bCs/>
          <w:color w:val="000000" w:themeColor="text1"/>
          <w:sz w:val="28"/>
          <w:szCs w:val="28"/>
          <w:lang w:val="uk-UA" w:eastAsia="en-US"/>
        </w:rPr>
        <w:t>Розвиток людського потенціалу</w:t>
      </w:r>
    </w:p>
    <w:p w:rsidR="003343A3" w:rsidRPr="00F7290F" w:rsidRDefault="003343A3" w:rsidP="00D65D2E">
      <w:pPr>
        <w:keepNext/>
        <w:widowControl w:val="0"/>
        <w:tabs>
          <w:tab w:val="left" w:pos="959"/>
          <w:tab w:val="left" w:pos="2977"/>
        </w:tabs>
        <w:spacing w:after="120"/>
        <w:jc w:val="center"/>
        <w:rPr>
          <w:rStyle w:val="af4"/>
          <w:b/>
          <w:color w:val="000000" w:themeColor="text1"/>
          <w:u w:val="none"/>
          <w:lang w:val="uk-UA"/>
        </w:rPr>
      </w:pPr>
      <w:r w:rsidRPr="00F7290F">
        <w:rPr>
          <w:b/>
          <w:color w:val="000000" w:themeColor="text1"/>
          <w:lang w:val="uk-UA"/>
        </w:rPr>
        <w:t>3.1.</w:t>
      </w:r>
      <w:r w:rsidR="00827BEA" w:rsidRPr="00F7290F">
        <w:rPr>
          <w:b/>
          <w:color w:val="000000" w:themeColor="text1"/>
          <w:lang w:val="uk-UA"/>
        </w:rPr>
        <w:t xml:space="preserve"> </w:t>
      </w:r>
      <w:r w:rsidRPr="00F7290F">
        <w:rPr>
          <w:rStyle w:val="af4"/>
          <w:b/>
          <w:color w:val="000000" w:themeColor="text1"/>
          <w:u w:val="none"/>
          <w:lang w:val="uk-UA"/>
        </w:rPr>
        <w:t>Демографічно-ресурсний розвиток</w:t>
      </w:r>
    </w:p>
    <w:p w:rsidR="004765FF" w:rsidRPr="00F7290F" w:rsidRDefault="004765FF"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color w:val="000000" w:themeColor="text1"/>
          <w:lang w:val="uk-UA"/>
        </w:rPr>
      </w:pPr>
      <w:r w:rsidRPr="00F7290F">
        <w:rPr>
          <w:color w:val="000000" w:themeColor="text1"/>
          <w:lang w:val="uk-UA"/>
        </w:rPr>
        <w:t xml:space="preserve">Демографічна  ситуація  в  регіоні  залишається </w:t>
      </w:r>
      <w:r w:rsidR="00191923" w:rsidRPr="00F7290F">
        <w:rPr>
          <w:color w:val="000000" w:themeColor="text1"/>
          <w:lang w:val="uk-UA"/>
        </w:rPr>
        <w:t>складною</w:t>
      </w:r>
      <w:r w:rsidRPr="00F7290F">
        <w:rPr>
          <w:color w:val="000000" w:themeColor="text1"/>
          <w:lang w:val="uk-UA"/>
        </w:rPr>
        <w:t xml:space="preserve">. </w:t>
      </w:r>
    </w:p>
    <w:p w:rsidR="009117D4" w:rsidRPr="00F7290F" w:rsidRDefault="009117D4"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color w:val="000000" w:themeColor="text1"/>
          <w:lang w:val="uk-UA"/>
        </w:rPr>
      </w:pPr>
      <w:r w:rsidRPr="00F7290F">
        <w:rPr>
          <w:color w:val="000000" w:themeColor="text1"/>
          <w:lang w:val="uk-UA"/>
        </w:rPr>
        <w:t xml:space="preserve">Внаслідок перевищення </w:t>
      </w:r>
      <w:r w:rsidR="00C85638" w:rsidRPr="00F7290F">
        <w:rPr>
          <w:color w:val="000000" w:themeColor="text1"/>
          <w:lang w:val="uk-UA"/>
        </w:rPr>
        <w:t>кількості померлих над кількістю народжених</w:t>
      </w:r>
      <w:r w:rsidR="00191923" w:rsidRPr="00F7290F">
        <w:rPr>
          <w:color w:val="000000" w:themeColor="text1"/>
          <w:lang w:val="uk-UA"/>
        </w:rPr>
        <w:t>,</w:t>
      </w:r>
      <w:r w:rsidRPr="00F7290F">
        <w:rPr>
          <w:color w:val="000000" w:themeColor="text1"/>
          <w:lang w:val="uk-UA"/>
        </w:rPr>
        <w:t xml:space="preserve"> природний приріст населення в області має від’ємний показник, але у порівнянні з 200</w:t>
      </w:r>
      <w:r w:rsidR="00D7351D" w:rsidRPr="00F7290F">
        <w:rPr>
          <w:color w:val="000000" w:themeColor="text1"/>
          <w:lang w:val="uk-UA"/>
        </w:rPr>
        <w:t>3</w:t>
      </w:r>
      <w:r w:rsidRPr="00F7290F">
        <w:rPr>
          <w:color w:val="000000" w:themeColor="text1"/>
          <w:lang w:val="uk-UA"/>
        </w:rPr>
        <w:t xml:space="preserve"> роком спостерігається тенденція до покращення ситуації.</w:t>
      </w:r>
    </w:p>
    <w:p w:rsidR="00191923" w:rsidRPr="00F7290F" w:rsidRDefault="00191923"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000000" w:themeColor="text1"/>
          <w:lang w:val="uk-UA"/>
        </w:rPr>
      </w:pPr>
      <w:r w:rsidRPr="00F7290F">
        <w:rPr>
          <w:b/>
          <w:color w:val="000000" w:themeColor="text1"/>
          <w:lang w:val="uk-UA"/>
        </w:rPr>
        <w:t>Показники природного руху населення</w:t>
      </w:r>
    </w:p>
    <w:p w:rsidR="00191923" w:rsidRPr="00F7290F" w:rsidRDefault="00191923"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center"/>
        <w:rPr>
          <w:color w:val="000000" w:themeColor="text1"/>
          <w:lang w:val="uk-UA"/>
        </w:rPr>
      </w:pPr>
      <w:r w:rsidRPr="00F7290F">
        <w:rPr>
          <w:b/>
          <w:color w:val="000000" w:themeColor="text1"/>
          <w:lang w:val="uk-UA"/>
        </w:rPr>
        <w:t xml:space="preserve"> </w:t>
      </w:r>
      <w:r w:rsidRPr="00F7290F">
        <w:rPr>
          <w:color w:val="000000" w:themeColor="text1"/>
          <w:lang w:val="uk-UA"/>
        </w:rPr>
        <w:t>(кількість народжених і померлих на 1000 населення)</w:t>
      </w:r>
    </w:p>
    <w:p w:rsidR="00105071" w:rsidRPr="00F7290F" w:rsidRDefault="00105071" w:rsidP="00D65D2E">
      <w:pPr>
        <w:keepNext/>
        <w:widowControl w:val="0"/>
        <w:ind w:firstLine="720"/>
        <w:rPr>
          <w:b/>
          <w:color w:val="FF0000"/>
          <w:lang w:val="uk-UA"/>
        </w:rPr>
      </w:pPr>
      <w:r w:rsidRPr="00F7290F">
        <w:rPr>
          <w:b/>
          <w:noProof/>
          <w:color w:val="FF0000"/>
        </w:rPr>
        <w:drawing>
          <wp:inline distT="0" distB="0" distL="0" distR="0">
            <wp:extent cx="5486400" cy="1669311"/>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75AD0" w:rsidRPr="00F7290F" w:rsidRDefault="00675AD0" w:rsidP="00675AD0">
      <w:pPr>
        <w:keepNext/>
        <w:widowControl w:val="0"/>
        <w:ind w:firstLine="720"/>
        <w:rPr>
          <w:b/>
          <w:color w:val="000000"/>
          <w:lang w:val="uk-UA"/>
        </w:rPr>
      </w:pPr>
      <w:r w:rsidRPr="00F7290F">
        <w:rPr>
          <w:b/>
          <w:color w:val="000000"/>
          <w:lang w:val="uk-UA"/>
        </w:rPr>
        <w:t xml:space="preserve">Актуальні проблеми: </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низький рівень народжуваності:</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погіршення шлюбно-сімейної ситуації;</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 xml:space="preserve">підвищення вірогідності смертності чоловіків у працездатному віці; </w:t>
      </w:r>
    </w:p>
    <w:p w:rsidR="00675AD0" w:rsidRPr="00F7290F" w:rsidRDefault="00675AD0" w:rsidP="00675AD0">
      <w:pPr>
        <w:pStyle w:val="af9"/>
        <w:keepNext/>
        <w:widowControl w:val="0"/>
        <w:numPr>
          <w:ilvl w:val="0"/>
          <w:numId w:val="2"/>
        </w:numPr>
        <w:spacing w:after="0"/>
        <w:ind w:left="0" w:firstLine="357"/>
        <w:jc w:val="both"/>
        <w:rPr>
          <w:bCs/>
          <w:color w:val="000000"/>
          <w:spacing w:val="-6"/>
          <w:lang w:val="uk-UA"/>
        </w:rPr>
      </w:pPr>
      <w:r w:rsidRPr="00F7290F">
        <w:rPr>
          <w:bCs/>
          <w:color w:val="000000"/>
          <w:spacing w:val="-6"/>
          <w:lang w:val="uk-UA"/>
        </w:rPr>
        <w:t xml:space="preserve">висока  порівняно  з  розвинутими  державами смертність немовлят і дітей віком до  5 років;  </w:t>
      </w:r>
    </w:p>
    <w:p w:rsidR="00675AD0" w:rsidRPr="00F7290F" w:rsidRDefault="00675AD0" w:rsidP="00675AD0">
      <w:pPr>
        <w:pStyle w:val="af9"/>
        <w:keepNext/>
        <w:widowControl w:val="0"/>
        <w:numPr>
          <w:ilvl w:val="0"/>
          <w:numId w:val="2"/>
        </w:numPr>
        <w:ind w:left="0" w:firstLine="357"/>
        <w:jc w:val="both"/>
        <w:rPr>
          <w:color w:val="000000"/>
          <w:lang w:val="uk-UA"/>
        </w:rPr>
      </w:pPr>
      <w:r w:rsidRPr="00F7290F">
        <w:rPr>
          <w:bCs/>
          <w:color w:val="000000"/>
          <w:lang w:val="uk-UA"/>
        </w:rPr>
        <w:t>міграційний відплив молоді</w:t>
      </w:r>
      <w:r w:rsidRPr="00F7290F">
        <w:rPr>
          <w:color w:val="000000"/>
          <w:lang w:val="uk-UA"/>
        </w:rPr>
        <w:t>.</w:t>
      </w:r>
    </w:p>
    <w:p w:rsidR="00675AD0" w:rsidRPr="00F7290F" w:rsidRDefault="00675AD0" w:rsidP="00675AD0">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b/>
          <w:color w:val="000000"/>
          <w:lang w:val="uk-UA"/>
        </w:rPr>
      </w:pPr>
      <w:bookmarkStart w:id="0" w:name="o15"/>
      <w:bookmarkEnd w:id="0"/>
      <w:r w:rsidRPr="00F7290F">
        <w:rPr>
          <w:b/>
          <w:color w:val="000000"/>
          <w:lang w:val="uk-UA"/>
        </w:rPr>
        <w:t>Головна мета</w:t>
      </w:r>
      <w:r w:rsidRPr="00F7290F">
        <w:rPr>
          <w:color w:val="000000"/>
          <w:lang w:val="uk-UA"/>
        </w:rPr>
        <w:t xml:space="preserve"> – поліпшення  рівня життя  населення,  сприяння  відновленню  в суспільстві сімейних цінностей, забезпечення морального здоров'я сім'ї,  виховання свідомого  батьківства  та  запобігання соціальному сирітству.</w:t>
      </w:r>
    </w:p>
    <w:p w:rsidR="00CD4824" w:rsidRDefault="00CD4824" w:rsidP="00675AD0">
      <w:pPr>
        <w:pStyle w:val="23"/>
        <w:keepNext/>
        <w:widowControl w:val="0"/>
        <w:spacing w:after="0"/>
        <w:ind w:left="644" w:firstLine="0"/>
        <w:rPr>
          <w:b/>
          <w:color w:val="000000"/>
          <w:szCs w:val="26"/>
        </w:rPr>
      </w:pPr>
    </w:p>
    <w:p w:rsidR="00675AD0" w:rsidRPr="00F7290F" w:rsidRDefault="00675AD0" w:rsidP="00675AD0">
      <w:pPr>
        <w:pStyle w:val="23"/>
        <w:keepNext/>
        <w:widowControl w:val="0"/>
        <w:spacing w:after="0"/>
        <w:ind w:left="644" w:firstLine="0"/>
        <w:rPr>
          <w:b/>
          <w:color w:val="000000"/>
        </w:rPr>
      </w:pPr>
      <w:r w:rsidRPr="00F7290F">
        <w:rPr>
          <w:b/>
          <w:color w:val="000000"/>
          <w:szCs w:val="26"/>
        </w:rPr>
        <w:lastRenderedPageBreak/>
        <w:t>Основні напрямки та завдання розвитку:</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поліпшення здоров’я, зниження рівня смертності та збільшення тривалості життя;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 xml:space="preserve">формування сприятливого  соціально-психологічного  клімату  у суспільстві  щодо утворення  сім'ї  та  позитивної  налаштованості громадян на сімейні цінності; </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забезпечення державних соціальних стандартів та державних соціальних гарантій для населення;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подолання негативних наслідків старіння населення;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запровадження нових форм та методів статевого виховання дітей та молоді, формування у них навичок здорового способу життя; реалізація заходів спрямованих на пропаганду здорового способу життя;</w:t>
      </w:r>
    </w:p>
    <w:p w:rsidR="00675AD0" w:rsidRPr="00F7290F" w:rsidRDefault="00675AD0" w:rsidP="00675AD0">
      <w:pPr>
        <w:pStyle w:val="af9"/>
        <w:keepNext/>
        <w:widowControl w:val="0"/>
        <w:numPr>
          <w:ilvl w:val="0"/>
          <w:numId w:val="2"/>
        </w:numPr>
        <w:ind w:left="0" w:firstLine="357"/>
        <w:jc w:val="both"/>
        <w:rPr>
          <w:bCs/>
          <w:color w:val="000000"/>
          <w:lang w:val="uk-UA"/>
        </w:rPr>
      </w:pPr>
      <w:r w:rsidRPr="00F7290F">
        <w:rPr>
          <w:bCs/>
          <w:color w:val="000000"/>
          <w:lang w:val="uk-UA"/>
        </w:rPr>
        <w:t>створення безпечних умов праці, зниження рівня виробничого травматизму та професійних захворювань.</w:t>
      </w:r>
    </w:p>
    <w:p w:rsidR="00675AD0" w:rsidRPr="00F7290F" w:rsidRDefault="00675AD0" w:rsidP="00675AD0">
      <w:pPr>
        <w:pStyle w:val="25"/>
        <w:keepNext/>
        <w:widowControl w:val="0"/>
        <w:spacing w:after="0" w:line="240" w:lineRule="auto"/>
        <w:ind w:firstLine="709"/>
        <w:jc w:val="both"/>
        <w:rPr>
          <w:b/>
          <w:lang w:val="uk-UA"/>
        </w:rPr>
      </w:pPr>
      <w:r w:rsidRPr="00F7290F">
        <w:rPr>
          <w:b/>
          <w:lang w:val="uk-UA"/>
        </w:rPr>
        <w:t>Критерії ефективності:</w:t>
      </w:r>
    </w:p>
    <w:p w:rsidR="00675AD0" w:rsidRPr="00F7290F" w:rsidRDefault="00675AD0" w:rsidP="00675AD0">
      <w:pPr>
        <w:keepNext/>
        <w:widowControl w:val="0"/>
        <w:spacing w:after="120"/>
        <w:ind w:firstLine="709"/>
        <w:jc w:val="both"/>
        <w:rPr>
          <w:lang w:val="uk-UA"/>
        </w:rPr>
      </w:pPr>
      <w:r w:rsidRPr="00F7290F">
        <w:rPr>
          <w:lang w:val="uk-UA"/>
        </w:rPr>
        <w:t>Досягнення позитивних зрушень у демографічній ситуації. Середньорічна чисельність наявного населення становитиме 4370,0 тис. осіб.</w:t>
      </w:r>
    </w:p>
    <w:p w:rsidR="00675AD0" w:rsidRPr="00F7290F" w:rsidRDefault="00675AD0" w:rsidP="00675AD0">
      <w:pPr>
        <w:keepNext/>
        <w:widowControl w:val="0"/>
        <w:tabs>
          <w:tab w:val="left" w:pos="959"/>
        </w:tabs>
        <w:spacing w:before="120" w:after="120"/>
        <w:ind w:left="108"/>
        <w:jc w:val="center"/>
        <w:rPr>
          <w:rStyle w:val="af4"/>
          <w:b/>
          <w:color w:val="000000"/>
          <w:u w:val="none"/>
          <w:lang w:val="uk-UA"/>
        </w:rPr>
      </w:pPr>
      <w:r w:rsidRPr="00F7290F">
        <w:rPr>
          <w:b/>
          <w:color w:val="000000"/>
          <w:lang w:val="uk-UA"/>
        </w:rPr>
        <w:t xml:space="preserve">3.2. </w:t>
      </w:r>
      <w:hyperlink r:id="rId99" w:anchor="_Toc130175726" w:history="1">
        <w:r w:rsidRPr="00F7290F">
          <w:rPr>
            <w:rStyle w:val="af4"/>
            <w:b/>
            <w:color w:val="000000"/>
            <w:u w:val="none"/>
            <w:lang w:val="uk-UA"/>
          </w:rPr>
          <w:t xml:space="preserve">Зайнятість населення </w:t>
        </w:r>
      </w:hyperlink>
      <w:r w:rsidRPr="00F7290F">
        <w:rPr>
          <w:rStyle w:val="af4"/>
          <w:b/>
          <w:color w:val="000000"/>
          <w:u w:val="none"/>
          <w:lang w:val="uk-UA"/>
        </w:rPr>
        <w:t xml:space="preserve"> та ринок праці</w:t>
      </w:r>
    </w:p>
    <w:p w:rsidR="00675AD0" w:rsidRPr="00F7290F" w:rsidRDefault="00675AD0" w:rsidP="00675AD0">
      <w:pPr>
        <w:keepNext/>
        <w:widowControl w:val="0"/>
        <w:ind w:firstLine="709"/>
        <w:jc w:val="both"/>
        <w:rPr>
          <w:b/>
          <w:color w:val="000000"/>
          <w:lang w:val="uk-UA"/>
        </w:rPr>
      </w:pPr>
      <w:r w:rsidRPr="00F7290F">
        <w:rPr>
          <w:b/>
          <w:color w:val="000000"/>
          <w:lang w:val="uk-UA"/>
        </w:rPr>
        <w:t>Актуальні проблеми:</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наявність неформальних трудових відносин;</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працевлаштування громадян, які потребують соціального захисту;</w:t>
      </w:r>
    </w:p>
    <w:p w:rsidR="00675AD0" w:rsidRPr="00F7290F" w:rsidRDefault="00675AD0" w:rsidP="00675AD0">
      <w:pPr>
        <w:pStyle w:val="af9"/>
        <w:keepNext/>
        <w:widowControl w:val="0"/>
        <w:numPr>
          <w:ilvl w:val="0"/>
          <w:numId w:val="2"/>
        </w:numPr>
        <w:ind w:left="0" w:firstLine="357"/>
        <w:jc w:val="both"/>
        <w:rPr>
          <w:bCs/>
          <w:color w:val="000000"/>
          <w:lang w:val="uk-UA"/>
        </w:rPr>
      </w:pPr>
      <w:r w:rsidRPr="00F7290F">
        <w:rPr>
          <w:bCs/>
          <w:color w:val="000000"/>
          <w:lang w:val="uk-UA"/>
        </w:rPr>
        <w:t>дисбаланс попиту та пропозиції робочої сили.</w:t>
      </w:r>
    </w:p>
    <w:p w:rsidR="00675AD0" w:rsidRPr="00F7290F" w:rsidRDefault="00675AD0" w:rsidP="00675AD0">
      <w:pPr>
        <w:pStyle w:val="23"/>
        <w:keepNext/>
        <w:widowControl w:val="0"/>
        <w:tabs>
          <w:tab w:val="num" w:pos="1083"/>
        </w:tabs>
        <w:ind w:firstLine="709"/>
        <w:rPr>
          <w:color w:val="000000"/>
        </w:rPr>
      </w:pPr>
      <w:r w:rsidRPr="00F7290F">
        <w:rPr>
          <w:b/>
          <w:color w:val="000000"/>
        </w:rPr>
        <w:t xml:space="preserve">Головна мета - </w:t>
      </w:r>
      <w:r w:rsidRPr="00F7290F">
        <w:rPr>
          <w:color w:val="000000"/>
        </w:rPr>
        <w:t xml:space="preserve"> сприяння ефективній зайнятості населення, закріплення позитивних тенденцій до стабілізації на ринку праці, забезпечення соціального захисту громадян в умовах безробіття.</w:t>
      </w:r>
    </w:p>
    <w:p w:rsidR="00675AD0" w:rsidRPr="00F7290F" w:rsidRDefault="00675AD0" w:rsidP="00675AD0">
      <w:pPr>
        <w:pStyle w:val="23"/>
        <w:keepNext/>
        <w:widowControl w:val="0"/>
        <w:tabs>
          <w:tab w:val="num" w:pos="1083"/>
        </w:tabs>
        <w:spacing w:after="0"/>
        <w:ind w:firstLine="709"/>
        <w:rPr>
          <w:b/>
          <w:color w:val="000000"/>
        </w:rPr>
      </w:pPr>
      <w:r w:rsidRPr="00F7290F">
        <w:rPr>
          <w:b/>
          <w:color w:val="000000"/>
          <w:szCs w:val="26"/>
        </w:rPr>
        <w:t>Основні напрямки та завдання розвитку:</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консолідація зусиль усіх сторін соціального діалогу, спрямованих на регулювання процесів, які відбуватимуться на регіональному ринку праці;</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зменшення дисбалансу попиту та пропозиції робочої сили шляхом професійної орієнтації, підготовки та перепідготовки незайнятого населення;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підвищення якості надання соціальних послуг у сфері сприяння зайнятості населення;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 xml:space="preserve">підвищення якості робочої сили шляхом професійного навчання та підвищення кваліфікації; </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створення нових  робочих місць з гідними умовами праці;</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раціоналізація структури зайнятості на базі поліпшення якості робочої сили, розвитку її професійної мобільності, удосконалення політики оплати праці;</w:t>
      </w:r>
    </w:p>
    <w:p w:rsidR="00675AD0" w:rsidRPr="00F7290F" w:rsidRDefault="00675AD0" w:rsidP="00675AD0">
      <w:pPr>
        <w:pStyle w:val="af9"/>
        <w:keepNext/>
        <w:widowControl w:val="0"/>
        <w:numPr>
          <w:ilvl w:val="0"/>
          <w:numId w:val="2"/>
        </w:numPr>
        <w:ind w:left="0" w:firstLine="357"/>
        <w:jc w:val="both"/>
        <w:rPr>
          <w:color w:val="000000"/>
          <w:lang w:val="uk-UA"/>
        </w:rPr>
      </w:pPr>
      <w:r w:rsidRPr="00F7290F">
        <w:rPr>
          <w:bCs/>
          <w:color w:val="000000"/>
          <w:lang w:val="uk-UA"/>
        </w:rPr>
        <w:t>сприяння легалізації праці, виявлення фактів неформальних трудових відносин і забезпечення відповідного оформлення стосунків з найманими працівниками</w:t>
      </w:r>
      <w:r w:rsidRPr="00F7290F">
        <w:rPr>
          <w:color w:val="000000"/>
          <w:lang w:val="uk-UA"/>
        </w:rPr>
        <w:t>.</w:t>
      </w:r>
    </w:p>
    <w:p w:rsidR="00675AD0" w:rsidRPr="00F7290F" w:rsidRDefault="00675AD0" w:rsidP="00675AD0">
      <w:pPr>
        <w:pStyle w:val="25"/>
        <w:keepNext/>
        <w:widowControl w:val="0"/>
        <w:spacing w:line="240" w:lineRule="auto"/>
        <w:ind w:firstLine="709"/>
        <w:jc w:val="both"/>
        <w:rPr>
          <w:color w:val="000000"/>
          <w:lang w:val="uk-UA"/>
        </w:rPr>
      </w:pPr>
      <w:r w:rsidRPr="00F7290F">
        <w:rPr>
          <w:color w:val="000000"/>
          <w:lang w:val="uk-UA"/>
        </w:rPr>
        <w:t>Пріоритетами в діяльності щодо надання соціальних гарантій незайнятим громадянам будуть повернення безробітних до активної трудової діяльності та забезпечення їх соціального захисту шляхом проведення профорієнтаційної роботи серед населення, в тому числі молоді, яка навчається, забезпечення професійного навчання та підвищення кваліфікації, надання дотації роботодавцю для працевлаштування молоді на перше робоче місце, організації громадських робіт, працевлаштування безробітних завдяки наданню дотацій роботодавцям, виплати матеріального забезпечення безробітним у повному обсязі, стимулювання створення нових робочих місць, особливо в депресивних регіонах шляхом активної підтримки підприємницької ініціативи незайнятих громадян, проведення ярмарків вакантних посад, раціоналізація структури зайнятості на базі поліпшення якості робочої сили, розвитку її професійної мобільності та створення сучасних, високотехнологічних робочих місць відповідно до завдань модернізації економіки області.</w:t>
      </w:r>
    </w:p>
    <w:p w:rsidR="00675AD0" w:rsidRPr="00F7290F" w:rsidRDefault="00675AD0" w:rsidP="00675AD0">
      <w:pPr>
        <w:keepNext/>
        <w:widowControl w:val="0"/>
        <w:tabs>
          <w:tab w:val="left" w:pos="399"/>
          <w:tab w:val="left" w:pos="851"/>
          <w:tab w:val="left" w:pos="9639"/>
        </w:tabs>
        <w:spacing w:before="120"/>
        <w:ind w:firstLine="709"/>
        <w:jc w:val="both"/>
        <w:rPr>
          <w:b/>
          <w:lang w:val="uk-UA"/>
        </w:rPr>
      </w:pPr>
      <w:r w:rsidRPr="00F7290F">
        <w:rPr>
          <w:b/>
          <w:bCs/>
          <w:noProof/>
          <w:lang w:val="uk-UA"/>
        </w:rPr>
        <w:lastRenderedPageBreak/>
        <w:t>Критерії досягнення:</w:t>
      </w:r>
      <w:r w:rsidRPr="00F7290F">
        <w:rPr>
          <w:lang w:val="uk-UA"/>
        </w:rPr>
        <w:t xml:space="preserve"> </w:t>
      </w:r>
    </w:p>
    <w:p w:rsidR="00675AD0" w:rsidRPr="00F7290F" w:rsidRDefault="00675AD0" w:rsidP="00675AD0">
      <w:pPr>
        <w:pStyle w:val="af9"/>
        <w:keepNext/>
        <w:widowControl w:val="0"/>
        <w:numPr>
          <w:ilvl w:val="0"/>
          <w:numId w:val="2"/>
        </w:numPr>
        <w:spacing w:after="60"/>
        <w:ind w:left="0" w:firstLine="357"/>
        <w:jc w:val="both"/>
        <w:rPr>
          <w:bCs/>
          <w:lang w:val="uk-UA"/>
        </w:rPr>
      </w:pPr>
      <w:r w:rsidRPr="00F7290F">
        <w:rPr>
          <w:bCs/>
          <w:lang w:val="uk-UA"/>
        </w:rPr>
        <w:t>створення нових робочих місць не менш як для 72,3 тис. громадян;</w:t>
      </w:r>
    </w:p>
    <w:p w:rsidR="00675AD0" w:rsidRPr="00F7290F" w:rsidRDefault="00675AD0" w:rsidP="00675AD0">
      <w:pPr>
        <w:pStyle w:val="af9"/>
        <w:keepNext/>
        <w:widowControl w:val="0"/>
        <w:numPr>
          <w:ilvl w:val="0"/>
          <w:numId w:val="2"/>
        </w:numPr>
        <w:spacing w:after="60"/>
        <w:ind w:left="0" w:firstLine="357"/>
        <w:jc w:val="both"/>
        <w:rPr>
          <w:bCs/>
          <w:lang w:val="uk-UA"/>
        </w:rPr>
      </w:pPr>
      <w:r w:rsidRPr="00F7290F">
        <w:rPr>
          <w:bCs/>
          <w:lang w:val="uk-UA"/>
        </w:rPr>
        <w:t>зниження рівня безробіття населення у віці 15-70 років (за методологією Міжнародної організації праці) до 7,8%;</w:t>
      </w:r>
    </w:p>
    <w:p w:rsidR="00675AD0" w:rsidRPr="00F7290F" w:rsidRDefault="00675AD0" w:rsidP="00675AD0">
      <w:pPr>
        <w:pStyle w:val="af9"/>
        <w:keepNext/>
        <w:widowControl w:val="0"/>
        <w:numPr>
          <w:ilvl w:val="0"/>
          <w:numId w:val="2"/>
        </w:numPr>
        <w:spacing w:after="60"/>
        <w:ind w:left="0" w:firstLine="357"/>
        <w:jc w:val="both"/>
        <w:rPr>
          <w:bCs/>
          <w:lang w:val="uk-UA"/>
        </w:rPr>
      </w:pPr>
      <w:r w:rsidRPr="00F7290F">
        <w:rPr>
          <w:bCs/>
          <w:lang w:val="uk-UA"/>
        </w:rPr>
        <w:t>працевлаштування за сприянням державної служби зайнятості не менше 58,7 тис. незайнятих громадян;</w:t>
      </w:r>
    </w:p>
    <w:p w:rsidR="00675AD0" w:rsidRPr="00F7290F" w:rsidRDefault="00675AD0" w:rsidP="00675AD0">
      <w:pPr>
        <w:pStyle w:val="af9"/>
        <w:keepNext/>
        <w:widowControl w:val="0"/>
        <w:numPr>
          <w:ilvl w:val="0"/>
          <w:numId w:val="2"/>
        </w:numPr>
        <w:spacing w:after="60"/>
        <w:ind w:left="0" w:firstLine="357"/>
        <w:jc w:val="both"/>
        <w:rPr>
          <w:bCs/>
          <w:lang w:val="uk-UA"/>
        </w:rPr>
      </w:pPr>
      <w:r w:rsidRPr="00F7290F">
        <w:rPr>
          <w:bCs/>
          <w:lang w:val="uk-UA"/>
        </w:rPr>
        <w:t>забезпечення тимчасовою зайнятістю шляхом залучення до участі в оплачуваних громадських роботах 29,0 тис. незайнятих громадян;</w:t>
      </w:r>
    </w:p>
    <w:p w:rsidR="00675AD0" w:rsidRPr="00F7290F" w:rsidRDefault="00675AD0" w:rsidP="00675AD0">
      <w:pPr>
        <w:pStyle w:val="af9"/>
        <w:keepNext/>
        <w:widowControl w:val="0"/>
        <w:numPr>
          <w:ilvl w:val="0"/>
          <w:numId w:val="2"/>
        </w:numPr>
        <w:ind w:left="0" w:firstLine="357"/>
        <w:jc w:val="both"/>
        <w:rPr>
          <w:bCs/>
          <w:lang w:val="uk-UA"/>
        </w:rPr>
      </w:pPr>
      <w:r w:rsidRPr="00F7290F">
        <w:rPr>
          <w:bCs/>
          <w:lang w:val="uk-UA"/>
        </w:rPr>
        <w:t>охоплення професійною підготовкою, перепідготовкою та підвищенням кваліфікації                  17,0 тис. безробітних.</w:t>
      </w:r>
    </w:p>
    <w:p w:rsidR="00675AD0" w:rsidRPr="00F7290F" w:rsidRDefault="00675AD0" w:rsidP="00675AD0">
      <w:pPr>
        <w:pStyle w:val="ab"/>
        <w:keepNext/>
        <w:widowControl w:val="0"/>
        <w:ind w:left="0" w:firstLine="709"/>
        <w:jc w:val="both"/>
        <w:rPr>
          <w:color w:val="000000"/>
          <w:lang w:val="uk-UA"/>
        </w:rPr>
      </w:pPr>
      <w:r w:rsidRPr="00F7290F">
        <w:rPr>
          <w:b/>
          <w:color w:val="000000"/>
          <w:lang w:val="uk-UA"/>
        </w:rPr>
        <w:t xml:space="preserve">Ресурсне забезпечення </w:t>
      </w:r>
      <w:r w:rsidRPr="00F7290F">
        <w:rPr>
          <w:color w:val="000000"/>
          <w:lang w:val="uk-UA"/>
        </w:rPr>
        <w:t xml:space="preserve">заходів здійснюватиметься за рахунок коштів Фонду загальнообов’язкового державного соціального страхування України на випадок безробіття, коштів підприємств. </w:t>
      </w:r>
    </w:p>
    <w:p w:rsidR="00675AD0" w:rsidRPr="00F7290F" w:rsidRDefault="00675AD0" w:rsidP="00675AD0">
      <w:pPr>
        <w:keepNext/>
        <w:widowControl w:val="0"/>
        <w:tabs>
          <w:tab w:val="left" w:pos="959"/>
        </w:tabs>
        <w:spacing w:after="120"/>
        <w:ind w:left="108"/>
        <w:jc w:val="center"/>
        <w:rPr>
          <w:b/>
          <w:color w:val="000000"/>
          <w:lang w:val="uk-UA"/>
        </w:rPr>
      </w:pPr>
      <w:r w:rsidRPr="00F7290F">
        <w:rPr>
          <w:b/>
          <w:color w:val="000000"/>
          <w:lang w:val="uk-UA"/>
        </w:rPr>
        <w:t xml:space="preserve">3.3. </w:t>
      </w:r>
      <w:hyperlink r:id="rId100" w:anchor="_Toc130175725" w:history="1">
        <w:r w:rsidRPr="00F7290F">
          <w:rPr>
            <w:rStyle w:val="af4"/>
            <w:b/>
            <w:color w:val="000000"/>
            <w:u w:val="none"/>
            <w:lang w:val="uk-UA"/>
          </w:rPr>
          <w:t>Доходи населення та заробітна плата</w:t>
        </w:r>
      </w:hyperlink>
    </w:p>
    <w:p w:rsidR="00675AD0" w:rsidRPr="00F7290F" w:rsidRDefault="00675AD0" w:rsidP="00675AD0">
      <w:pPr>
        <w:keepNext/>
        <w:widowControl w:val="0"/>
        <w:ind w:firstLine="720"/>
        <w:rPr>
          <w:b/>
          <w:color w:val="000000"/>
          <w:lang w:val="uk-UA"/>
        </w:rPr>
      </w:pPr>
      <w:r w:rsidRPr="00F7290F">
        <w:rPr>
          <w:b/>
          <w:color w:val="000000"/>
          <w:lang w:val="uk-UA"/>
        </w:rPr>
        <w:t>Актуальні проблеми:</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заборгованість з виплати заробітної плати;</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наявність випадків незареєстрованих трудових відносин;</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відсутність законодавчих норм щодо впливу на тіньові трудові відносини, заробітну плату (доходи);</w:t>
      </w:r>
    </w:p>
    <w:p w:rsidR="00675AD0" w:rsidRPr="00F7290F" w:rsidRDefault="00675AD0" w:rsidP="00675AD0">
      <w:pPr>
        <w:pStyle w:val="af9"/>
        <w:keepNext/>
        <w:widowControl w:val="0"/>
        <w:numPr>
          <w:ilvl w:val="0"/>
          <w:numId w:val="2"/>
        </w:numPr>
        <w:ind w:left="0" w:firstLine="357"/>
        <w:jc w:val="both"/>
        <w:rPr>
          <w:bCs/>
          <w:color w:val="000000"/>
          <w:lang w:val="uk-UA"/>
        </w:rPr>
      </w:pPr>
      <w:r w:rsidRPr="00F7290F">
        <w:rPr>
          <w:bCs/>
          <w:color w:val="000000"/>
          <w:lang w:val="uk-UA"/>
        </w:rPr>
        <w:t>неефективність спонукально-стимулюючого механізму в податковому та пенсійному законодавстві щодо легалізації доходів.</w:t>
      </w:r>
    </w:p>
    <w:p w:rsidR="00675AD0" w:rsidRPr="00F7290F" w:rsidRDefault="00675AD0" w:rsidP="00675AD0">
      <w:pPr>
        <w:pStyle w:val="23"/>
        <w:keepNext/>
        <w:widowControl w:val="0"/>
        <w:tabs>
          <w:tab w:val="num" w:pos="1083"/>
        </w:tabs>
        <w:spacing w:after="60"/>
        <w:ind w:firstLine="709"/>
        <w:rPr>
          <w:color w:val="000000"/>
          <w:szCs w:val="26"/>
        </w:rPr>
      </w:pPr>
      <w:r w:rsidRPr="00F7290F">
        <w:rPr>
          <w:b/>
          <w:color w:val="000000"/>
        </w:rPr>
        <w:t xml:space="preserve">Головна мета - </w:t>
      </w:r>
      <w:r w:rsidRPr="00F7290F">
        <w:rPr>
          <w:color w:val="000000"/>
        </w:rPr>
        <w:t xml:space="preserve"> забезпечення зростання доходів населення, в тому числі підвищення рівня заробітної плати, </w:t>
      </w:r>
      <w:r w:rsidRPr="00F7290F">
        <w:rPr>
          <w:color w:val="000000"/>
          <w:szCs w:val="26"/>
        </w:rPr>
        <w:t>зменшення їх диференціації, погашення заборгованості з виплати заробітної плати.</w:t>
      </w:r>
    </w:p>
    <w:p w:rsidR="00675AD0" w:rsidRPr="00F7290F" w:rsidRDefault="00675AD0" w:rsidP="00675AD0">
      <w:pPr>
        <w:pStyle w:val="23"/>
        <w:keepNext/>
        <w:widowControl w:val="0"/>
        <w:tabs>
          <w:tab w:val="num" w:pos="1083"/>
        </w:tabs>
        <w:spacing w:after="0"/>
        <w:ind w:firstLine="709"/>
        <w:rPr>
          <w:b/>
          <w:color w:val="000000"/>
          <w:szCs w:val="26"/>
        </w:rPr>
      </w:pPr>
      <w:r w:rsidRPr="00F7290F">
        <w:rPr>
          <w:b/>
          <w:color w:val="000000"/>
          <w:szCs w:val="26"/>
        </w:rPr>
        <w:t>Ризики:</w:t>
      </w:r>
    </w:p>
    <w:p w:rsidR="00675AD0" w:rsidRPr="00F7290F" w:rsidRDefault="00675AD0" w:rsidP="00675AD0">
      <w:pPr>
        <w:pStyle w:val="23"/>
        <w:keepNext/>
        <w:widowControl w:val="0"/>
        <w:tabs>
          <w:tab w:val="num" w:pos="1083"/>
        </w:tabs>
        <w:spacing w:after="60"/>
        <w:ind w:firstLine="709"/>
        <w:rPr>
          <w:color w:val="000000"/>
          <w:szCs w:val="26"/>
        </w:rPr>
      </w:pPr>
      <w:r w:rsidRPr="00F7290F">
        <w:rPr>
          <w:color w:val="000000"/>
          <w:szCs w:val="26"/>
        </w:rPr>
        <w:t>Зростання цін на споживчі товари і послуги, які мають характер обов’язкових платежів (житлово-комунальні, транспортні, зв’язку тощо).</w:t>
      </w:r>
    </w:p>
    <w:p w:rsidR="00675AD0" w:rsidRPr="00F7290F" w:rsidRDefault="00675AD0" w:rsidP="00675AD0">
      <w:pPr>
        <w:pStyle w:val="23"/>
        <w:keepNext/>
        <w:widowControl w:val="0"/>
        <w:tabs>
          <w:tab w:val="num" w:pos="1083"/>
        </w:tabs>
        <w:spacing w:after="0"/>
        <w:ind w:firstLine="709"/>
        <w:rPr>
          <w:b/>
          <w:color w:val="000000"/>
        </w:rPr>
      </w:pPr>
      <w:r w:rsidRPr="00F7290F">
        <w:rPr>
          <w:b/>
          <w:color w:val="000000"/>
          <w:szCs w:val="26"/>
        </w:rPr>
        <w:t>Основні напрямки та завдання розвитку:</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 xml:space="preserve">запровадження нових державних мінімальних гарантій в оплаті праці; </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забезпечення підвищення середньої заробітної плати в бюджетній сфері;</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 xml:space="preserve">здійснення контролю за додержанням законодавства про оплату праці; </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дотримання умов колективних договорів у частині оплати праці, недопущення необґрунтованого зменшення заробітної плати;</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сприяння детінізації заробітної плати шляхом легалізації незареєстрованих виплат заробітної плати, легалізації зайнятості;</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погашення заборгованості з виплати заробітної плати за рахунок посилення ефективності роботи обласної та місцевих комісій з питань погашення заборгованості із заробітної плати, забезпечення податкових та інших бюджетних надходжень, страхових внесків до Пенсійного фонду та запобігання неплатоспроможності;</w:t>
      </w:r>
    </w:p>
    <w:p w:rsidR="00675AD0" w:rsidRPr="00F7290F" w:rsidRDefault="00675AD0" w:rsidP="00675AD0">
      <w:pPr>
        <w:pStyle w:val="af9"/>
        <w:keepNext/>
        <w:widowControl w:val="0"/>
        <w:numPr>
          <w:ilvl w:val="0"/>
          <w:numId w:val="2"/>
        </w:numPr>
        <w:ind w:left="0" w:firstLine="357"/>
        <w:jc w:val="both"/>
        <w:rPr>
          <w:bCs/>
          <w:color w:val="000000"/>
          <w:lang w:val="uk-UA"/>
        </w:rPr>
      </w:pPr>
      <w:r w:rsidRPr="00F7290F">
        <w:rPr>
          <w:bCs/>
          <w:color w:val="000000"/>
          <w:lang w:val="uk-UA"/>
        </w:rPr>
        <w:t>поліпшення соціально-трудових відносин та запобігання виникненню колективних трудових спорів (конфліктів), їх прогнозування та сприяння своєчасному їх вирішенню.</w:t>
      </w: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1D5BBB" w:rsidRPr="00F7290F" w:rsidRDefault="001D5BBB" w:rsidP="00D65D2E">
      <w:pPr>
        <w:pStyle w:val="23"/>
        <w:keepNext/>
        <w:widowControl w:val="0"/>
        <w:spacing w:after="0"/>
        <w:ind w:firstLine="709"/>
        <w:jc w:val="center"/>
        <w:rPr>
          <w:b/>
          <w:color w:val="000000" w:themeColor="text1"/>
        </w:rPr>
      </w:pPr>
      <w:r w:rsidRPr="00F7290F">
        <w:rPr>
          <w:b/>
          <w:color w:val="000000" w:themeColor="text1"/>
        </w:rPr>
        <w:t xml:space="preserve">Динаміка прожиткового мінімуму і наявних </w:t>
      </w:r>
    </w:p>
    <w:p w:rsidR="001D5BBB" w:rsidRPr="00F7290F" w:rsidRDefault="001D5BBB" w:rsidP="00D65D2E">
      <w:pPr>
        <w:pStyle w:val="23"/>
        <w:keepNext/>
        <w:widowControl w:val="0"/>
        <w:spacing w:after="0"/>
        <w:ind w:firstLine="709"/>
        <w:jc w:val="center"/>
        <w:rPr>
          <w:color w:val="000000" w:themeColor="text1"/>
        </w:rPr>
      </w:pPr>
      <w:r w:rsidRPr="00F7290F">
        <w:rPr>
          <w:b/>
          <w:color w:val="000000" w:themeColor="text1"/>
        </w:rPr>
        <w:t>доходів населення, грн. (на 1 особу на міс.)</w:t>
      </w:r>
    </w:p>
    <w:p w:rsidR="001D5BBB" w:rsidRPr="00F7290F" w:rsidRDefault="001D5BBB" w:rsidP="00D65D2E">
      <w:pPr>
        <w:pStyle w:val="23"/>
        <w:keepNext/>
        <w:widowControl w:val="0"/>
        <w:tabs>
          <w:tab w:val="num" w:pos="1083"/>
        </w:tabs>
        <w:spacing w:after="60"/>
        <w:ind w:firstLine="709"/>
        <w:jc w:val="center"/>
        <w:rPr>
          <w:i/>
          <w:color w:val="FF0000"/>
        </w:rPr>
      </w:pPr>
      <w:r w:rsidRPr="00F7290F">
        <w:rPr>
          <w:noProof/>
          <w:color w:val="FF0000"/>
          <w:lang w:val="ru-RU"/>
        </w:rPr>
        <w:drawing>
          <wp:inline distT="0" distB="0" distL="0" distR="0">
            <wp:extent cx="5816009" cy="1488558"/>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E3030" w:rsidRPr="00F7290F" w:rsidRDefault="00AE3030" w:rsidP="00D65D2E">
      <w:pPr>
        <w:keepNext/>
        <w:widowControl w:val="0"/>
        <w:tabs>
          <w:tab w:val="left" w:pos="399"/>
          <w:tab w:val="left" w:pos="851"/>
          <w:tab w:val="left" w:pos="9639"/>
        </w:tabs>
        <w:ind w:firstLine="709"/>
        <w:jc w:val="both"/>
        <w:rPr>
          <w:color w:val="000000" w:themeColor="text1"/>
          <w:lang w:val="uk-UA"/>
        </w:rPr>
      </w:pPr>
      <w:r w:rsidRPr="00F7290F">
        <w:rPr>
          <w:b/>
          <w:bCs/>
          <w:noProof/>
          <w:color w:val="000000" w:themeColor="text1"/>
          <w:lang w:val="uk-UA"/>
        </w:rPr>
        <w:t>Критерії досягнення:</w:t>
      </w:r>
      <w:r w:rsidRPr="00F7290F">
        <w:rPr>
          <w:color w:val="000000" w:themeColor="text1"/>
          <w:lang w:val="uk-UA"/>
        </w:rPr>
        <w:t xml:space="preserve"> </w:t>
      </w:r>
    </w:p>
    <w:p w:rsidR="001D5BBB" w:rsidRPr="00F7290F" w:rsidRDefault="001D5BBB" w:rsidP="00D65D2E">
      <w:pPr>
        <w:pStyle w:val="23"/>
        <w:keepNext/>
        <w:widowControl w:val="0"/>
        <w:tabs>
          <w:tab w:val="num" w:pos="1083"/>
        </w:tabs>
        <w:spacing w:after="60"/>
        <w:ind w:firstLine="709"/>
        <w:rPr>
          <w:color w:val="000000" w:themeColor="text1"/>
        </w:rPr>
      </w:pPr>
      <w:r w:rsidRPr="00F7290F">
        <w:rPr>
          <w:color w:val="000000" w:themeColor="text1"/>
        </w:rPr>
        <w:t>Наявні доходи населення області становитимуть 126,6 млрд. грн. У розрахунку на душу населення наявні доходи складуть 2410 грн./міс., що в 2,</w:t>
      </w:r>
      <w:r w:rsidR="008513B8" w:rsidRPr="00F7290F">
        <w:rPr>
          <w:color w:val="000000" w:themeColor="text1"/>
        </w:rPr>
        <w:t>2</w:t>
      </w:r>
      <w:r w:rsidRPr="00F7290F">
        <w:rPr>
          <w:color w:val="000000" w:themeColor="text1"/>
        </w:rPr>
        <w:t xml:space="preserve"> рази вище середньозваженого рівня прожиткового мінімуму по Україні </w:t>
      </w:r>
      <w:r w:rsidR="008513B8" w:rsidRPr="00F7290F">
        <w:rPr>
          <w:color w:val="000000" w:themeColor="text1"/>
        </w:rPr>
        <w:t xml:space="preserve"> відповідно до Закону України «Про Державний бюджет України на 2013 рік» </w:t>
      </w:r>
      <w:r w:rsidRPr="00F7290F">
        <w:rPr>
          <w:color w:val="000000" w:themeColor="text1"/>
        </w:rPr>
        <w:t>(11</w:t>
      </w:r>
      <w:r w:rsidR="008513B8" w:rsidRPr="00F7290F">
        <w:rPr>
          <w:color w:val="000000" w:themeColor="text1"/>
        </w:rPr>
        <w:t>13,7</w:t>
      </w:r>
      <w:r w:rsidRPr="00F7290F">
        <w:rPr>
          <w:color w:val="000000" w:themeColor="text1"/>
        </w:rPr>
        <w:t xml:space="preserve"> грн.). </w:t>
      </w:r>
    </w:p>
    <w:p w:rsidR="00615E09" w:rsidRPr="00F7290F" w:rsidRDefault="00615E09" w:rsidP="00615E09">
      <w:pPr>
        <w:pStyle w:val="23"/>
        <w:keepNext/>
        <w:widowControl w:val="0"/>
        <w:tabs>
          <w:tab w:val="num" w:pos="1083"/>
        </w:tabs>
        <w:spacing w:after="60"/>
        <w:ind w:firstLine="709"/>
      </w:pPr>
      <w:r w:rsidRPr="00F7290F">
        <w:t xml:space="preserve">Середньомісячна заробітна плата у розрахунку на одного штатного працівника зросте на 7,3% і складе 3750 грн., фонд оплати праці -  на 3,9% і складе  50,9 млрд.грн. </w:t>
      </w:r>
    </w:p>
    <w:p w:rsidR="003C53BC" w:rsidRPr="00F7290F" w:rsidRDefault="003C53BC" w:rsidP="00D65D2E">
      <w:pPr>
        <w:keepNext/>
        <w:widowControl w:val="0"/>
        <w:rPr>
          <w:color w:val="FF0000"/>
          <w:lang w:val="uk-UA"/>
        </w:rPr>
      </w:pPr>
    </w:p>
    <w:p w:rsidR="00A17BFF" w:rsidRPr="00F7290F" w:rsidRDefault="00A17BFF" w:rsidP="00D65D2E">
      <w:pPr>
        <w:keepNext/>
        <w:widowControl w:val="0"/>
        <w:tabs>
          <w:tab w:val="left" w:pos="959"/>
        </w:tabs>
        <w:spacing w:after="120"/>
        <w:ind w:left="108"/>
        <w:jc w:val="center"/>
        <w:rPr>
          <w:rStyle w:val="af4"/>
          <w:b/>
          <w:color w:val="000000" w:themeColor="text1"/>
          <w:u w:val="none"/>
          <w:lang w:val="uk-UA"/>
        </w:rPr>
      </w:pPr>
      <w:r w:rsidRPr="00F7290F">
        <w:rPr>
          <w:b/>
          <w:color w:val="000000" w:themeColor="text1"/>
          <w:lang w:val="uk-UA"/>
        </w:rPr>
        <w:t>3.</w:t>
      </w:r>
      <w:r w:rsidR="006B6FA2" w:rsidRPr="00F7290F">
        <w:rPr>
          <w:b/>
          <w:color w:val="000000" w:themeColor="text1"/>
          <w:lang w:val="uk-UA"/>
        </w:rPr>
        <w:t>4</w:t>
      </w:r>
      <w:r w:rsidRPr="00F7290F">
        <w:rPr>
          <w:b/>
          <w:color w:val="000000" w:themeColor="text1"/>
          <w:lang w:val="uk-UA"/>
        </w:rPr>
        <w:t>.</w:t>
      </w:r>
      <w:r w:rsidRPr="00F7290F">
        <w:rPr>
          <w:b/>
          <w:color w:val="000000" w:themeColor="text1"/>
          <w:lang w:val="uk-UA"/>
        </w:rPr>
        <w:tab/>
      </w:r>
      <w:r w:rsidRPr="00F7290F">
        <w:rPr>
          <w:rStyle w:val="af4"/>
          <w:b/>
          <w:color w:val="000000" w:themeColor="text1"/>
          <w:u w:val="none"/>
          <w:lang w:val="uk-UA"/>
        </w:rPr>
        <w:t>Пенсійне забезпечення та соціальне страхування</w:t>
      </w:r>
    </w:p>
    <w:p w:rsidR="00A17BFF" w:rsidRPr="00F7290F" w:rsidRDefault="00A17BFF" w:rsidP="00D65D2E">
      <w:pPr>
        <w:keepNext/>
        <w:widowControl w:val="0"/>
        <w:ind w:firstLine="708"/>
        <w:jc w:val="both"/>
        <w:rPr>
          <w:b/>
          <w:color w:val="000000" w:themeColor="text1"/>
          <w:lang w:val="uk-UA"/>
        </w:rPr>
      </w:pPr>
      <w:r w:rsidRPr="00F7290F">
        <w:rPr>
          <w:b/>
          <w:color w:val="000000" w:themeColor="text1"/>
          <w:lang w:val="uk-UA"/>
        </w:rPr>
        <w:t>Актуальні проблеми:</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здійснення контролю за нарахуванням та сплатою збору на обов’язкове державне пенсійне страхування;</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наявність заборгованості перед бюджетом Пенсійного фонду України юридичних та фізичних осіб - підприємців, які працюють на спрощеній системі оподаткування;</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визначення інших джерел для наповнення бюджету Пенсійного фонду України;</w:t>
      </w:r>
    </w:p>
    <w:p w:rsidR="00A17BFF" w:rsidRPr="00F7290F" w:rsidRDefault="00A17BFF" w:rsidP="00D65D2E">
      <w:pPr>
        <w:pStyle w:val="af9"/>
        <w:keepNext/>
        <w:widowControl w:val="0"/>
        <w:numPr>
          <w:ilvl w:val="0"/>
          <w:numId w:val="2"/>
        </w:numPr>
        <w:ind w:left="0" w:firstLine="357"/>
        <w:jc w:val="both"/>
        <w:rPr>
          <w:color w:val="000000" w:themeColor="text1"/>
          <w:lang w:val="uk-UA"/>
        </w:rPr>
      </w:pPr>
      <w:r w:rsidRPr="00F7290F">
        <w:rPr>
          <w:bCs/>
          <w:color w:val="000000" w:themeColor="text1"/>
          <w:lang w:val="uk-UA"/>
        </w:rPr>
        <w:t>забезпечення</w:t>
      </w:r>
      <w:r w:rsidRPr="00F7290F">
        <w:rPr>
          <w:color w:val="000000" w:themeColor="text1"/>
          <w:lang w:val="uk-UA"/>
        </w:rPr>
        <w:t xml:space="preserve"> звільнення солідарної пенсійної системи від невластивих для неї видатків.</w:t>
      </w:r>
    </w:p>
    <w:p w:rsidR="00A17BFF" w:rsidRPr="00F7290F" w:rsidRDefault="00A17BFF" w:rsidP="00D65D2E">
      <w:pPr>
        <w:keepNext/>
        <w:widowControl w:val="0"/>
        <w:spacing w:before="120"/>
        <w:ind w:firstLine="709"/>
        <w:jc w:val="both"/>
        <w:rPr>
          <w:color w:val="000000" w:themeColor="text1"/>
          <w:lang w:val="uk-UA"/>
        </w:rPr>
      </w:pPr>
      <w:r w:rsidRPr="00F7290F">
        <w:rPr>
          <w:b/>
          <w:color w:val="000000" w:themeColor="text1"/>
          <w:lang w:val="uk-UA"/>
        </w:rPr>
        <w:t>Головна мета -</w:t>
      </w:r>
      <w:r w:rsidRPr="00F7290F">
        <w:rPr>
          <w:color w:val="000000" w:themeColor="text1"/>
          <w:lang w:val="uk-UA"/>
        </w:rPr>
        <w:t xml:space="preserve"> забезпечення фінансової збалансованості та стабільності пенсійної системи регіону, підвищення рівня пенсійного забезпечення. </w:t>
      </w:r>
    </w:p>
    <w:p w:rsidR="00A17BFF" w:rsidRPr="00F7290F" w:rsidRDefault="0003324A" w:rsidP="00D65D2E">
      <w:pPr>
        <w:pStyle w:val="23"/>
        <w:keepNext/>
        <w:widowControl w:val="0"/>
        <w:tabs>
          <w:tab w:val="num" w:pos="1083"/>
        </w:tabs>
        <w:spacing w:before="120" w:after="0"/>
        <w:ind w:firstLine="709"/>
        <w:rPr>
          <w:b/>
          <w:color w:val="000000" w:themeColor="text1"/>
        </w:rPr>
      </w:pPr>
      <w:r w:rsidRPr="00F7290F">
        <w:rPr>
          <w:b/>
          <w:color w:val="000000" w:themeColor="text1"/>
          <w:szCs w:val="26"/>
        </w:rPr>
        <w:t>Основні напрямки та завдання розвитку:</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 xml:space="preserve">продовження роботи щодо реформування пенсійної системи згідно Закону України </w:t>
      </w:r>
      <w:r w:rsidR="00A42FCE" w:rsidRPr="00F7290F">
        <w:rPr>
          <w:bCs/>
          <w:color w:val="000000" w:themeColor="text1"/>
          <w:lang w:val="uk-UA"/>
        </w:rPr>
        <w:t>«</w:t>
      </w:r>
      <w:r w:rsidRPr="00F7290F">
        <w:rPr>
          <w:bCs/>
          <w:color w:val="000000" w:themeColor="text1"/>
          <w:lang w:val="uk-UA"/>
        </w:rPr>
        <w:t>Про заходи щодо законодавчого забезпечення реформування пенсійної сис</w:t>
      </w:r>
      <w:r w:rsidR="00A42FCE" w:rsidRPr="00F7290F">
        <w:rPr>
          <w:bCs/>
          <w:color w:val="000000" w:themeColor="text1"/>
          <w:lang w:val="uk-UA"/>
        </w:rPr>
        <w:t>теми»</w:t>
      </w:r>
      <w:r w:rsidRPr="00F7290F">
        <w:rPr>
          <w:bCs/>
          <w:color w:val="000000" w:themeColor="text1"/>
          <w:lang w:val="uk-UA"/>
        </w:rPr>
        <w:t>;</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забезпечення в повному обсязі поточного надходження коштів до бюджету  Пенсійного фонду України та фінансування витрат на виплату пенсій і допомоги;</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 xml:space="preserve">визначення додаткових джерел для покриття потреби Пенсійного фонду </w:t>
      </w:r>
      <w:r w:rsidR="00A42FCE" w:rsidRPr="00F7290F">
        <w:rPr>
          <w:bCs/>
          <w:color w:val="000000" w:themeColor="text1"/>
          <w:lang w:val="uk-UA"/>
        </w:rPr>
        <w:t xml:space="preserve">України </w:t>
      </w:r>
      <w:r w:rsidRPr="00F7290F">
        <w:rPr>
          <w:bCs/>
          <w:color w:val="000000" w:themeColor="text1"/>
          <w:lang w:val="uk-UA"/>
        </w:rPr>
        <w:t>на фінансування виплат пенсій та грошової допомоги власними коштами та забезпечення додаткових надходжень;</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захист робітника підприємства-боржника від втрат робочого стажу шляхом  застосування всіх заходів впливу на підприємства, що мають борги перед бюджетом Пенсійного фонду</w:t>
      </w:r>
      <w:r w:rsidR="00A42FCE" w:rsidRPr="00F7290F">
        <w:rPr>
          <w:bCs/>
          <w:color w:val="000000" w:themeColor="text1"/>
          <w:lang w:val="uk-UA"/>
        </w:rPr>
        <w:t xml:space="preserve"> України</w:t>
      </w:r>
      <w:r w:rsidRPr="00F7290F">
        <w:rPr>
          <w:bCs/>
          <w:color w:val="000000" w:themeColor="text1"/>
          <w:lang w:val="uk-UA"/>
        </w:rPr>
        <w:t>, для їх  ліквідації та недопущення виникнення в подальшому;</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проведення інформаційно-роз‘яснювальної роботи щодо нарахування та сплати єдиного внеску на загальнообов’язкове державне соціальне страхування в засобах масової інформації, в приміщеннях Фондів</w:t>
      </w:r>
      <w:r w:rsidR="00A42FCE" w:rsidRPr="00F7290F">
        <w:rPr>
          <w:bCs/>
          <w:color w:val="000000" w:themeColor="text1"/>
          <w:lang w:val="uk-UA"/>
        </w:rPr>
        <w:t xml:space="preserve"> соціального страхування</w:t>
      </w:r>
      <w:r w:rsidRPr="00F7290F">
        <w:rPr>
          <w:bCs/>
          <w:color w:val="000000" w:themeColor="text1"/>
          <w:lang w:val="uk-UA"/>
        </w:rPr>
        <w:t xml:space="preserve">, на сайтах управлінь та інших місцях загального доступу; </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інформування населення про відомості, що містяться в базі персоніфікованого обліку;</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lastRenderedPageBreak/>
        <w:t>продовження роботи по залученню до добровільного страхування осіб, в тому числі тих, які працюють за кордоном;</w:t>
      </w:r>
    </w:p>
    <w:p w:rsidR="00A17BFF" w:rsidRPr="00F7290F" w:rsidRDefault="00A17BFF" w:rsidP="00D65D2E">
      <w:pPr>
        <w:pStyle w:val="af9"/>
        <w:keepNext/>
        <w:widowControl w:val="0"/>
        <w:numPr>
          <w:ilvl w:val="0"/>
          <w:numId w:val="2"/>
        </w:numPr>
        <w:ind w:left="0" w:firstLine="357"/>
        <w:jc w:val="both"/>
        <w:rPr>
          <w:color w:val="000000" w:themeColor="text1"/>
          <w:lang w:val="uk-UA"/>
        </w:rPr>
      </w:pPr>
      <w:r w:rsidRPr="00F7290F">
        <w:rPr>
          <w:bCs/>
          <w:color w:val="000000" w:themeColor="text1"/>
          <w:lang w:val="uk-UA"/>
        </w:rPr>
        <w:t>удосконалення методів спільної роботи органів Пенсійного фонду, Державної виконавчої служби, Державної податкової служби, територіальних органів Державного департаменту нагляду</w:t>
      </w:r>
      <w:r w:rsidRPr="00F7290F">
        <w:rPr>
          <w:color w:val="000000" w:themeColor="text1"/>
          <w:lang w:val="uk-UA"/>
        </w:rPr>
        <w:t xml:space="preserve"> за додержанням законодавства про працю, правоохоронних органів, органів місцевого самоврядування, профспілкових організацій з метою максимального погашення заборгованості до бюджету Пенсійного фонду</w:t>
      </w:r>
      <w:r w:rsidR="00A42FCE" w:rsidRPr="00F7290F">
        <w:rPr>
          <w:color w:val="000000" w:themeColor="text1"/>
          <w:lang w:val="uk-UA"/>
        </w:rPr>
        <w:t xml:space="preserve"> </w:t>
      </w:r>
      <w:r w:rsidR="00A42FCE" w:rsidRPr="00F7290F">
        <w:rPr>
          <w:bCs/>
          <w:color w:val="000000" w:themeColor="text1"/>
          <w:lang w:val="uk-UA"/>
        </w:rPr>
        <w:t>України</w:t>
      </w:r>
      <w:r w:rsidRPr="00F7290F">
        <w:rPr>
          <w:color w:val="000000" w:themeColor="text1"/>
          <w:lang w:val="uk-UA"/>
        </w:rPr>
        <w:t>.</w:t>
      </w:r>
    </w:p>
    <w:p w:rsidR="00A17BFF" w:rsidRPr="00F7290F" w:rsidRDefault="00A17BFF" w:rsidP="00D65D2E">
      <w:pPr>
        <w:keepNext/>
        <w:widowControl w:val="0"/>
        <w:spacing w:before="120"/>
        <w:ind w:firstLine="709"/>
        <w:jc w:val="both"/>
        <w:rPr>
          <w:b/>
          <w:color w:val="000000" w:themeColor="text1"/>
          <w:lang w:val="uk-UA"/>
        </w:rPr>
      </w:pPr>
      <w:r w:rsidRPr="00F7290F">
        <w:rPr>
          <w:b/>
          <w:color w:val="000000" w:themeColor="text1"/>
          <w:lang w:val="uk-UA"/>
        </w:rPr>
        <w:t>Критерії ефективності:</w:t>
      </w:r>
    </w:p>
    <w:p w:rsidR="00A17BFF" w:rsidRPr="00F7290F" w:rsidRDefault="00A17BFF" w:rsidP="00D65D2E">
      <w:pPr>
        <w:keepNext/>
        <w:widowControl w:val="0"/>
        <w:spacing w:after="120"/>
        <w:ind w:firstLine="709"/>
        <w:jc w:val="both"/>
        <w:rPr>
          <w:color w:val="000000" w:themeColor="text1"/>
          <w:lang w:val="uk-UA"/>
        </w:rPr>
      </w:pPr>
      <w:r w:rsidRPr="00F7290F">
        <w:rPr>
          <w:color w:val="000000" w:themeColor="text1"/>
          <w:lang w:val="uk-UA"/>
        </w:rPr>
        <w:t xml:space="preserve">Реалізація комплексу заходів забезпечить постійний контроль за </w:t>
      </w:r>
      <w:r w:rsidR="008301ED" w:rsidRPr="00F7290F">
        <w:rPr>
          <w:color w:val="000000" w:themeColor="text1"/>
          <w:lang w:val="uk-UA"/>
        </w:rPr>
        <w:t xml:space="preserve">дотриманням </w:t>
      </w:r>
      <w:r w:rsidRPr="00F7290F">
        <w:rPr>
          <w:color w:val="000000" w:themeColor="text1"/>
          <w:lang w:val="uk-UA"/>
        </w:rPr>
        <w:t>пенсійного законодавства та законодавства про оплату праці, цільовим використанням коштів Пенсійного фонду України; поліпшення платіжної дисципліни роботодавців; наближення розміру мінімальних соціальних виплат з окремих видів загальнообов’язкового державного соціального страхування до рівня прожиткового мінімуму. Отри</w:t>
      </w:r>
      <w:r w:rsidRPr="00F7290F">
        <w:rPr>
          <w:color w:val="000000" w:themeColor="text1"/>
          <w:lang w:val="uk-UA"/>
        </w:rPr>
        <w:softHyphen/>
        <w:t>ман</w:t>
      </w:r>
      <w:r w:rsidRPr="00F7290F">
        <w:rPr>
          <w:color w:val="000000" w:themeColor="text1"/>
          <w:lang w:val="uk-UA"/>
        </w:rPr>
        <w:softHyphen/>
        <w:t>ня на</w:t>
      </w:r>
      <w:r w:rsidRPr="00F7290F">
        <w:rPr>
          <w:color w:val="000000" w:themeColor="text1"/>
          <w:lang w:val="uk-UA"/>
        </w:rPr>
        <w:softHyphen/>
        <w:t>се</w:t>
      </w:r>
      <w:r w:rsidRPr="00F7290F">
        <w:rPr>
          <w:color w:val="000000" w:themeColor="text1"/>
          <w:lang w:val="uk-UA"/>
        </w:rPr>
        <w:softHyphen/>
        <w:t>лен</w:t>
      </w:r>
      <w:r w:rsidRPr="00F7290F">
        <w:rPr>
          <w:color w:val="000000" w:themeColor="text1"/>
          <w:lang w:val="uk-UA"/>
        </w:rPr>
        <w:softHyphen/>
        <w:t>ням не</w:t>
      </w:r>
      <w:r w:rsidRPr="00F7290F">
        <w:rPr>
          <w:color w:val="000000" w:themeColor="text1"/>
          <w:lang w:val="uk-UA"/>
        </w:rPr>
        <w:softHyphen/>
        <w:t>об</w:t>
      </w:r>
      <w:r w:rsidRPr="00F7290F">
        <w:rPr>
          <w:color w:val="000000" w:themeColor="text1"/>
          <w:lang w:val="uk-UA"/>
        </w:rPr>
        <w:softHyphen/>
        <w:t>хід</w:t>
      </w:r>
      <w:r w:rsidRPr="00F7290F">
        <w:rPr>
          <w:color w:val="000000" w:themeColor="text1"/>
          <w:lang w:val="uk-UA"/>
        </w:rPr>
        <w:softHyphen/>
        <w:t>них знань та формування гро</w:t>
      </w:r>
      <w:r w:rsidRPr="00F7290F">
        <w:rPr>
          <w:color w:val="000000" w:themeColor="text1"/>
          <w:lang w:val="uk-UA"/>
        </w:rPr>
        <w:softHyphen/>
        <w:t>мад</w:t>
      </w:r>
      <w:r w:rsidRPr="00F7290F">
        <w:rPr>
          <w:color w:val="000000" w:themeColor="text1"/>
          <w:lang w:val="uk-UA"/>
        </w:rPr>
        <w:softHyphen/>
        <w:t>сь</w:t>
      </w:r>
      <w:r w:rsidRPr="00F7290F">
        <w:rPr>
          <w:color w:val="000000" w:themeColor="text1"/>
          <w:lang w:val="uk-UA"/>
        </w:rPr>
        <w:softHyphen/>
        <w:t>кої ду</w:t>
      </w:r>
      <w:r w:rsidRPr="00F7290F">
        <w:rPr>
          <w:color w:val="000000" w:themeColor="text1"/>
          <w:lang w:val="uk-UA"/>
        </w:rPr>
        <w:softHyphen/>
        <w:t>м</w:t>
      </w:r>
      <w:r w:rsidRPr="00F7290F">
        <w:rPr>
          <w:color w:val="000000" w:themeColor="text1"/>
          <w:lang w:val="uk-UA"/>
        </w:rPr>
        <w:softHyphen/>
        <w:t>ки з пи</w:t>
      </w:r>
      <w:r w:rsidRPr="00F7290F">
        <w:rPr>
          <w:color w:val="000000" w:themeColor="text1"/>
          <w:lang w:val="uk-UA"/>
        </w:rPr>
        <w:softHyphen/>
        <w:t>тань пе</w:t>
      </w:r>
      <w:r w:rsidRPr="00F7290F">
        <w:rPr>
          <w:color w:val="000000" w:themeColor="text1"/>
          <w:lang w:val="uk-UA"/>
        </w:rPr>
        <w:softHyphen/>
        <w:t>н</w:t>
      </w:r>
      <w:r w:rsidRPr="00F7290F">
        <w:rPr>
          <w:color w:val="000000" w:themeColor="text1"/>
          <w:lang w:val="uk-UA"/>
        </w:rPr>
        <w:softHyphen/>
        <w:t>сій</w:t>
      </w:r>
      <w:r w:rsidRPr="00F7290F">
        <w:rPr>
          <w:color w:val="000000" w:themeColor="text1"/>
          <w:lang w:val="uk-UA"/>
        </w:rPr>
        <w:softHyphen/>
        <w:t>ного законодавства сприятиме умовам со</w:t>
      </w:r>
      <w:r w:rsidRPr="00F7290F">
        <w:rPr>
          <w:color w:val="000000" w:themeColor="text1"/>
          <w:lang w:val="uk-UA"/>
        </w:rPr>
        <w:softHyphen/>
        <w:t>ці</w:t>
      </w:r>
      <w:r w:rsidRPr="00F7290F">
        <w:rPr>
          <w:color w:val="000000" w:themeColor="text1"/>
          <w:lang w:val="uk-UA"/>
        </w:rPr>
        <w:softHyphen/>
        <w:t>а</w:t>
      </w:r>
      <w:r w:rsidRPr="00F7290F">
        <w:rPr>
          <w:color w:val="000000" w:themeColor="text1"/>
          <w:lang w:val="uk-UA"/>
        </w:rPr>
        <w:softHyphen/>
        <w:t>ль</w:t>
      </w:r>
      <w:r w:rsidRPr="00F7290F">
        <w:rPr>
          <w:color w:val="000000" w:themeColor="text1"/>
          <w:lang w:val="uk-UA"/>
        </w:rPr>
        <w:softHyphen/>
        <w:t>ної зла</w:t>
      </w:r>
      <w:r w:rsidRPr="00F7290F">
        <w:rPr>
          <w:color w:val="000000" w:themeColor="text1"/>
          <w:lang w:val="uk-UA"/>
        </w:rPr>
        <w:softHyphen/>
        <w:t>го</w:t>
      </w:r>
      <w:r w:rsidRPr="00F7290F">
        <w:rPr>
          <w:color w:val="000000" w:themeColor="text1"/>
          <w:lang w:val="uk-UA"/>
        </w:rPr>
        <w:softHyphen/>
        <w:t>ди у су</w:t>
      </w:r>
      <w:r w:rsidRPr="00F7290F">
        <w:rPr>
          <w:color w:val="000000" w:themeColor="text1"/>
          <w:lang w:val="uk-UA"/>
        </w:rPr>
        <w:softHyphen/>
        <w:t>с</w:t>
      </w:r>
      <w:r w:rsidRPr="00F7290F">
        <w:rPr>
          <w:color w:val="000000" w:themeColor="text1"/>
          <w:lang w:val="uk-UA"/>
        </w:rPr>
        <w:softHyphen/>
        <w:t>піль</w:t>
      </w:r>
      <w:r w:rsidRPr="00F7290F">
        <w:rPr>
          <w:color w:val="000000" w:themeColor="text1"/>
          <w:lang w:val="uk-UA"/>
        </w:rPr>
        <w:softHyphen/>
        <w:t>с</w:t>
      </w:r>
      <w:r w:rsidRPr="00F7290F">
        <w:rPr>
          <w:color w:val="000000" w:themeColor="text1"/>
          <w:lang w:val="uk-UA"/>
        </w:rPr>
        <w:softHyphen/>
        <w:t>т</w:t>
      </w:r>
      <w:r w:rsidRPr="00F7290F">
        <w:rPr>
          <w:color w:val="000000" w:themeColor="text1"/>
          <w:lang w:val="uk-UA"/>
        </w:rPr>
        <w:softHyphen/>
        <w:t>ві.</w:t>
      </w:r>
    </w:p>
    <w:p w:rsidR="00BD6355" w:rsidRPr="00F7290F" w:rsidRDefault="00BD6355" w:rsidP="00D65D2E">
      <w:pPr>
        <w:keepNext/>
        <w:widowControl w:val="0"/>
        <w:ind w:firstLine="708"/>
        <w:jc w:val="both"/>
        <w:rPr>
          <w:color w:val="000000" w:themeColor="text1"/>
          <w:lang w:val="uk-UA"/>
        </w:rPr>
      </w:pPr>
      <w:r w:rsidRPr="00F7290F">
        <w:rPr>
          <w:color w:val="000000" w:themeColor="text1"/>
          <w:lang w:val="uk-UA"/>
        </w:rPr>
        <w:t>Крім того передбачається:</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 xml:space="preserve">своєчасна та в повному обсязі виплата призначених пенсій та допомоги майже </w:t>
      </w:r>
      <w:r w:rsidR="00FB0E21">
        <w:rPr>
          <w:bCs/>
          <w:color w:val="000000" w:themeColor="text1"/>
          <w:lang w:val="uk-UA"/>
        </w:rPr>
        <w:t xml:space="preserve">                </w:t>
      </w:r>
      <w:r w:rsidRPr="00F7290F">
        <w:rPr>
          <w:bCs/>
          <w:color w:val="000000" w:themeColor="text1"/>
          <w:lang w:val="uk-UA"/>
        </w:rPr>
        <w:t xml:space="preserve">1,4 млн. пенсіонерам; </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 xml:space="preserve">підвищення середньомісячного розміру пенсії на </w:t>
      </w:r>
      <w:r w:rsidR="008513B8" w:rsidRPr="00F7290F">
        <w:rPr>
          <w:bCs/>
          <w:color w:val="000000" w:themeColor="text1"/>
          <w:lang w:val="uk-UA"/>
        </w:rPr>
        <w:t>13,7</w:t>
      </w:r>
      <w:r w:rsidRPr="00F7290F">
        <w:rPr>
          <w:bCs/>
          <w:color w:val="000000" w:themeColor="text1"/>
          <w:lang w:val="uk-UA"/>
        </w:rPr>
        <w:t>% (1960 грн.);</w:t>
      </w:r>
    </w:p>
    <w:p w:rsidR="00A17BFF" w:rsidRPr="00173755" w:rsidRDefault="00A17BFF" w:rsidP="00D65D2E">
      <w:pPr>
        <w:pStyle w:val="af9"/>
        <w:keepNext/>
        <w:widowControl w:val="0"/>
        <w:numPr>
          <w:ilvl w:val="0"/>
          <w:numId w:val="2"/>
        </w:numPr>
        <w:ind w:left="0" w:firstLine="357"/>
        <w:jc w:val="both"/>
        <w:rPr>
          <w:color w:val="000000" w:themeColor="text1"/>
          <w:spacing w:val="-8"/>
          <w:lang w:val="uk-UA"/>
        </w:rPr>
      </w:pPr>
      <w:r w:rsidRPr="00173755">
        <w:rPr>
          <w:bCs/>
          <w:color w:val="000000" w:themeColor="text1"/>
          <w:spacing w:val="-8"/>
          <w:lang w:val="uk-UA"/>
        </w:rPr>
        <w:t>збільшення</w:t>
      </w:r>
      <w:r w:rsidRPr="00173755">
        <w:rPr>
          <w:color w:val="000000" w:themeColor="text1"/>
          <w:spacing w:val="-8"/>
          <w:lang w:val="uk-UA"/>
        </w:rPr>
        <w:t xml:space="preserve"> надходжень до бюджету Пенсійного фонду України на </w:t>
      </w:r>
      <w:r w:rsidR="008513B8" w:rsidRPr="00173755">
        <w:rPr>
          <w:color w:val="000000" w:themeColor="text1"/>
          <w:spacing w:val="-8"/>
          <w:lang w:val="uk-UA"/>
        </w:rPr>
        <w:t>3,4</w:t>
      </w:r>
      <w:r w:rsidRPr="00173755">
        <w:rPr>
          <w:color w:val="000000" w:themeColor="text1"/>
          <w:spacing w:val="-8"/>
          <w:lang w:val="uk-UA"/>
        </w:rPr>
        <w:t>% (до 19300 млн.грн.)</w:t>
      </w:r>
      <w:r w:rsidR="00A42FCE" w:rsidRPr="00173755">
        <w:rPr>
          <w:color w:val="000000" w:themeColor="text1"/>
          <w:spacing w:val="-8"/>
          <w:lang w:val="uk-UA"/>
        </w:rPr>
        <w:t>.</w:t>
      </w:r>
    </w:p>
    <w:p w:rsidR="00A17BFF" w:rsidRPr="00F7290F" w:rsidRDefault="00A17BFF" w:rsidP="00D65D2E">
      <w:pPr>
        <w:keepNext/>
        <w:widowControl w:val="0"/>
        <w:ind w:firstLine="708"/>
        <w:jc w:val="both"/>
        <w:rPr>
          <w:color w:val="FF0000"/>
          <w:lang w:val="uk-UA"/>
        </w:rPr>
      </w:pPr>
      <w:r w:rsidRPr="00F7290F">
        <w:rPr>
          <w:noProof/>
          <w:color w:val="FF0000"/>
        </w:rPr>
        <w:drawing>
          <wp:inline distT="0" distB="0" distL="0" distR="0">
            <wp:extent cx="4890977" cy="2147777"/>
            <wp:effectExtent l="0" t="0" r="0" b="0"/>
            <wp:docPr id="6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17BFF" w:rsidRPr="00F7290F" w:rsidRDefault="00A17BFF" w:rsidP="00D65D2E">
      <w:pPr>
        <w:keepNext/>
        <w:widowControl w:val="0"/>
        <w:ind w:firstLine="708"/>
        <w:jc w:val="both"/>
        <w:rPr>
          <w:color w:val="FF0000"/>
          <w:lang w:val="uk-UA"/>
        </w:rPr>
      </w:pPr>
    </w:p>
    <w:p w:rsidR="00A17BFF" w:rsidRPr="00F7290F" w:rsidRDefault="00ED1F54" w:rsidP="00D65D2E">
      <w:pPr>
        <w:keepNext/>
        <w:widowControl w:val="0"/>
        <w:ind w:firstLine="708"/>
        <w:jc w:val="both"/>
        <w:rPr>
          <w:color w:val="000000" w:themeColor="text1"/>
          <w:lang w:val="uk-UA"/>
        </w:rPr>
      </w:pPr>
      <w:r w:rsidRPr="00F7290F">
        <w:rPr>
          <w:b/>
          <w:color w:val="000000" w:themeColor="text1"/>
          <w:lang w:val="uk-UA"/>
        </w:rPr>
        <w:t xml:space="preserve"> Ресурсне забезпечення</w:t>
      </w:r>
      <w:r w:rsidR="00A17BFF" w:rsidRPr="00F7290F">
        <w:rPr>
          <w:b/>
          <w:color w:val="000000" w:themeColor="text1"/>
          <w:lang w:val="uk-UA"/>
        </w:rPr>
        <w:t xml:space="preserve"> </w:t>
      </w:r>
    </w:p>
    <w:p w:rsidR="00A17BFF" w:rsidRPr="00F7290F" w:rsidRDefault="00A17BFF" w:rsidP="00D65D2E">
      <w:pPr>
        <w:keepNext/>
        <w:widowControl w:val="0"/>
        <w:ind w:firstLine="708"/>
        <w:jc w:val="both"/>
        <w:rPr>
          <w:color w:val="000000" w:themeColor="text1"/>
          <w:lang w:val="uk-UA"/>
        </w:rPr>
      </w:pPr>
      <w:r w:rsidRPr="00F7290F">
        <w:rPr>
          <w:color w:val="000000" w:themeColor="text1"/>
          <w:lang w:val="uk-UA"/>
        </w:rPr>
        <w:t>Заходи фінансуватимуться за рахунок коштів Пенсійного фонду України, державного бюджету, фондів обов’язкового державного соціального страхування, підприємств.</w:t>
      </w:r>
    </w:p>
    <w:p w:rsidR="003C53BC" w:rsidRPr="00F7290F" w:rsidRDefault="003C53BC" w:rsidP="00D65D2E">
      <w:pPr>
        <w:keepNext/>
        <w:widowControl w:val="0"/>
        <w:rPr>
          <w:color w:val="000000" w:themeColor="text1"/>
          <w:lang w:val="uk-UA"/>
        </w:rPr>
      </w:pPr>
    </w:p>
    <w:p w:rsidR="00A2514B" w:rsidRPr="00F7290F" w:rsidRDefault="00A2514B" w:rsidP="00D65D2E">
      <w:pPr>
        <w:keepNext/>
        <w:widowControl w:val="0"/>
        <w:tabs>
          <w:tab w:val="left" w:pos="959"/>
        </w:tabs>
        <w:spacing w:after="120"/>
        <w:ind w:left="108"/>
        <w:jc w:val="center"/>
        <w:rPr>
          <w:b/>
          <w:bCs/>
          <w:color w:val="000000" w:themeColor="text1"/>
          <w:lang w:val="uk-UA" w:eastAsia="en-US"/>
        </w:rPr>
      </w:pPr>
      <w:r w:rsidRPr="00F7290F">
        <w:rPr>
          <w:b/>
          <w:color w:val="000000" w:themeColor="text1"/>
          <w:lang w:val="uk-UA"/>
        </w:rPr>
        <w:t>3.</w:t>
      </w:r>
      <w:r w:rsidR="006B6FA2" w:rsidRPr="00F7290F">
        <w:rPr>
          <w:b/>
          <w:color w:val="000000" w:themeColor="text1"/>
          <w:lang w:val="uk-UA"/>
        </w:rPr>
        <w:t>5</w:t>
      </w:r>
      <w:r w:rsidRPr="00F7290F">
        <w:rPr>
          <w:b/>
          <w:color w:val="000000" w:themeColor="text1"/>
          <w:lang w:val="uk-UA"/>
        </w:rPr>
        <w:t>.</w:t>
      </w:r>
      <w:r w:rsidR="00B10A7F" w:rsidRPr="00F7290F">
        <w:rPr>
          <w:b/>
          <w:color w:val="000000" w:themeColor="text1"/>
          <w:lang w:val="uk-UA"/>
        </w:rPr>
        <w:t xml:space="preserve"> </w:t>
      </w:r>
      <w:hyperlink r:id="rId103" w:anchor="_Toc130175727" w:history="1">
        <w:r w:rsidRPr="00F7290F">
          <w:rPr>
            <w:rStyle w:val="af4"/>
            <w:b/>
            <w:color w:val="000000" w:themeColor="text1"/>
            <w:u w:val="none"/>
            <w:lang w:val="uk-UA"/>
          </w:rPr>
          <w:t>Соціальний захист</w:t>
        </w:r>
      </w:hyperlink>
      <w:r w:rsidRPr="00F7290F">
        <w:rPr>
          <w:b/>
          <w:color w:val="000000" w:themeColor="text1"/>
          <w:lang w:val="uk-UA"/>
        </w:rPr>
        <w:t xml:space="preserve"> населення</w:t>
      </w:r>
    </w:p>
    <w:p w:rsidR="0036502E" w:rsidRPr="00F7290F" w:rsidRDefault="0036502E" w:rsidP="00D65D2E">
      <w:pPr>
        <w:keepNext/>
        <w:widowControl w:val="0"/>
        <w:ind w:firstLine="720"/>
        <w:rPr>
          <w:b/>
          <w:color w:val="000000" w:themeColor="text1"/>
          <w:lang w:val="uk-UA"/>
        </w:rPr>
      </w:pPr>
      <w:r w:rsidRPr="00F7290F">
        <w:rPr>
          <w:b/>
          <w:color w:val="000000" w:themeColor="text1"/>
          <w:lang w:val="uk-UA"/>
        </w:rPr>
        <w:t>Актуальні проблеми:</w:t>
      </w:r>
    </w:p>
    <w:p w:rsidR="0036502E" w:rsidRPr="00F7290F" w:rsidRDefault="0036502E" w:rsidP="00D65D2E">
      <w:pPr>
        <w:keepNext/>
        <w:widowControl w:val="0"/>
        <w:ind w:firstLine="720"/>
        <w:rPr>
          <w:rStyle w:val="FontStyle18"/>
          <w:color w:val="000000" w:themeColor="text1"/>
          <w:sz w:val="24"/>
          <w:szCs w:val="24"/>
          <w:lang w:val="uk-UA" w:eastAsia="uk-UA"/>
        </w:rPr>
      </w:pPr>
      <w:r w:rsidRPr="00F7290F">
        <w:rPr>
          <w:color w:val="000000" w:themeColor="text1"/>
          <w:lang w:val="uk-UA"/>
        </w:rPr>
        <w:t>- недосконалість системи надання соціальних пільг.</w:t>
      </w:r>
    </w:p>
    <w:p w:rsidR="00A2514B" w:rsidRPr="00F7290F" w:rsidRDefault="00A2514B" w:rsidP="00D65D2E">
      <w:pPr>
        <w:keepNext/>
        <w:widowControl w:val="0"/>
        <w:tabs>
          <w:tab w:val="left" w:pos="9360"/>
        </w:tabs>
        <w:spacing w:before="240" w:after="120"/>
        <w:ind w:firstLine="709"/>
        <w:jc w:val="both"/>
        <w:rPr>
          <w:bCs/>
          <w:color w:val="000000" w:themeColor="text1"/>
          <w:lang w:val="uk-UA"/>
        </w:rPr>
      </w:pPr>
      <w:r w:rsidRPr="00F7290F">
        <w:rPr>
          <w:b/>
          <w:color w:val="000000" w:themeColor="text1"/>
          <w:lang w:val="uk-UA"/>
        </w:rPr>
        <w:t>Головна мета</w:t>
      </w:r>
      <w:r w:rsidRPr="00F7290F">
        <w:rPr>
          <w:color w:val="000000" w:themeColor="text1"/>
          <w:lang w:val="uk-UA"/>
        </w:rPr>
        <w:t xml:space="preserve"> -  удосконалення системи соціальних послуг, підвищення їх якості та ефективності, реабілітація та соціальна інтеграція інвалідів</w:t>
      </w:r>
      <w:r w:rsidRPr="00F7290F">
        <w:rPr>
          <w:bCs/>
          <w:color w:val="000000" w:themeColor="text1"/>
          <w:lang w:val="uk-UA"/>
        </w:rPr>
        <w:t>.</w:t>
      </w:r>
    </w:p>
    <w:p w:rsidR="00A2514B" w:rsidRPr="00F7290F" w:rsidRDefault="00A2514B" w:rsidP="00D65D2E">
      <w:pPr>
        <w:pStyle w:val="23"/>
        <w:keepNext/>
        <w:widowControl w:val="0"/>
        <w:tabs>
          <w:tab w:val="num" w:pos="1083"/>
        </w:tabs>
        <w:spacing w:after="0"/>
        <w:ind w:firstLine="709"/>
        <w:rPr>
          <w:b/>
          <w:color w:val="000000" w:themeColor="text1"/>
        </w:rPr>
      </w:pPr>
      <w:r w:rsidRPr="00F7290F">
        <w:rPr>
          <w:b/>
          <w:color w:val="000000" w:themeColor="text1"/>
          <w:szCs w:val="26"/>
        </w:rPr>
        <w:t>Основні напрями та завдання розвитку</w:t>
      </w:r>
      <w:r w:rsidR="00C9120F" w:rsidRPr="00F7290F">
        <w:rPr>
          <w:b/>
          <w:color w:val="000000" w:themeColor="text1"/>
          <w:szCs w:val="26"/>
        </w:rPr>
        <w:t xml:space="preserve"> на 2013 рік</w:t>
      </w:r>
      <w:r w:rsidRPr="00F7290F">
        <w:rPr>
          <w:b/>
          <w:color w:val="000000" w:themeColor="text1"/>
          <w:szCs w:val="26"/>
        </w:rPr>
        <w:t>:</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посилення адресності та поступова трансформація пільг в адресну грошову компенсацію;</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забезпечення соціального захисту бездомних осіб, соціальної адаптації осіб, звільнених з місць позбавлення волі, інтеграції осіб з обмеженими можливостями у суспільне життя;</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lastRenderedPageBreak/>
        <w:t>створення обласного Центру соціальної реабілітації дітей-інвалідів;</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проведення енергозберігаючих заходів та робіт з капітального ремонту закладів системи праці та соціального захисту населення;</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 xml:space="preserve">поновлення матеріально-технічної бази інтернатних установ: технологічного устаткування пралень, харчоблоків, придбання медичної апаратури, господарчих товарів, м’якого інвентарю та предметів довгострокового використання; </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надання всіх видів соціальної допомоги на підставі єдиної заяви та єдиного пакету документів;</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надання щомісячної допомоги обласної ради учням професійно-технічних навчальних закладів і студентам вищих навчальних закладів I-IV рівнів акредитації із числа дітей-сиріт і дітей, позбавлених батьківського піклування, що перебувають на повному державному забезпеченні;</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забезпечення соціального захисту гро</w:t>
      </w:r>
      <w:r w:rsidRPr="00F7290F">
        <w:rPr>
          <w:bCs/>
          <w:color w:val="000000" w:themeColor="text1"/>
          <w:lang w:val="uk-UA"/>
        </w:rPr>
        <w:softHyphen/>
        <w:t>мадян, які постраждали внаслідок Чорнобильської катастрофи;</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 xml:space="preserve">проведення заходів, приурочених до Дня Чорнобильської катастрофи та до Дня вшанування учасників ліквідації наслідків аварії; </w:t>
      </w:r>
    </w:p>
    <w:p w:rsidR="00A2514B" w:rsidRPr="00F7290F" w:rsidRDefault="00A2514B" w:rsidP="00D65D2E">
      <w:pPr>
        <w:pStyle w:val="af9"/>
        <w:keepNext/>
        <w:widowControl w:val="0"/>
        <w:numPr>
          <w:ilvl w:val="0"/>
          <w:numId w:val="2"/>
        </w:numPr>
        <w:ind w:left="0" w:firstLine="357"/>
        <w:jc w:val="both"/>
        <w:rPr>
          <w:color w:val="000000" w:themeColor="text1"/>
          <w:lang w:val="uk-UA"/>
        </w:rPr>
      </w:pPr>
      <w:r w:rsidRPr="00F7290F">
        <w:rPr>
          <w:bCs/>
          <w:color w:val="000000" w:themeColor="text1"/>
          <w:lang w:val="uk-UA"/>
        </w:rPr>
        <w:t>забезпечення</w:t>
      </w:r>
      <w:r w:rsidRPr="00F7290F">
        <w:rPr>
          <w:color w:val="000000" w:themeColor="text1"/>
          <w:lang w:val="uk-UA"/>
        </w:rPr>
        <w:t xml:space="preserve"> своєчасної виплати компенсації на комунальні послуги шахтарям та надання пільг багатодітним сім’ям відповідно до діючого законодавства.</w:t>
      </w:r>
    </w:p>
    <w:p w:rsidR="00A2514B" w:rsidRPr="00F7290F" w:rsidRDefault="00C9120F" w:rsidP="00D65D2E">
      <w:pPr>
        <w:pStyle w:val="25"/>
        <w:keepNext/>
        <w:widowControl w:val="0"/>
        <w:spacing w:after="0" w:line="240" w:lineRule="auto"/>
        <w:ind w:firstLine="709"/>
        <w:rPr>
          <w:b/>
          <w:color w:val="000000" w:themeColor="text1"/>
          <w:lang w:val="uk-UA"/>
        </w:rPr>
      </w:pPr>
      <w:r w:rsidRPr="00F7290F">
        <w:rPr>
          <w:b/>
          <w:color w:val="000000" w:themeColor="text1"/>
          <w:lang w:val="uk-UA"/>
        </w:rPr>
        <w:t>К</w:t>
      </w:r>
      <w:r w:rsidR="00A2514B" w:rsidRPr="00F7290F">
        <w:rPr>
          <w:b/>
          <w:color w:val="000000" w:themeColor="text1"/>
          <w:lang w:val="uk-UA"/>
        </w:rPr>
        <w:t xml:space="preserve">ритерії </w:t>
      </w:r>
      <w:r w:rsidRPr="00F7290F">
        <w:rPr>
          <w:b/>
          <w:color w:val="000000" w:themeColor="text1"/>
          <w:lang w:val="uk-UA"/>
        </w:rPr>
        <w:t>досягнення</w:t>
      </w:r>
    </w:p>
    <w:p w:rsidR="00A2514B" w:rsidRPr="00F7290F" w:rsidRDefault="00A2514B" w:rsidP="00D65D2E">
      <w:pPr>
        <w:pStyle w:val="23"/>
        <w:keepNext/>
        <w:widowControl w:val="0"/>
        <w:ind w:firstLine="709"/>
        <w:rPr>
          <w:color w:val="000000" w:themeColor="text1"/>
          <w:spacing w:val="-2"/>
        </w:rPr>
      </w:pPr>
      <w:r w:rsidRPr="00F7290F">
        <w:rPr>
          <w:color w:val="000000" w:themeColor="text1"/>
          <w:spacing w:val="-2"/>
        </w:rPr>
        <w:t xml:space="preserve">Реалізація заходів забезпечить поглиблення </w:t>
      </w:r>
      <w:r w:rsidR="007768BF" w:rsidRPr="00F7290F">
        <w:rPr>
          <w:color w:val="000000" w:themeColor="text1"/>
          <w:spacing w:val="-2"/>
        </w:rPr>
        <w:t>«</w:t>
      </w:r>
      <w:r w:rsidRPr="00F7290F">
        <w:rPr>
          <w:color w:val="000000" w:themeColor="text1"/>
          <w:spacing w:val="-2"/>
        </w:rPr>
        <w:t>адресності</w:t>
      </w:r>
      <w:r w:rsidR="007768BF" w:rsidRPr="00F7290F">
        <w:rPr>
          <w:color w:val="000000" w:themeColor="text1"/>
          <w:spacing w:val="-2"/>
        </w:rPr>
        <w:t>»</w:t>
      </w:r>
      <w:r w:rsidRPr="00F7290F">
        <w:rPr>
          <w:color w:val="000000" w:themeColor="text1"/>
          <w:spacing w:val="-2"/>
        </w:rPr>
        <w:t xml:space="preserve"> при наданні соціальної допомоги та спрощення процедури їх одержання, надання всебічної, якісної, своєчасної допомоги найбільш нужденним верствам населення.</w:t>
      </w:r>
    </w:p>
    <w:p w:rsidR="00A2514B" w:rsidRPr="00F7290F" w:rsidRDefault="00ED1F54" w:rsidP="00D65D2E">
      <w:pPr>
        <w:keepNext/>
        <w:widowControl w:val="0"/>
        <w:ind w:firstLine="720"/>
        <w:jc w:val="both"/>
        <w:rPr>
          <w:b/>
          <w:color w:val="000000" w:themeColor="text1"/>
          <w:lang w:val="uk-UA"/>
        </w:rPr>
      </w:pPr>
      <w:r w:rsidRPr="00F7290F">
        <w:rPr>
          <w:b/>
          <w:color w:val="000000" w:themeColor="text1"/>
          <w:lang w:val="uk-UA"/>
        </w:rPr>
        <w:t xml:space="preserve">Ресурсне забезпечення </w:t>
      </w:r>
      <w:r w:rsidR="006B4648" w:rsidRPr="00F7290F">
        <w:rPr>
          <w:color w:val="000000" w:themeColor="text1"/>
          <w:lang w:val="uk-UA"/>
        </w:rPr>
        <w:t xml:space="preserve">заходів здійснюватиметься </w:t>
      </w:r>
      <w:r w:rsidR="00A2514B" w:rsidRPr="00F7290F">
        <w:rPr>
          <w:color w:val="000000" w:themeColor="text1"/>
          <w:lang w:val="uk-UA"/>
        </w:rPr>
        <w:t>за рахунок коштів державного бюджету, місцевих бюджетів, підприємств, благодійної грошової та натуральної адресної допомоги.</w:t>
      </w:r>
    </w:p>
    <w:p w:rsidR="00F7014B" w:rsidRPr="00F7290F" w:rsidRDefault="00F7014B" w:rsidP="00F7014B">
      <w:pPr>
        <w:keepNext/>
        <w:widowControl w:val="0"/>
        <w:tabs>
          <w:tab w:val="left" w:pos="959"/>
        </w:tabs>
        <w:spacing w:after="120"/>
        <w:ind w:left="108"/>
        <w:jc w:val="center"/>
        <w:rPr>
          <w:b/>
          <w:bCs/>
          <w:lang w:val="uk-UA" w:eastAsia="en-US"/>
        </w:rPr>
      </w:pPr>
      <w:r w:rsidRPr="00F7290F">
        <w:rPr>
          <w:b/>
          <w:lang w:val="uk-UA"/>
        </w:rPr>
        <w:t xml:space="preserve">3.6. </w:t>
      </w:r>
      <w:hyperlink w:anchor="_Toc130175735" w:history="1">
        <w:r w:rsidRPr="00F7290F">
          <w:rPr>
            <w:rStyle w:val="af4"/>
            <w:b/>
            <w:color w:val="auto"/>
            <w:u w:val="none"/>
            <w:lang w:val="uk-UA"/>
          </w:rPr>
          <w:t xml:space="preserve">Охорона здоров’я </w:t>
        </w:r>
      </w:hyperlink>
    </w:p>
    <w:p w:rsidR="00F7014B" w:rsidRPr="00F7290F" w:rsidRDefault="00F7014B" w:rsidP="00F7014B">
      <w:pPr>
        <w:keepNext/>
        <w:widowControl w:val="0"/>
        <w:ind w:firstLine="709"/>
        <w:jc w:val="both"/>
        <w:rPr>
          <w:b/>
          <w:bCs/>
          <w:lang w:val="uk-UA"/>
        </w:rPr>
      </w:pPr>
      <w:r w:rsidRPr="00F7290F">
        <w:rPr>
          <w:b/>
          <w:lang w:val="uk-UA"/>
        </w:rPr>
        <w:t>Актуальні питання:</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високій рівень захворювання населення на соціально небезпечні хвороби;</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незадовільне забезпечення необхідними лікарськими засобами та витратними матеріалами хворих на гемофілію, хронічну ниркову недостатність, лікування яких є тривалим і вартісним;</w:t>
      </w:r>
    </w:p>
    <w:p w:rsidR="00F7014B" w:rsidRPr="00F7290F" w:rsidRDefault="00F7014B" w:rsidP="00F7014B">
      <w:pPr>
        <w:pStyle w:val="af9"/>
        <w:keepNext/>
        <w:widowControl w:val="0"/>
        <w:numPr>
          <w:ilvl w:val="0"/>
          <w:numId w:val="2"/>
        </w:numPr>
        <w:ind w:left="0" w:firstLine="357"/>
        <w:jc w:val="both"/>
        <w:rPr>
          <w:bCs/>
          <w:lang w:val="uk-UA"/>
        </w:rPr>
      </w:pPr>
      <w:r w:rsidRPr="00F7290F">
        <w:rPr>
          <w:bCs/>
          <w:lang w:val="uk-UA"/>
        </w:rPr>
        <w:t>низька забезпеченість Служби екстреної медичної допомоги сучасним радіозв’язком, у зв’язку з вступом з 01.12.2012 заборони на використання існуючих радіостанцій старого зразка.</w:t>
      </w:r>
    </w:p>
    <w:p w:rsidR="00F7014B" w:rsidRPr="00F7290F" w:rsidRDefault="00F7014B" w:rsidP="00F7014B">
      <w:pPr>
        <w:keepNext/>
        <w:widowControl w:val="0"/>
        <w:spacing w:after="120"/>
        <w:ind w:firstLine="709"/>
        <w:jc w:val="both"/>
        <w:rPr>
          <w:lang w:val="uk-UA"/>
        </w:rPr>
      </w:pPr>
      <w:r w:rsidRPr="00F7290F">
        <w:rPr>
          <w:b/>
          <w:lang w:val="uk-UA"/>
        </w:rPr>
        <w:t xml:space="preserve">Головна мета </w:t>
      </w:r>
      <w:r w:rsidRPr="00F7290F">
        <w:rPr>
          <w:lang w:val="uk-UA"/>
        </w:rPr>
        <w:t>- підвищення якості медичних послуг і, як результат, покращення показників здоров'я населення.</w:t>
      </w:r>
    </w:p>
    <w:p w:rsidR="00F7014B" w:rsidRPr="00F7290F" w:rsidRDefault="00F7014B" w:rsidP="00F7014B">
      <w:pPr>
        <w:pStyle w:val="23"/>
        <w:keepNext/>
        <w:widowControl w:val="0"/>
        <w:spacing w:after="0"/>
        <w:ind w:left="644" w:firstLine="0"/>
        <w:rPr>
          <w:b/>
        </w:rPr>
      </w:pPr>
      <w:r w:rsidRPr="00F7290F">
        <w:rPr>
          <w:b/>
          <w:szCs w:val="26"/>
        </w:rPr>
        <w:t>Основні напрямки та завдання розвитку:</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подальше впровадження в області пілотного проекту з реформування системи охорони здоров'я відповідно до Закону України «Про порядок проведення реформування системи охорони здоров'я у Вінницькій, Дніпропетровській, Донецькій областях та місті Києві»;</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профілактика та лікування хворих на туберкульоз, ВІЛ-інфікованих і хворих на СНІД;</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профілактика і лікування серцево-судинних і судинно-мозкових захворювань шляхом проведення тромболітичної терапії на догоспітальному і госпітальному етапах надання медичної допомоги при гострій судинній патології;</w:t>
      </w:r>
    </w:p>
    <w:p w:rsidR="00F7014B" w:rsidRPr="00F7290F" w:rsidRDefault="00F7014B" w:rsidP="00F7014B">
      <w:pPr>
        <w:pStyle w:val="af9"/>
        <w:keepNext/>
        <w:widowControl w:val="0"/>
        <w:numPr>
          <w:ilvl w:val="0"/>
          <w:numId w:val="2"/>
        </w:numPr>
        <w:spacing w:after="0"/>
        <w:ind w:left="0" w:firstLine="357"/>
        <w:jc w:val="both"/>
        <w:rPr>
          <w:bCs/>
          <w:spacing w:val="-4"/>
          <w:lang w:val="uk-UA"/>
        </w:rPr>
      </w:pPr>
      <w:r w:rsidRPr="00F7290F">
        <w:rPr>
          <w:bCs/>
          <w:spacing w:val="-4"/>
          <w:lang w:val="uk-UA"/>
        </w:rPr>
        <w:t>профілактика онкологічних захворювань шляхом підвищення якості виявлення хворих на ранніх стадіях розвитку хвороби та доступності медичної допомоги для онкологічних хворих;</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реалізація  заходів з охорони материнства та дитинства;</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 xml:space="preserve">впровадження програмно-цільового методу фінансування системи охорони здоров’я </w:t>
      </w:r>
      <w:r w:rsidRPr="00F7290F">
        <w:rPr>
          <w:bCs/>
          <w:lang w:val="uk-UA"/>
        </w:rPr>
        <w:lastRenderedPageBreak/>
        <w:t>та договірних відносин;</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оснащення, дооснащення та переоснащення лікувально-профілактичних закладів охорони здоров'я сучасним медичним обладнанням комп’ютерною технікою та автотранспортом;</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 xml:space="preserve">покращення стану забезпечення населення лікарськими засобами і виробами медичного призначення шляхом впровадження в практику медичних закладів формулярної системи лікарських засобів; </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сприяння реалізації інвестиційних проектів в галузі охорони здоров'я шляхом розвитку державно-приватного партнерства;</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забезпечення ефективної взаємодії зі службами і відомствами соціального захисту, освіти, культури, профспілковими та громадськими організаціями;</w:t>
      </w:r>
    </w:p>
    <w:p w:rsidR="00F7014B" w:rsidRPr="00F7290F" w:rsidRDefault="00F7014B" w:rsidP="00F7014B">
      <w:pPr>
        <w:pStyle w:val="af9"/>
        <w:keepNext/>
        <w:widowControl w:val="0"/>
        <w:numPr>
          <w:ilvl w:val="0"/>
          <w:numId w:val="2"/>
        </w:numPr>
        <w:ind w:left="0" w:firstLine="357"/>
        <w:jc w:val="both"/>
        <w:rPr>
          <w:bCs/>
          <w:lang w:val="uk-UA"/>
        </w:rPr>
      </w:pPr>
      <w:r w:rsidRPr="00F7290F">
        <w:rPr>
          <w:bCs/>
          <w:lang w:val="uk-UA"/>
        </w:rPr>
        <w:t>удосконалення кадрової політики.</w:t>
      </w:r>
    </w:p>
    <w:p w:rsidR="00F7014B" w:rsidRPr="00F7290F" w:rsidRDefault="00F7014B" w:rsidP="00F7014B">
      <w:pPr>
        <w:pStyle w:val="af9"/>
        <w:keepNext/>
        <w:widowControl w:val="0"/>
        <w:ind w:left="644"/>
        <w:jc w:val="center"/>
        <w:rPr>
          <w:bCs/>
          <w:lang w:val="uk-UA"/>
        </w:rPr>
      </w:pPr>
      <w:r w:rsidRPr="00F7290F">
        <w:rPr>
          <w:b/>
          <w:bCs/>
          <w:lang w:val="uk-UA"/>
        </w:rPr>
        <w:t xml:space="preserve">Рівень укомплектованості штатних посад фізичними особами </w:t>
      </w:r>
      <w:r w:rsidRPr="00F7290F">
        <w:rPr>
          <w:b/>
          <w:bCs/>
          <w:lang w:val="uk-UA"/>
        </w:rPr>
        <w:br/>
        <w:t>медичних працівників в Донецькій області , (%)</w:t>
      </w:r>
    </w:p>
    <w:p w:rsidR="0097589C" w:rsidRPr="00F7290F" w:rsidRDefault="0097589C" w:rsidP="00D65D2E">
      <w:pPr>
        <w:pStyle w:val="af9"/>
        <w:keepNext/>
        <w:widowControl w:val="0"/>
        <w:ind w:firstLine="709"/>
        <w:jc w:val="both"/>
        <w:rPr>
          <w:color w:val="FF0000"/>
          <w:lang w:val="uk-UA" w:eastAsia="uk-UA"/>
        </w:rPr>
      </w:pPr>
      <w:r w:rsidRPr="00F7290F">
        <w:rPr>
          <w:noProof/>
          <w:color w:val="FF0000"/>
        </w:rPr>
        <w:drawing>
          <wp:inline distT="0" distB="0" distL="0" distR="0">
            <wp:extent cx="5071730" cy="1360967"/>
            <wp:effectExtent l="0" t="0" r="0" b="0"/>
            <wp:docPr id="3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7014B" w:rsidRPr="00F7290F" w:rsidRDefault="00F7014B" w:rsidP="00F7014B">
      <w:pPr>
        <w:keepNext/>
        <w:widowControl w:val="0"/>
        <w:ind w:firstLine="709"/>
        <w:jc w:val="both"/>
        <w:rPr>
          <w:b/>
          <w:bCs/>
          <w:lang w:val="uk-UA"/>
        </w:rPr>
      </w:pPr>
      <w:r w:rsidRPr="00F7290F">
        <w:rPr>
          <w:b/>
          <w:bCs/>
          <w:lang w:val="uk-UA"/>
        </w:rPr>
        <w:t>Критерії досягнення:</w:t>
      </w:r>
    </w:p>
    <w:p w:rsidR="00F7014B" w:rsidRPr="00F7290F" w:rsidRDefault="00F7014B" w:rsidP="00F7014B">
      <w:pPr>
        <w:keepNext/>
        <w:widowControl w:val="0"/>
        <w:ind w:firstLine="709"/>
        <w:jc w:val="both"/>
        <w:rPr>
          <w:lang w:val="uk-UA"/>
        </w:rPr>
      </w:pPr>
      <w:r w:rsidRPr="00F7290F">
        <w:rPr>
          <w:bCs/>
          <w:lang w:val="uk-UA"/>
        </w:rPr>
        <w:t>Зниження:</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загальної смертності на 1,3%, малюкової - до 10,4 на 1000 народжених живими, материнської - до 15 на 100 тис. народжених живими;</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первинної інвалідності населення на 1%;</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смертності від Ко-інфекції ТБ/ВІЛ на 5%;</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захворюваності на туберкульоз на 2%;</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захворюваності дітей на ВІЛ-інфекцію до 7 випадків (на 100 тис. населення), на СНІД до 2,2 (на 100 тис. населення);</w:t>
      </w:r>
    </w:p>
    <w:p w:rsidR="00F7014B" w:rsidRPr="00F7290F" w:rsidRDefault="00F7014B" w:rsidP="00F7014B">
      <w:pPr>
        <w:pStyle w:val="af9"/>
        <w:keepNext/>
        <w:widowControl w:val="0"/>
        <w:numPr>
          <w:ilvl w:val="0"/>
          <w:numId w:val="2"/>
        </w:numPr>
        <w:spacing w:after="0"/>
        <w:ind w:left="0" w:firstLine="357"/>
        <w:jc w:val="both"/>
        <w:rPr>
          <w:bCs/>
          <w:spacing w:val="-6"/>
          <w:lang w:val="uk-UA"/>
        </w:rPr>
      </w:pPr>
      <w:r w:rsidRPr="00F7290F">
        <w:rPr>
          <w:bCs/>
          <w:spacing w:val="-6"/>
          <w:lang w:val="uk-UA"/>
        </w:rPr>
        <w:t>смертності дітей від ВІЛ-інфекції до 2 випадків (на 100 тис. населення),  від СНІДу до 0,5             (на 100 тис. населення);</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смертності від захворювань системи кровообігу на 0,5%;</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смертності від інсультів на 0,2%;</w:t>
      </w:r>
    </w:p>
    <w:p w:rsidR="00F7014B" w:rsidRPr="00F7290F" w:rsidRDefault="00F7014B" w:rsidP="00F7014B">
      <w:pPr>
        <w:pStyle w:val="af9"/>
        <w:keepNext/>
        <w:widowControl w:val="0"/>
        <w:numPr>
          <w:ilvl w:val="0"/>
          <w:numId w:val="2"/>
        </w:numPr>
        <w:ind w:left="0" w:firstLine="357"/>
        <w:jc w:val="both"/>
        <w:rPr>
          <w:bCs/>
          <w:lang w:val="uk-UA"/>
        </w:rPr>
      </w:pPr>
      <w:r w:rsidRPr="00F7290F">
        <w:rPr>
          <w:bCs/>
          <w:lang w:val="uk-UA"/>
        </w:rPr>
        <w:t>однорічну летальність при захворюваності на злоякісні пухлини до 34,3%.</w:t>
      </w:r>
    </w:p>
    <w:p w:rsidR="00F7014B" w:rsidRDefault="00F7014B" w:rsidP="00F7014B">
      <w:pPr>
        <w:keepNext/>
        <w:widowControl w:val="0"/>
        <w:spacing w:after="120"/>
        <w:ind w:firstLine="709"/>
        <w:jc w:val="center"/>
        <w:rPr>
          <w:b/>
          <w:lang w:val="uk-UA"/>
        </w:rPr>
      </w:pPr>
      <w:r w:rsidRPr="00F7290F">
        <w:rPr>
          <w:b/>
          <w:lang w:val="uk-UA"/>
        </w:rPr>
        <w:t>Материнська та малюкова смертність, випадків</w:t>
      </w:r>
    </w:p>
    <w:p w:rsidR="000B6A58" w:rsidRPr="00F7290F" w:rsidRDefault="00301958" w:rsidP="00F7014B">
      <w:pPr>
        <w:keepNext/>
        <w:widowControl w:val="0"/>
        <w:spacing w:after="120"/>
        <w:ind w:firstLine="709"/>
        <w:jc w:val="center"/>
        <w:rPr>
          <w:b/>
          <w:lang w:val="uk-UA"/>
        </w:rPr>
      </w:pPr>
      <w:r>
        <w:rPr>
          <w:b/>
          <w:noProof/>
        </w:rPr>
        <w:drawing>
          <wp:inline distT="0" distB="0" distL="0" distR="0">
            <wp:extent cx="5495747" cy="2126512"/>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7589C" w:rsidRPr="00F7290F" w:rsidRDefault="00ED1F54" w:rsidP="00D65D2E">
      <w:pPr>
        <w:keepNext/>
        <w:widowControl w:val="0"/>
        <w:ind w:firstLine="709"/>
        <w:jc w:val="both"/>
        <w:rPr>
          <w:b/>
          <w:lang w:val="uk-UA"/>
        </w:rPr>
      </w:pPr>
      <w:r w:rsidRPr="00F7290F">
        <w:rPr>
          <w:b/>
          <w:lang w:val="uk-UA"/>
        </w:rPr>
        <w:lastRenderedPageBreak/>
        <w:t>Ресурсне забезпечення</w:t>
      </w:r>
    </w:p>
    <w:p w:rsidR="00D37878" w:rsidRPr="00F7290F" w:rsidRDefault="00D37878" w:rsidP="00D37878">
      <w:pPr>
        <w:keepNext/>
        <w:widowControl w:val="0"/>
        <w:spacing w:after="120"/>
        <w:ind w:firstLine="709"/>
        <w:jc w:val="both"/>
        <w:rPr>
          <w:lang w:val="uk-UA"/>
        </w:rPr>
      </w:pPr>
      <w:r w:rsidRPr="00D37878">
        <w:rPr>
          <w:lang w:val="uk-UA"/>
        </w:rPr>
        <w:t>На фінансування заходів планується спрямувати 390,1  млн.грн., у т.ч. державний бюджет – 199,7 млн.грн., обласний бюджет – 92,4 млн.грн., бюджети міст і районів – 97,5 млн.грн., кошти підприємств – 0,04 млн.грн.,  інші джерела – 0,5 млн.грн.</w:t>
      </w:r>
      <w:r w:rsidRPr="00F7290F">
        <w:rPr>
          <w:lang w:val="uk-UA"/>
        </w:rPr>
        <w:t xml:space="preserve">  </w:t>
      </w:r>
    </w:p>
    <w:p w:rsidR="00C8592C" w:rsidRPr="00F7290F" w:rsidRDefault="00C8592C" w:rsidP="00173755">
      <w:pPr>
        <w:keepNext/>
        <w:widowControl w:val="0"/>
        <w:tabs>
          <w:tab w:val="left" w:pos="959"/>
        </w:tabs>
        <w:spacing w:after="120"/>
        <w:jc w:val="center"/>
        <w:rPr>
          <w:b/>
          <w:bCs/>
          <w:lang w:val="uk-UA" w:eastAsia="en-US"/>
        </w:rPr>
      </w:pPr>
      <w:r w:rsidRPr="00F7290F">
        <w:rPr>
          <w:b/>
          <w:lang w:val="uk-UA"/>
        </w:rPr>
        <w:t>3.</w:t>
      </w:r>
      <w:r w:rsidR="006B6FA2" w:rsidRPr="00F7290F">
        <w:rPr>
          <w:b/>
          <w:lang w:val="uk-UA"/>
        </w:rPr>
        <w:t>7</w:t>
      </w:r>
      <w:r w:rsidRPr="00F7290F">
        <w:rPr>
          <w:b/>
          <w:lang w:val="uk-UA"/>
        </w:rPr>
        <w:t xml:space="preserve">. </w:t>
      </w:r>
      <w:hyperlink w:anchor="_Toc130175736" w:history="1">
        <w:r w:rsidRPr="00F7290F">
          <w:rPr>
            <w:rStyle w:val="af4"/>
            <w:b/>
            <w:color w:val="auto"/>
            <w:u w:val="none"/>
            <w:lang w:val="uk-UA"/>
          </w:rPr>
          <w:t>Освіта</w:t>
        </w:r>
        <w:r w:rsidRPr="00F7290F">
          <w:rPr>
            <w:b/>
            <w:webHidden/>
            <w:lang w:val="uk-UA"/>
          </w:rPr>
          <w:tab/>
        </w:r>
      </w:hyperlink>
    </w:p>
    <w:p w:rsidR="001379F7" w:rsidRPr="00F7290F" w:rsidRDefault="001379F7" w:rsidP="001379F7">
      <w:pPr>
        <w:keepNext/>
        <w:widowControl w:val="0"/>
        <w:ind w:firstLine="709"/>
        <w:jc w:val="both"/>
        <w:rPr>
          <w:b/>
          <w:bCs/>
          <w:spacing w:val="-2"/>
          <w:lang w:val="uk-UA"/>
        </w:rPr>
      </w:pPr>
      <w:r w:rsidRPr="00F7290F">
        <w:rPr>
          <w:b/>
          <w:bCs/>
          <w:spacing w:val="-2"/>
          <w:lang w:val="uk-UA"/>
        </w:rPr>
        <w:t>Актуальні проблеми:</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черга в дошкільні навчальні заклади; </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недостатній рівень якості харчування дітей та школярів;</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недостатній рівень матеріально-технічного оснащення навчальних закладів;</w:t>
      </w:r>
    </w:p>
    <w:p w:rsidR="001379F7" w:rsidRPr="00F7290F" w:rsidRDefault="001379F7" w:rsidP="001379F7">
      <w:pPr>
        <w:pStyle w:val="af9"/>
        <w:keepNext/>
        <w:widowControl w:val="0"/>
        <w:numPr>
          <w:ilvl w:val="0"/>
          <w:numId w:val="2"/>
        </w:numPr>
        <w:ind w:left="0" w:firstLine="357"/>
        <w:jc w:val="both"/>
        <w:rPr>
          <w:bCs/>
          <w:lang w:val="uk-UA"/>
        </w:rPr>
      </w:pPr>
      <w:r w:rsidRPr="00F7290F">
        <w:rPr>
          <w:bCs/>
          <w:lang w:val="uk-UA"/>
        </w:rPr>
        <w:t>наявність в підвальних приміщеннях котелень, які надають тепло закладам освіти.</w:t>
      </w:r>
    </w:p>
    <w:p w:rsidR="001379F7" w:rsidRPr="00F7290F" w:rsidRDefault="001379F7" w:rsidP="001379F7">
      <w:pPr>
        <w:keepNext/>
        <w:widowControl w:val="0"/>
        <w:ind w:firstLine="709"/>
        <w:jc w:val="both"/>
        <w:rPr>
          <w:b/>
          <w:bCs/>
          <w:spacing w:val="-2"/>
          <w:lang w:val="uk-UA"/>
        </w:rPr>
      </w:pPr>
      <w:r w:rsidRPr="00F7290F">
        <w:rPr>
          <w:b/>
          <w:bCs/>
          <w:spacing w:val="-2"/>
          <w:lang w:val="uk-UA"/>
        </w:rPr>
        <w:t>Головна мета:</w:t>
      </w:r>
    </w:p>
    <w:p w:rsidR="001379F7" w:rsidRPr="00F7290F" w:rsidRDefault="001379F7" w:rsidP="001379F7">
      <w:pPr>
        <w:keepNext/>
        <w:widowControl w:val="0"/>
        <w:spacing w:after="120"/>
        <w:ind w:firstLine="709"/>
        <w:jc w:val="both"/>
        <w:rPr>
          <w:lang w:val="uk-UA"/>
        </w:rPr>
      </w:pPr>
      <w:r w:rsidRPr="00F7290F">
        <w:rPr>
          <w:lang w:val="uk-UA"/>
        </w:rPr>
        <w:t xml:space="preserve">Сталий розвиток безперервної якісної освіти через відкритий доступ, оптимальність використання ресурсів, забезпечення комфортних умов учасникам педагогічного процесу, стійкий розвиток освітньо-виховних моделей. </w:t>
      </w:r>
    </w:p>
    <w:p w:rsidR="001379F7" w:rsidRPr="00F7290F" w:rsidRDefault="001379F7" w:rsidP="001379F7">
      <w:pPr>
        <w:pStyle w:val="23"/>
        <w:keepNext/>
        <w:widowControl w:val="0"/>
        <w:spacing w:after="0"/>
        <w:ind w:left="644" w:firstLine="0"/>
        <w:rPr>
          <w:b/>
          <w:szCs w:val="26"/>
        </w:rPr>
      </w:pPr>
      <w:r w:rsidRPr="00F7290F">
        <w:rPr>
          <w:b/>
          <w:szCs w:val="26"/>
        </w:rPr>
        <w:t>Основні напрямки та завдання розвитку:</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завершення будівництва та введення в експлуатацію </w:t>
      </w:r>
      <w:r w:rsidRPr="00F7290F">
        <w:rPr>
          <w:lang w:val="uk-UA"/>
        </w:rPr>
        <w:t xml:space="preserve">дошкільних навчальних закладів у мм. Донецьк (150 місць), Макіївка (75 місць), Першотравневому районі (108 місць), школи </w:t>
      </w:r>
      <w:r w:rsidR="00F7290F" w:rsidRPr="00F7290F">
        <w:rPr>
          <w:lang w:val="uk-UA"/>
        </w:rPr>
        <w:t>–</w:t>
      </w:r>
      <w:r w:rsidR="00F7290F">
        <w:rPr>
          <w:lang w:val="uk-UA"/>
        </w:rPr>
        <w:t xml:space="preserve"> </w:t>
      </w:r>
      <w:r w:rsidR="00F7290F" w:rsidRPr="00F7290F">
        <w:rPr>
          <w:lang w:val="uk-UA"/>
        </w:rPr>
        <w:t>дошкільного</w:t>
      </w:r>
      <w:r w:rsidRPr="00F7290F">
        <w:rPr>
          <w:lang w:val="uk-UA"/>
        </w:rPr>
        <w:t xml:space="preserve"> навчального закладу у м. Жданівка (150 місць), загальноосвітньої школи у                   м. Святогірськ (440 місць)</w:t>
      </w:r>
      <w:r w:rsidRPr="00F7290F">
        <w:rPr>
          <w:bCs/>
          <w:lang w:val="uk-UA"/>
        </w:rPr>
        <w:t>;</w:t>
      </w:r>
    </w:p>
    <w:p w:rsidR="001379F7" w:rsidRPr="00F7290F" w:rsidRDefault="001379F7" w:rsidP="001379F7">
      <w:pPr>
        <w:pStyle w:val="af9"/>
        <w:keepNext/>
        <w:widowControl w:val="0"/>
        <w:numPr>
          <w:ilvl w:val="0"/>
          <w:numId w:val="2"/>
        </w:numPr>
        <w:spacing w:after="60"/>
        <w:ind w:left="0" w:firstLine="357"/>
        <w:jc w:val="both"/>
        <w:rPr>
          <w:lang w:val="uk-UA"/>
        </w:rPr>
      </w:pPr>
      <w:r w:rsidRPr="00F7290F">
        <w:rPr>
          <w:lang w:val="uk-UA"/>
        </w:rPr>
        <w:t>відновлення роботи 3 дошкільних навчальних закладів у м. Добропілля (300 місць) та 1 у Артемівському районі (35 місць);</w:t>
      </w:r>
    </w:p>
    <w:p w:rsidR="001379F7" w:rsidRPr="00F7290F" w:rsidRDefault="001379F7" w:rsidP="001379F7">
      <w:pPr>
        <w:pStyle w:val="af9"/>
        <w:keepNext/>
        <w:widowControl w:val="0"/>
        <w:numPr>
          <w:ilvl w:val="0"/>
          <w:numId w:val="2"/>
        </w:numPr>
        <w:spacing w:after="60"/>
        <w:ind w:left="0" w:firstLine="357"/>
        <w:jc w:val="both"/>
        <w:rPr>
          <w:lang w:val="uk-UA"/>
        </w:rPr>
      </w:pPr>
      <w:r w:rsidRPr="00F7290F">
        <w:rPr>
          <w:lang w:val="uk-UA"/>
        </w:rPr>
        <w:t>відкриття на базі шкіл 2 дошкільних навчальних закладів у Артемівському та Амвросіївському районах;</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формування оптимальної мережі закладів освіти всіх типів і форм власності у відповідності з потребами населення, зміцнення їх матеріальної бази;</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постійне підвищення якості освіти, оновлення її змісту та форм організації навчально-виховного процесу, розвиток системи безперервної освіти та навчання протягом життя, пропаганда здорового способу життя; </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запровадження освітніх інновацій, інформаційних технологій, повне забезпечення навчальних закладів області сучасними засобами навчання і виховання; </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поліпшення умов утримання і навчання дітей-сиріт, дітей, позбавлених батьківського піклування, та дітей з обмеженими фізичними можливостями, розширення психологічної служби системи освіти області; </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створення умов для професійної свободи, творчого пошуку, ініціативи педагогів, прискорення суспільної апробації молодих спеціалістів;</w:t>
      </w:r>
    </w:p>
    <w:p w:rsidR="001379F7" w:rsidRPr="00F7290F" w:rsidRDefault="001379F7" w:rsidP="001379F7">
      <w:pPr>
        <w:pStyle w:val="af9"/>
        <w:keepNext/>
        <w:widowControl w:val="0"/>
        <w:numPr>
          <w:ilvl w:val="0"/>
          <w:numId w:val="2"/>
        </w:numPr>
        <w:ind w:left="0" w:firstLine="357"/>
        <w:jc w:val="both"/>
        <w:rPr>
          <w:bCs/>
          <w:lang w:val="uk-UA"/>
        </w:rPr>
      </w:pPr>
      <w:r w:rsidRPr="00F7290F">
        <w:rPr>
          <w:bCs/>
          <w:lang w:val="uk-UA"/>
        </w:rPr>
        <w:t>створення професійно та територіально орієнтованого ринку  послуг професійно-технічної та вищої освіти.</w:t>
      </w:r>
    </w:p>
    <w:p w:rsidR="001379F7" w:rsidRPr="00F7290F" w:rsidRDefault="001379F7" w:rsidP="00173755">
      <w:pPr>
        <w:keepNext/>
        <w:widowControl w:val="0"/>
        <w:ind w:firstLine="709"/>
        <w:jc w:val="both"/>
        <w:rPr>
          <w:b/>
          <w:lang w:val="uk-UA"/>
        </w:rPr>
      </w:pPr>
      <w:r w:rsidRPr="00F7290F">
        <w:rPr>
          <w:b/>
          <w:lang w:val="uk-UA"/>
        </w:rPr>
        <w:t>Критерії досягнення:</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збільшення відсотку охоплення дітей дошкільною освітою;</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 xml:space="preserve">збільшення кількості додаткових груп у дошкільних навчальних закладах на 43 одиниці; </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 xml:space="preserve">стовідсоткове підключення навчальних закладів до мережі Інтернет; </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стовідсоткове охоплення учнів старшої школи профільним навчанням;</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стовідсоткове підвезення учнів та вчителів, які цього потребують, до загальноосвітніх  шкіл у сільській місцевості;</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 xml:space="preserve">стовідсоткове охоплення дітей пільгової категорії та учнів 1-4 класів безкоштовним </w:t>
      </w:r>
      <w:r w:rsidRPr="00F7290F">
        <w:rPr>
          <w:lang w:val="uk-UA"/>
        </w:rPr>
        <w:lastRenderedPageBreak/>
        <w:t>гарячим харчуванням;</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стовідсоткове забезпечення підручниками учнів загальноосвітніх навчальних закладів;</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забезпечення належних умов для функціонування і розвитку інклюзивної освіти;</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надання матеріальної підтримки обдарованим та талановитим учням;</w:t>
      </w:r>
    </w:p>
    <w:p w:rsidR="001379F7" w:rsidRPr="00F7290F" w:rsidRDefault="001379F7" w:rsidP="001379F7">
      <w:pPr>
        <w:pStyle w:val="af9"/>
        <w:keepNext/>
        <w:widowControl w:val="0"/>
        <w:numPr>
          <w:ilvl w:val="0"/>
          <w:numId w:val="2"/>
        </w:numPr>
        <w:spacing w:after="60"/>
        <w:ind w:left="0" w:firstLine="357"/>
        <w:jc w:val="both"/>
        <w:rPr>
          <w:lang w:val="uk-UA"/>
        </w:rPr>
      </w:pPr>
      <w:r w:rsidRPr="00F7290F">
        <w:rPr>
          <w:lang w:val="uk-UA"/>
        </w:rPr>
        <w:t>оновлення матеріально-технічної бази закладів освіти.</w:t>
      </w:r>
    </w:p>
    <w:p w:rsidR="001379F7" w:rsidRPr="00F7290F" w:rsidRDefault="001379F7" w:rsidP="001379F7">
      <w:pPr>
        <w:keepNext/>
        <w:widowControl w:val="0"/>
        <w:ind w:firstLine="709"/>
        <w:jc w:val="both"/>
        <w:rPr>
          <w:b/>
          <w:color w:val="FF0000"/>
          <w:lang w:val="uk-UA"/>
        </w:rPr>
      </w:pPr>
    </w:p>
    <w:p w:rsidR="00165355" w:rsidRPr="00F7290F" w:rsidRDefault="00165355" w:rsidP="00D65D2E">
      <w:pPr>
        <w:keepNext/>
        <w:widowControl w:val="0"/>
        <w:ind w:firstLine="709"/>
        <w:jc w:val="center"/>
        <w:rPr>
          <w:b/>
          <w:lang w:val="uk-UA"/>
        </w:rPr>
      </w:pPr>
      <w:r w:rsidRPr="00F7290F">
        <w:rPr>
          <w:b/>
          <w:lang w:val="uk-UA"/>
        </w:rPr>
        <w:t>Охоплення учнів загальноосвітніх закладів профільним навчанням</w:t>
      </w:r>
    </w:p>
    <w:p w:rsidR="008C22C3" w:rsidRPr="00F7290F" w:rsidRDefault="008C22C3" w:rsidP="00D65D2E">
      <w:pPr>
        <w:keepNext/>
        <w:widowControl w:val="0"/>
        <w:ind w:firstLine="709"/>
        <w:jc w:val="both"/>
        <w:rPr>
          <w:b/>
          <w:color w:val="FF0000"/>
          <w:lang w:val="uk-UA"/>
        </w:rPr>
      </w:pPr>
      <w:r w:rsidRPr="00F7290F">
        <w:rPr>
          <w:b/>
          <w:noProof/>
          <w:color w:val="FF0000"/>
        </w:rPr>
        <w:drawing>
          <wp:inline distT="0" distB="0" distL="0" distR="0">
            <wp:extent cx="5486400" cy="1552354"/>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65355" w:rsidRPr="00F7290F" w:rsidRDefault="00ED1F54" w:rsidP="00D65D2E">
      <w:pPr>
        <w:keepNext/>
        <w:widowControl w:val="0"/>
        <w:ind w:firstLine="709"/>
        <w:jc w:val="both"/>
        <w:rPr>
          <w:b/>
          <w:lang w:val="uk-UA"/>
        </w:rPr>
      </w:pPr>
      <w:r w:rsidRPr="00F7290F">
        <w:rPr>
          <w:b/>
          <w:lang w:val="uk-UA"/>
        </w:rPr>
        <w:t>Ресурсне забезпечення</w:t>
      </w:r>
    </w:p>
    <w:p w:rsidR="00D37878" w:rsidRPr="00F7290F" w:rsidRDefault="00D37878" w:rsidP="00D37878">
      <w:pPr>
        <w:keepNext/>
        <w:widowControl w:val="0"/>
        <w:ind w:firstLine="709"/>
        <w:jc w:val="both"/>
        <w:rPr>
          <w:lang w:val="uk-UA"/>
        </w:rPr>
      </w:pPr>
      <w:r w:rsidRPr="00D37878">
        <w:rPr>
          <w:lang w:val="uk-UA"/>
        </w:rPr>
        <w:t>На фінансування заходів планується спрямувати 84,5 млн.грн., у тому числі з державного бюджету – 30,6 млн.грн., з обласного бюджету – 52,3 млн.грн., бюджети міст і районів – 1,5 млн.грн., інші джерела – 0,1 млн.грн.</w:t>
      </w:r>
      <w:r w:rsidRPr="00F7290F">
        <w:rPr>
          <w:lang w:val="uk-UA"/>
        </w:rPr>
        <w:t xml:space="preserve">  </w:t>
      </w:r>
    </w:p>
    <w:p w:rsidR="00D37878" w:rsidRPr="00F7290F" w:rsidRDefault="00D37878" w:rsidP="00D37878">
      <w:pPr>
        <w:keepNext/>
        <w:widowControl w:val="0"/>
        <w:rPr>
          <w:color w:val="FF0000"/>
          <w:lang w:val="uk-UA"/>
        </w:rPr>
      </w:pPr>
    </w:p>
    <w:p w:rsidR="00203280" w:rsidRPr="00F7290F" w:rsidRDefault="00203280" w:rsidP="00203280">
      <w:pPr>
        <w:keepNext/>
        <w:widowControl w:val="0"/>
        <w:tabs>
          <w:tab w:val="left" w:pos="959"/>
        </w:tabs>
        <w:spacing w:after="120"/>
        <w:ind w:left="108"/>
        <w:jc w:val="center"/>
        <w:rPr>
          <w:b/>
          <w:lang w:val="uk-UA"/>
        </w:rPr>
      </w:pPr>
      <w:r w:rsidRPr="00F7290F">
        <w:rPr>
          <w:b/>
          <w:lang w:val="uk-UA"/>
        </w:rPr>
        <w:t xml:space="preserve">3.8. </w:t>
      </w:r>
      <w:hyperlink r:id="rId107" w:anchor="_Toc130175740" w:history="1">
        <w:r w:rsidRPr="00F7290F">
          <w:rPr>
            <w:rStyle w:val="af4"/>
            <w:b/>
            <w:color w:val="auto"/>
            <w:u w:val="none"/>
            <w:lang w:val="uk-UA"/>
          </w:rPr>
          <w:t>Розвиток інформаційного простору</w:t>
        </w:r>
      </w:hyperlink>
    </w:p>
    <w:p w:rsidR="00203280" w:rsidRPr="00203280" w:rsidRDefault="00203280" w:rsidP="00203280">
      <w:pPr>
        <w:keepNext/>
        <w:widowControl w:val="0"/>
        <w:ind w:firstLine="567"/>
        <w:jc w:val="both"/>
        <w:rPr>
          <w:b/>
          <w:snapToGrid w:val="0"/>
          <w:lang w:val="uk-UA"/>
        </w:rPr>
      </w:pPr>
      <w:r w:rsidRPr="00203280">
        <w:rPr>
          <w:b/>
          <w:snapToGrid w:val="0"/>
          <w:lang w:val="uk-UA"/>
        </w:rPr>
        <w:t>Актуальні проблеми</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неповне охоплення населення області регіональним мовленням;</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 xml:space="preserve">скорочення мережі об’єктів роздрібної торгівлі книжковою продукцією; </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зменшення обсягів виданої літератури видавництвами області;</w:t>
      </w:r>
    </w:p>
    <w:p w:rsidR="00203280" w:rsidRPr="00203280" w:rsidRDefault="00203280" w:rsidP="00203280">
      <w:pPr>
        <w:pStyle w:val="af9"/>
        <w:keepNext/>
        <w:widowControl w:val="0"/>
        <w:numPr>
          <w:ilvl w:val="0"/>
          <w:numId w:val="2"/>
        </w:numPr>
        <w:ind w:left="0" w:firstLine="357"/>
        <w:jc w:val="both"/>
        <w:rPr>
          <w:bCs/>
          <w:lang w:val="uk-UA"/>
        </w:rPr>
      </w:pPr>
      <w:r w:rsidRPr="00203280">
        <w:rPr>
          <w:bCs/>
          <w:lang w:val="uk-UA"/>
        </w:rPr>
        <w:t>скорочення мережі проводового радіомовлення.</w:t>
      </w:r>
    </w:p>
    <w:p w:rsidR="00203280" w:rsidRPr="00203280" w:rsidRDefault="00203280" w:rsidP="00203280">
      <w:pPr>
        <w:keepNext/>
        <w:widowControl w:val="0"/>
        <w:spacing w:after="120"/>
        <w:ind w:firstLine="709"/>
        <w:jc w:val="both"/>
        <w:rPr>
          <w:lang w:val="uk-UA"/>
        </w:rPr>
      </w:pPr>
      <w:r w:rsidRPr="00203280">
        <w:rPr>
          <w:b/>
          <w:snapToGrid w:val="0"/>
          <w:lang w:val="uk-UA"/>
        </w:rPr>
        <w:t xml:space="preserve">Головна мета – </w:t>
      </w:r>
      <w:r w:rsidRPr="00203280">
        <w:rPr>
          <w:snapToGrid w:val="0"/>
          <w:lang w:val="uk-UA"/>
        </w:rPr>
        <w:t>формування високоефективної системи всебіч</w:t>
      </w:r>
      <w:r w:rsidRPr="00203280">
        <w:rPr>
          <w:snapToGrid w:val="0"/>
          <w:lang w:val="uk-UA"/>
        </w:rPr>
        <w:softHyphen/>
        <w:t>ного інформування населення області</w:t>
      </w:r>
      <w:r w:rsidRPr="00203280">
        <w:rPr>
          <w:lang w:val="uk-UA"/>
        </w:rPr>
        <w:t>, розвиток інформаційної інфраструктури області, сприяння формуванню позитивного іміджу області на державному і міжнародному рівнях.</w:t>
      </w:r>
    </w:p>
    <w:p w:rsidR="00203280" w:rsidRPr="00203280" w:rsidRDefault="00203280" w:rsidP="00203280">
      <w:pPr>
        <w:pStyle w:val="23"/>
        <w:keepNext/>
        <w:widowControl w:val="0"/>
        <w:spacing w:after="0"/>
        <w:rPr>
          <w:b/>
        </w:rPr>
      </w:pPr>
      <w:r w:rsidRPr="00203280">
        <w:rPr>
          <w:b/>
          <w:szCs w:val="26"/>
        </w:rPr>
        <w:t>Основні напрямки та завдання розвитку:</w:t>
      </w:r>
    </w:p>
    <w:p w:rsidR="00203280" w:rsidRPr="00203280" w:rsidRDefault="00203280" w:rsidP="00203280">
      <w:pPr>
        <w:pStyle w:val="af9"/>
        <w:keepNext/>
        <w:widowControl w:val="0"/>
        <w:numPr>
          <w:ilvl w:val="0"/>
          <w:numId w:val="2"/>
        </w:numPr>
        <w:tabs>
          <w:tab w:val="num" w:pos="900"/>
        </w:tabs>
        <w:spacing w:after="0"/>
        <w:ind w:left="0" w:firstLine="357"/>
        <w:jc w:val="both"/>
        <w:rPr>
          <w:bCs/>
          <w:snapToGrid w:val="0"/>
          <w:lang w:val="uk-UA"/>
        </w:rPr>
      </w:pPr>
      <w:r w:rsidRPr="00203280">
        <w:rPr>
          <w:bCs/>
          <w:snapToGrid w:val="0"/>
          <w:lang w:val="uk-UA"/>
        </w:rPr>
        <w:t>забезпечення відкритості в діяльності місцевих органів виконавчої влади та органів місцевого самоврядування, забезпечення прав громадян на отримання достовірної інформації, формування надійної системи зв’язку влади з громадськістю:</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широке висвітлення ЗМІ області ходу впровадження реформ та реалізації соціальних ініціатив, ініційованих Президентом України, Кабінетом Міністрів України, місцевою  владою, які спрямовані на поліпшення соціально-економічної ситуації в країні та регіоні;</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забезпечення прозорості при формуванні економічної та соціальної політики місцевими органами виконавчої влади та органами місцевого самоврядування;</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налагодження системи постійного забезпечення ЗМІ соціальною інформацією про діяльність облдержадміністрації, обласної ради, місцевих органів виконавчої влади та органів місцевого самоврядування;</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забезпечення відкритого опублікування статистичної інформації про явища та процеси, що відбуваються в області в економічній, соціальній, культурній та інших сферах;</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вивчення та врахування громадської думки при прийнятті рішень з важливих соціально-економічних питань з використанням можливостей ЗМІ;</w:t>
      </w:r>
    </w:p>
    <w:p w:rsidR="00203280" w:rsidRPr="00173755" w:rsidRDefault="00203280" w:rsidP="00203280">
      <w:pPr>
        <w:pStyle w:val="af9"/>
        <w:keepNext/>
        <w:widowControl w:val="0"/>
        <w:numPr>
          <w:ilvl w:val="0"/>
          <w:numId w:val="2"/>
        </w:numPr>
        <w:tabs>
          <w:tab w:val="num" w:pos="900"/>
        </w:tabs>
        <w:spacing w:after="0"/>
        <w:ind w:left="0" w:firstLine="357"/>
        <w:jc w:val="both"/>
        <w:rPr>
          <w:bCs/>
          <w:snapToGrid w:val="0"/>
          <w:spacing w:val="-8"/>
          <w:lang w:val="uk-UA"/>
        </w:rPr>
      </w:pPr>
      <w:r w:rsidRPr="00173755">
        <w:rPr>
          <w:bCs/>
          <w:snapToGrid w:val="0"/>
          <w:spacing w:val="-8"/>
          <w:lang w:val="uk-UA"/>
        </w:rPr>
        <w:t>формування високоефективної системи всебічного інформування населення області з економічних та соціальних питань, подальшого розвитку інформаційної інфраструктури області:</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lastRenderedPageBreak/>
        <w:t>забезпечення висвітлення заходів з реалізації Програми економічного і соціального розвитку області;</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бюджетна підтримка обласних видань, основним напрямком редакційної політики яких є висвітлення діяльності облдержадміністрації, обласної ради, спрямованої на вирішення соціально-економічних проблем регіону;</w:t>
      </w:r>
    </w:p>
    <w:p w:rsidR="00203280" w:rsidRPr="00203280" w:rsidRDefault="00203280" w:rsidP="00203280">
      <w:pPr>
        <w:pStyle w:val="af9"/>
        <w:keepNext/>
        <w:widowControl w:val="0"/>
        <w:numPr>
          <w:ilvl w:val="0"/>
          <w:numId w:val="2"/>
        </w:numPr>
        <w:tabs>
          <w:tab w:val="num" w:pos="900"/>
        </w:tabs>
        <w:spacing w:after="0"/>
        <w:ind w:left="0" w:firstLine="357"/>
        <w:jc w:val="both"/>
        <w:rPr>
          <w:bCs/>
          <w:snapToGrid w:val="0"/>
          <w:lang w:val="uk-UA"/>
        </w:rPr>
      </w:pPr>
      <w:r w:rsidRPr="00203280">
        <w:rPr>
          <w:bCs/>
          <w:snapToGrid w:val="0"/>
          <w:lang w:val="uk-UA"/>
        </w:rPr>
        <w:t>забезпечення реалізації заходів Державної цільової програми формування позитивного міжнародного іміджу України:</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 xml:space="preserve">підготовка та презентація експозиції Донецької області на найбільш потужних міжнародних книжкових виставках; </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організація інформаційного обміну з журналістами українських регіональних та закордонних ЗМІ, проведення прес-турів для представників ЗМІ;</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виготовлення іміджевої та довідкової друкованої продукції про Донецьку область, в тому числі іноземними мовами;</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виготовлення промо-роликів про Донецьку область;</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 xml:space="preserve">розповсюдження серед закордонних журналістів промо-матеріалів;  </w:t>
      </w:r>
    </w:p>
    <w:p w:rsidR="00203280" w:rsidRPr="00203280" w:rsidRDefault="00203280" w:rsidP="00203280">
      <w:pPr>
        <w:pStyle w:val="af9"/>
        <w:keepNext/>
        <w:widowControl w:val="0"/>
        <w:numPr>
          <w:ilvl w:val="0"/>
          <w:numId w:val="2"/>
        </w:numPr>
        <w:tabs>
          <w:tab w:val="num" w:pos="900"/>
        </w:tabs>
        <w:spacing w:after="0"/>
        <w:ind w:left="0" w:firstLine="357"/>
        <w:jc w:val="both"/>
        <w:rPr>
          <w:bCs/>
          <w:snapToGrid w:val="0"/>
          <w:lang w:val="uk-UA"/>
        </w:rPr>
      </w:pPr>
      <w:r w:rsidRPr="00203280">
        <w:rPr>
          <w:bCs/>
          <w:snapToGrid w:val="0"/>
          <w:lang w:val="uk-UA"/>
        </w:rPr>
        <w:t>забезпечення потреб підприємств, організацій і населення області у високоякісній видавничій продукції:</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надання бюджетної підтримки виданню соціально-важливої, іміджевої продукції, творів місцевих авторів;</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проведення регіональних виставкових заходів з поліграфії та книговидання, сприяння участі суб’єктів видавничої справи області у міжнародних та всеукраїнських виставкових заходах;</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організація і проведення щорічного регіонального фестивалю «Преса і книга Донеччини», в рамках якого передбачається проведення конкурсів «Преса Донбасу», «Книга Донбасу», «Поліграфічна якість»;</w:t>
      </w:r>
    </w:p>
    <w:p w:rsidR="00203280" w:rsidRPr="00203280" w:rsidRDefault="00203280" w:rsidP="00203280">
      <w:pPr>
        <w:pStyle w:val="af9"/>
        <w:keepNext/>
        <w:widowControl w:val="0"/>
        <w:numPr>
          <w:ilvl w:val="0"/>
          <w:numId w:val="2"/>
        </w:numPr>
        <w:tabs>
          <w:tab w:val="num" w:pos="900"/>
        </w:tabs>
        <w:ind w:left="0" w:firstLine="357"/>
        <w:jc w:val="both"/>
        <w:rPr>
          <w:bCs/>
          <w:snapToGrid w:val="0"/>
          <w:lang w:val="uk-UA"/>
        </w:rPr>
      </w:pPr>
      <w:r w:rsidRPr="00203280">
        <w:rPr>
          <w:bCs/>
          <w:snapToGrid w:val="0"/>
          <w:lang w:val="uk-UA"/>
        </w:rPr>
        <w:t xml:space="preserve">проведення ефективної кадрової політики. </w:t>
      </w:r>
    </w:p>
    <w:p w:rsidR="00203280" w:rsidRPr="00203280" w:rsidRDefault="00203280" w:rsidP="00203280">
      <w:pPr>
        <w:keepNext/>
        <w:widowControl w:val="0"/>
        <w:ind w:firstLine="720"/>
        <w:jc w:val="both"/>
        <w:rPr>
          <w:b/>
          <w:snapToGrid w:val="0"/>
          <w:lang w:val="uk-UA"/>
        </w:rPr>
      </w:pPr>
      <w:r w:rsidRPr="00203280">
        <w:rPr>
          <w:b/>
          <w:snapToGrid w:val="0"/>
          <w:lang w:val="uk-UA"/>
        </w:rPr>
        <w:t>Критерії досягнення:</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підвищення рівня поінформованості громадян про діяльність органів влади місцевого рівня, стан соціально-економічного розвитку регіону, події, що відбуваються на території області тощо;</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підвищення рівня обізнаності міжнародної громадськості про Донецьку область;</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розширення охоплення населення області регіональним мовленням;</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збереження мережі проводового радіомовлення;</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розвиток обласних комунальних видань;</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збільшення випуску книжкових видань;</w:t>
      </w:r>
    </w:p>
    <w:p w:rsidR="00203280" w:rsidRPr="00203280" w:rsidRDefault="00203280" w:rsidP="00203280">
      <w:pPr>
        <w:pStyle w:val="af9"/>
        <w:keepNext/>
        <w:widowControl w:val="0"/>
        <w:numPr>
          <w:ilvl w:val="0"/>
          <w:numId w:val="2"/>
        </w:numPr>
        <w:ind w:left="0" w:firstLine="357"/>
        <w:jc w:val="both"/>
        <w:rPr>
          <w:lang w:val="uk-UA"/>
        </w:rPr>
      </w:pPr>
      <w:r w:rsidRPr="00203280">
        <w:rPr>
          <w:bCs/>
          <w:lang w:val="uk-UA"/>
        </w:rPr>
        <w:t>забезпечення потреб підприємств, організацій і населення області у високоякісній видавничій продукції</w:t>
      </w:r>
      <w:r w:rsidRPr="00203280">
        <w:rPr>
          <w:snapToGrid w:val="0"/>
          <w:lang w:val="uk-UA"/>
        </w:rPr>
        <w:t xml:space="preserve">. </w:t>
      </w:r>
    </w:p>
    <w:p w:rsidR="00203280" w:rsidRPr="00203280" w:rsidRDefault="00203280" w:rsidP="00203280">
      <w:pPr>
        <w:keepNext/>
        <w:widowControl w:val="0"/>
        <w:ind w:firstLine="720"/>
        <w:jc w:val="both"/>
        <w:rPr>
          <w:b/>
          <w:color w:val="000000"/>
          <w:lang w:val="uk-UA"/>
        </w:rPr>
      </w:pPr>
      <w:r w:rsidRPr="00203280">
        <w:rPr>
          <w:b/>
          <w:color w:val="000000"/>
          <w:lang w:val="uk-UA"/>
        </w:rPr>
        <w:t>Ресурсне забезпечення</w:t>
      </w:r>
    </w:p>
    <w:p w:rsidR="00203280" w:rsidRPr="000B6A58" w:rsidRDefault="00203280" w:rsidP="00203280">
      <w:pPr>
        <w:keepNext/>
        <w:widowControl w:val="0"/>
        <w:spacing w:after="120"/>
        <w:ind w:firstLine="720"/>
        <w:jc w:val="both"/>
        <w:rPr>
          <w:color w:val="000000"/>
          <w:lang w:val="uk-UA"/>
        </w:rPr>
      </w:pPr>
      <w:r w:rsidRPr="00203280">
        <w:rPr>
          <w:color w:val="000000"/>
          <w:lang w:val="uk-UA"/>
        </w:rPr>
        <w:t xml:space="preserve">На фінансування заходів щодо розвитку інформаційного простору всього передбачено </w:t>
      </w:r>
      <w:r w:rsidR="005479D8">
        <w:rPr>
          <w:color w:val="000000"/>
          <w:lang w:val="uk-UA"/>
        </w:rPr>
        <w:t>7,1</w:t>
      </w:r>
      <w:r w:rsidRPr="00203280">
        <w:rPr>
          <w:color w:val="000000"/>
          <w:lang w:val="uk-UA"/>
        </w:rPr>
        <w:t xml:space="preserve"> млн.грн., у тому числі за рахунок коштів обласного бюджету </w:t>
      </w:r>
      <w:r w:rsidR="005479D8">
        <w:rPr>
          <w:color w:val="000000"/>
          <w:lang w:val="uk-UA"/>
        </w:rPr>
        <w:t>5,1</w:t>
      </w:r>
      <w:r w:rsidRPr="00203280">
        <w:rPr>
          <w:color w:val="000000"/>
          <w:lang w:val="uk-UA"/>
        </w:rPr>
        <w:t xml:space="preserve"> млн.грн., бюджетів міст і районів – 2,0 млн.грн.</w:t>
      </w:r>
      <w:r w:rsidRPr="000B6A58">
        <w:rPr>
          <w:color w:val="000000"/>
          <w:lang w:val="uk-UA"/>
        </w:rPr>
        <w:t xml:space="preserve"> </w:t>
      </w:r>
    </w:p>
    <w:p w:rsidR="00443142" w:rsidRPr="00F7290F" w:rsidRDefault="00443142" w:rsidP="00D65D2E">
      <w:pPr>
        <w:keepNext/>
        <w:widowControl w:val="0"/>
        <w:jc w:val="center"/>
        <w:rPr>
          <w:b/>
          <w:lang w:val="uk-UA"/>
        </w:rPr>
      </w:pPr>
      <w:r w:rsidRPr="00F7290F">
        <w:rPr>
          <w:b/>
          <w:lang w:val="uk-UA"/>
        </w:rPr>
        <w:t>3.</w:t>
      </w:r>
      <w:r w:rsidR="006B6FA2" w:rsidRPr="00F7290F">
        <w:rPr>
          <w:b/>
          <w:lang w:val="uk-UA"/>
        </w:rPr>
        <w:t>9</w:t>
      </w:r>
      <w:r w:rsidRPr="00F7290F">
        <w:rPr>
          <w:b/>
          <w:lang w:val="uk-UA"/>
        </w:rPr>
        <w:t>.</w:t>
      </w:r>
      <w:r w:rsidR="007F0789" w:rsidRPr="00F7290F">
        <w:rPr>
          <w:b/>
          <w:lang w:val="uk-UA"/>
        </w:rPr>
        <w:t xml:space="preserve"> </w:t>
      </w:r>
      <w:r w:rsidRPr="00F7290F">
        <w:rPr>
          <w:rStyle w:val="af4"/>
          <w:b/>
          <w:color w:val="auto"/>
          <w:u w:val="none"/>
          <w:lang w:val="uk-UA"/>
        </w:rPr>
        <w:t>Підтримка сім'ї, дітей та молоді</w:t>
      </w:r>
    </w:p>
    <w:p w:rsidR="002932B0" w:rsidRPr="00F7290F" w:rsidRDefault="002932B0" w:rsidP="002932B0">
      <w:pPr>
        <w:keepNext/>
        <w:widowControl w:val="0"/>
        <w:tabs>
          <w:tab w:val="left" w:pos="959"/>
        </w:tabs>
        <w:spacing w:after="120"/>
        <w:ind w:left="108"/>
        <w:jc w:val="center"/>
        <w:rPr>
          <w:b/>
          <w:bCs/>
          <w:lang w:val="uk-UA" w:eastAsia="en-US"/>
        </w:rPr>
      </w:pPr>
      <w:r w:rsidRPr="00F7290F">
        <w:rPr>
          <w:b/>
          <w:lang w:val="uk-UA"/>
        </w:rPr>
        <w:t>Захист прав дітей-сиріт та дітей, позбавлених батьківського піклування</w:t>
      </w:r>
    </w:p>
    <w:p w:rsidR="002932B0" w:rsidRPr="00F7290F" w:rsidRDefault="002932B0" w:rsidP="002932B0">
      <w:pPr>
        <w:keepNext/>
        <w:widowControl w:val="0"/>
        <w:rPr>
          <w:b/>
          <w:i/>
          <w:lang w:val="uk-UA"/>
        </w:rPr>
      </w:pPr>
      <w:r w:rsidRPr="00F7290F">
        <w:rPr>
          <w:rStyle w:val="af4"/>
          <w:b/>
          <w:i/>
          <w:color w:val="auto"/>
          <w:u w:val="none"/>
          <w:lang w:val="uk-UA"/>
        </w:rPr>
        <w:t>Підтримка сім'ї, дітей та молоді</w:t>
      </w:r>
    </w:p>
    <w:p w:rsidR="002932B0" w:rsidRPr="00F7290F" w:rsidRDefault="002932B0" w:rsidP="002932B0">
      <w:pPr>
        <w:keepNext/>
        <w:widowControl w:val="0"/>
        <w:ind w:firstLine="709"/>
        <w:jc w:val="both"/>
        <w:rPr>
          <w:b/>
          <w:lang w:val="uk-UA"/>
        </w:rPr>
      </w:pPr>
      <w:r w:rsidRPr="00F7290F">
        <w:rPr>
          <w:b/>
          <w:lang w:val="uk-UA"/>
        </w:rPr>
        <w:t>Актуальні проблеми:</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погіршення здоров’я дітей та молоді;</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житлом молоді;</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працевлаштування молоді;</w:t>
      </w:r>
    </w:p>
    <w:p w:rsidR="002932B0" w:rsidRPr="00F7290F" w:rsidRDefault="002932B0" w:rsidP="002932B0">
      <w:pPr>
        <w:pStyle w:val="af9"/>
        <w:keepNext/>
        <w:widowControl w:val="0"/>
        <w:numPr>
          <w:ilvl w:val="0"/>
          <w:numId w:val="2"/>
        </w:numPr>
        <w:spacing w:after="0"/>
        <w:ind w:left="0" w:firstLine="357"/>
        <w:jc w:val="both"/>
        <w:rPr>
          <w:lang w:val="uk-UA"/>
        </w:rPr>
      </w:pPr>
      <w:r w:rsidRPr="00F7290F">
        <w:rPr>
          <w:bCs/>
          <w:lang w:val="uk-UA"/>
        </w:rPr>
        <w:t>відсутність інформаційних технологій  в роботі з різними категоріями сімей</w:t>
      </w:r>
      <w:r w:rsidRPr="00F7290F">
        <w:rPr>
          <w:lang w:val="uk-UA"/>
        </w:rPr>
        <w:t>;</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lastRenderedPageBreak/>
        <w:t>несвоєчасне виявлення дітей  та сімей, які опинилися в  складних життєвих обставинах та надання їм комплексної допомоги;</w:t>
      </w:r>
    </w:p>
    <w:p w:rsidR="002932B0" w:rsidRPr="00F7290F" w:rsidRDefault="002932B0" w:rsidP="002932B0">
      <w:pPr>
        <w:pStyle w:val="af9"/>
        <w:keepNext/>
        <w:widowControl w:val="0"/>
        <w:numPr>
          <w:ilvl w:val="0"/>
          <w:numId w:val="2"/>
        </w:numPr>
        <w:ind w:left="0" w:firstLine="357"/>
        <w:jc w:val="both"/>
        <w:rPr>
          <w:lang w:val="uk-UA"/>
        </w:rPr>
      </w:pPr>
      <w:r w:rsidRPr="00F7290F">
        <w:rPr>
          <w:lang w:val="uk-UA"/>
        </w:rPr>
        <w:t>наявність непрацюючих тривалий час дитячих заміських закладів оздоровлення та відпочинку.</w:t>
      </w:r>
    </w:p>
    <w:p w:rsidR="002932B0" w:rsidRPr="00F7290F" w:rsidRDefault="002932B0" w:rsidP="002932B0">
      <w:pPr>
        <w:keepNext/>
        <w:widowControl w:val="0"/>
        <w:spacing w:after="120"/>
        <w:ind w:firstLine="709"/>
        <w:jc w:val="both"/>
        <w:rPr>
          <w:lang w:val="uk-UA"/>
        </w:rPr>
      </w:pPr>
      <w:r w:rsidRPr="00F7290F">
        <w:rPr>
          <w:b/>
          <w:lang w:val="uk-UA"/>
        </w:rPr>
        <w:t>Головна мета - з</w:t>
      </w:r>
      <w:r w:rsidRPr="00F7290F">
        <w:rPr>
          <w:lang w:val="uk-UA"/>
        </w:rPr>
        <w:t>абезпечення якісних умов для життя і соціального становлення молоді, сімей, дітей регіону, як базового інституту формування і розвитку людського ресурсу; активізація їх участі у соціально-економічному, культурному, громадському житті регіону.</w:t>
      </w:r>
    </w:p>
    <w:p w:rsidR="002932B0" w:rsidRPr="00F7290F" w:rsidRDefault="002932B0" w:rsidP="002932B0">
      <w:pPr>
        <w:keepNext/>
        <w:widowControl w:val="0"/>
        <w:ind w:firstLine="709"/>
        <w:jc w:val="both"/>
        <w:rPr>
          <w:b/>
          <w:lang w:val="uk-UA"/>
        </w:rPr>
      </w:pPr>
      <w:r w:rsidRPr="00F7290F">
        <w:rPr>
          <w:b/>
          <w:lang w:val="uk-UA"/>
        </w:rPr>
        <w:t>Основні завдання:</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поліпшення житлових умов молодих сімей та одиноких молодих громадян;</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умов для підвищення громадської активності молоді та реалізації молодіжних ініціатив;</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започаткування інноваційної форми роботи з молоддю щодо ведення здорового способу життя та сприяння вторинній зайнятості  на ринку праці;</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створення  мережі соціальних закладів для молоді та різних категорій сімей;</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впровадження  соціальних стандартів якості надання соціальних послуг;</w:t>
      </w:r>
    </w:p>
    <w:p w:rsidR="002932B0" w:rsidRPr="00F7290F" w:rsidRDefault="002932B0" w:rsidP="002932B0">
      <w:pPr>
        <w:pStyle w:val="af9"/>
        <w:keepNext/>
        <w:widowControl w:val="0"/>
        <w:numPr>
          <w:ilvl w:val="0"/>
          <w:numId w:val="2"/>
        </w:numPr>
        <w:ind w:left="0" w:firstLine="357"/>
        <w:jc w:val="both"/>
        <w:rPr>
          <w:lang w:val="uk-UA"/>
        </w:rPr>
      </w:pPr>
      <w:r w:rsidRPr="00F7290F">
        <w:rPr>
          <w:bCs/>
          <w:lang w:val="uk-UA"/>
        </w:rPr>
        <w:t>реалізація передових методів соціальної роботи з сім’ями, які опинилися в складних життєвих обставинах та особами</w:t>
      </w:r>
      <w:r w:rsidRPr="00F7290F">
        <w:rPr>
          <w:lang w:val="uk-UA"/>
        </w:rPr>
        <w:t>,  які постраждали від насильства в сім’ї та торгівлі людьми.</w:t>
      </w:r>
    </w:p>
    <w:p w:rsidR="002932B0" w:rsidRPr="00F7290F" w:rsidRDefault="002932B0" w:rsidP="002932B0">
      <w:pPr>
        <w:pStyle w:val="affc"/>
        <w:keepNext/>
        <w:widowControl w:val="0"/>
        <w:snapToGrid/>
        <w:spacing w:before="0" w:after="0"/>
        <w:ind w:left="0" w:right="0" w:firstLine="709"/>
        <w:jc w:val="both"/>
        <w:rPr>
          <w:b/>
          <w:szCs w:val="24"/>
          <w:lang w:val="uk-UA"/>
        </w:rPr>
      </w:pPr>
      <w:r w:rsidRPr="00F7290F">
        <w:rPr>
          <w:b/>
          <w:szCs w:val="24"/>
          <w:lang w:val="uk-UA"/>
        </w:rPr>
        <w:t>Критерії досягнення</w:t>
      </w:r>
    </w:p>
    <w:p w:rsidR="002932B0" w:rsidRPr="00F7290F" w:rsidRDefault="002932B0" w:rsidP="002932B0">
      <w:pPr>
        <w:keepNext/>
        <w:widowControl w:val="0"/>
        <w:spacing w:after="120"/>
        <w:ind w:firstLine="709"/>
        <w:jc w:val="both"/>
        <w:rPr>
          <w:lang w:val="uk-UA"/>
        </w:rPr>
      </w:pPr>
      <w:r w:rsidRPr="00F7290F">
        <w:rPr>
          <w:lang w:val="uk-UA"/>
        </w:rPr>
        <w:t>Збільшення закладів відпочинку (з денним перебуванням, праці та відпочинку) та кількості дітей шкільного віку, якім надаються послуги відпочинку.</w:t>
      </w:r>
    </w:p>
    <w:p w:rsidR="00DD60D7" w:rsidRPr="00F7290F" w:rsidRDefault="00DD60D7" w:rsidP="00D65D2E">
      <w:pPr>
        <w:keepNext/>
        <w:widowControl w:val="0"/>
        <w:autoSpaceDE w:val="0"/>
        <w:autoSpaceDN w:val="0"/>
        <w:adjustRightInd w:val="0"/>
        <w:jc w:val="center"/>
        <w:rPr>
          <w:b/>
          <w:bCs/>
          <w:lang w:val="uk-UA"/>
        </w:rPr>
      </w:pPr>
      <w:r w:rsidRPr="00F7290F">
        <w:rPr>
          <w:b/>
          <w:bCs/>
          <w:lang w:val="uk-UA"/>
        </w:rPr>
        <w:t xml:space="preserve">Кількість </w:t>
      </w:r>
      <w:r w:rsidR="00C75E3E" w:rsidRPr="00F7290F">
        <w:rPr>
          <w:b/>
          <w:bCs/>
          <w:lang w:val="uk-UA"/>
        </w:rPr>
        <w:t>дитячих оздоровчих таборів</w:t>
      </w:r>
    </w:p>
    <w:p w:rsidR="00DD60D7" w:rsidRPr="00F7290F" w:rsidRDefault="00DD60D7" w:rsidP="00D65D2E">
      <w:pPr>
        <w:keepNext/>
        <w:widowControl w:val="0"/>
        <w:autoSpaceDE w:val="0"/>
        <w:autoSpaceDN w:val="0"/>
        <w:adjustRightInd w:val="0"/>
        <w:jc w:val="center"/>
        <w:rPr>
          <w:b/>
          <w:bCs/>
          <w:color w:val="FF0000"/>
          <w:lang w:val="uk-UA"/>
        </w:rPr>
      </w:pPr>
      <w:r w:rsidRPr="00F7290F">
        <w:rPr>
          <w:b/>
          <w:bCs/>
          <w:noProof/>
          <w:color w:val="FF0000"/>
        </w:rPr>
        <w:drawing>
          <wp:inline distT="0" distB="0" distL="0" distR="0">
            <wp:extent cx="6177517" cy="2073349"/>
            <wp:effectExtent l="0" t="0" r="0" b="0"/>
            <wp:docPr id="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932B0" w:rsidRPr="00F7290F" w:rsidRDefault="002932B0" w:rsidP="002932B0">
      <w:pPr>
        <w:keepNext/>
        <w:widowControl w:val="0"/>
        <w:spacing w:after="120"/>
        <w:ind w:firstLine="709"/>
        <w:jc w:val="both"/>
        <w:rPr>
          <w:i/>
          <w:lang w:val="uk-UA"/>
        </w:rPr>
      </w:pPr>
      <w:r w:rsidRPr="00F7290F">
        <w:rPr>
          <w:b/>
          <w:i/>
          <w:lang w:val="uk-UA"/>
        </w:rPr>
        <w:t>Захист прав дітей-сиріт та дітей, позбавлених батьківського піклування</w:t>
      </w:r>
    </w:p>
    <w:p w:rsidR="002932B0" w:rsidRPr="00F7290F" w:rsidRDefault="002932B0" w:rsidP="002932B0">
      <w:pPr>
        <w:keepNext/>
        <w:widowControl w:val="0"/>
        <w:ind w:firstLine="709"/>
        <w:jc w:val="both"/>
        <w:rPr>
          <w:b/>
          <w:lang w:val="uk-UA"/>
        </w:rPr>
      </w:pPr>
      <w:r w:rsidRPr="00F7290F">
        <w:rPr>
          <w:b/>
          <w:lang w:val="uk-UA"/>
        </w:rPr>
        <w:t>Актуальні проблеми:</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житлом дітей-сиріт та дітей, позбавлених батьківського піклування;</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збереження кадрового потенціалу та укомплектування служб у справах дітей відповідно до чинного законодавства;</w:t>
      </w:r>
    </w:p>
    <w:p w:rsidR="002932B0" w:rsidRPr="00F7290F" w:rsidRDefault="002932B0" w:rsidP="002932B0">
      <w:pPr>
        <w:pStyle w:val="af9"/>
        <w:keepNext/>
        <w:widowControl w:val="0"/>
        <w:numPr>
          <w:ilvl w:val="0"/>
          <w:numId w:val="2"/>
        </w:numPr>
        <w:spacing w:after="0"/>
        <w:ind w:left="0" w:firstLine="357"/>
        <w:jc w:val="both"/>
        <w:rPr>
          <w:lang w:val="uk-UA"/>
        </w:rPr>
      </w:pPr>
      <w:r w:rsidRPr="00F7290F">
        <w:rPr>
          <w:bCs/>
          <w:lang w:val="uk-UA"/>
        </w:rPr>
        <w:t>незадовільний стан матеріально-технічної бази служб у справах дітей</w:t>
      </w:r>
      <w:r w:rsidRPr="00F7290F">
        <w:rPr>
          <w:lang w:val="uk-UA"/>
        </w:rPr>
        <w:t>.</w:t>
      </w:r>
    </w:p>
    <w:p w:rsidR="002932B0" w:rsidRPr="00F7290F" w:rsidRDefault="002932B0" w:rsidP="002932B0">
      <w:pPr>
        <w:keepNext/>
        <w:widowControl w:val="0"/>
        <w:spacing w:before="120" w:after="120"/>
        <w:ind w:firstLine="709"/>
        <w:jc w:val="both"/>
        <w:rPr>
          <w:lang w:val="uk-UA"/>
        </w:rPr>
      </w:pPr>
      <w:r w:rsidRPr="00F7290F">
        <w:rPr>
          <w:b/>
          <w:lang w:val="uk-UA"/>
        </w:rPr>
        <w:t xml:space="preserve">Головна мета - </w:t>
      </w:r>
      <w:r w:rsidRPr="00F7290F">
        <w:rPr>
          <w:lang w:val="uk-UA"/>
        </w:rPr>
        <w:t xml:space="preserve">соціальний захист дітей, які опинились у складних життєвих обставинах, поліпшення умов утримання та виховання дітей - сиріт та дітей, позбавлених батьківського піклування, забезпечення права дитини на виховання в сім’ї. </w:t>
      </w:r>
    </w:p>
    <w:p w:rsidR="002932B0" w:rsidRPr="00F7290F" w:rsidRDefault="002932B0" w:rsidP="002932B0">
      <w:pPr>
        <w:keepNext/>
        <w:widowControl w:val="0"/>
        <w:ind w:firstLine="709"/>
        <w:jc w:val="both"/>
        <w:rPr>
          <w:b/>
          <w:lang w:val="uk-UA"/>
        </w:rPr>
      </w:pPr>
      <w:r w:rsidRPr="00F7290F">
        <w:rPr>
          <w:b/>
          <w:lang w:val="uk-UA"/>
        </w:rPr>
        <w:t>Основні завдання:</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своєчасного виявлення дітей, які опинились в скрутних життєвих умовах;</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підтримка та збереження біологічної сім’ї дитини, яка опинилась у скрутних життєвих обставинах;</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lastRenderedPageBreak/>
        <w:t>забезпечення функціонування оптимальної мережі закладів соціального захисту дітей (притулків для дітей та центрів соціально-психологічної реабілітації дітей);</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своєчасного виявлення, влаштування та надання правового статусу дітям сиротам та дітям, позбавленим батьківського піклування;</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ведення електронного банку даних дітей-сиріт;</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пропаганда пріоритетності національного усиновлення дітей;</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влаштування дітей до прийомних сімей, дитячих будинків сімейного типу, під опіку громадян та контроль за умовами</w:t>
      </w:r>
      <w:r w:rsidRPr="00F7290F">
        <w:rPr>
          <w:lang w:val="uk-UA"/>
        </w:rPr>
        <w:t xml:space="preserve"> утримання. </w:t>
      </w:r>
    </w:p>
    <w:p w:rsidR="002932B0" w:rsidRPr="00F7290F" w:rsidRDefault="002932B0" w:rsidP="002932B0">
      <w:pPr>
        <w:pStyle w:val="affc"/>
        <w:keepNext/>
        <w:widowControl w:val="0"/>
        <w:spacing w:before="120" w:after="0"/>
        <w:ind w:left="0" w:right="0" w:firstLine="709"/>
        <w:jc w:val="both"/>
        <w:rPr>
          <w:b/>
          <w:szCs w:val="24"/>
          <w:lang w:val="uk-UA"/>
        </w:rPr>
      </w:pPr>
      <w:r w:rsidRPr="00F7290F">
        <w:rPr>
          <w:b/>
          <w:szCs w:val="24"/>
          <w:lang w:val="uk-UA"/>
        </w:rPr>
        <w:t>Критерії досягнення:</w:t>
      </w:r>
    </w:p>
    <w:p w:rsidR="002932B0" w:rsidRPr="00F7290F" w:rsidRDefault="002932B0" w:rsidP="002932B0">
      <w:pPr>
        <w:keepNext/>
        <w:widowControl w:val="0"/>
        <w:spacing w:after="120"/>
        <w:ind w:firstLine="709"/>
        <w:jc w:val="both"/>
        <w:rPr>
          <w:spacing w:val="-4"/>
          <w:lang w:val="uk-UA"/>
        </w:rPr>
      </w:pPr>
      <w:r w:rsidRPr="00F7290F">
        <w:rPr>
          <w:spacing w:val="-4"/>
          <w:lang w:val="uk-UA"/>
        </w:rPr>
        <w:t>зменшення кількості бездоглядних дітей на 3%, дітей-сиріт і дітей, позбавлених батьківського піклування, – на 4%.</w:t>
      </w:r>
    </w:p>
    <w:p w:rsidR="00443142" w:rsidRPr="00F7290F" w:rsidRDefault="00443142" w:rsidP="00D65D2E">
      <w:pPr>
        <w:keepNext/>
        <w:widowControl w:val="0"/>
        <w:spacing w:after="120"/>
        <w:ind w:firstLine="709"/>
        <w:jc w:val="both"/>
        <w:rPr>
          <w:color w:val="FF0000"/>
          <w:lang w:val="uk-UA"/>
        </w:rPr>
      </w:pPr>
      <w:r w:rsidRPr="00F7290F">
        <w:rPr>
          <w:b/>
          <w:noProof/>
          <w:color w:val="FF0000"/>
        </w:rPr>
        <w:drawing>
          <wp:inline distT="0" distB="0" distL="0" distR="0">
            <wp:extent cx="5810250" cy="1228725"/>
            <wp:effectExtent l="0" t="0" r="0" b="0"/>
            <wp:docPr id="66"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43142" w:rsidRPr="00F7290F" w:rsidRDefault="00443142" w:rsidP="00D65D2E">
      <w:pPr>
        <w:keepNext/>
        <w:widowControl w:val="0"/>
        <w:ind w:firstLine="709"/>
        <w:jc w:val="both"/>
        <w:rPr>
          <w:b/>
          <w:lang w:val="uk-UA"/>
        </w:rPr>
      </w:pPr>
      <w:r w:rsidRPr="00F7290F">
        <w:rPr>
          <w:b/>
          <w:lang w:val="uk-UA"/>
        </w:rPr>
        <w:t>Ресурсне забезпечення</w:t>
      </w:r>
    </w:p>
    <w:p w:rsidR="00A37D1F" w:rsidRPr="00F7290F" w:rsidRDefault="00A37D1F" w:rsidP="00A37D1F">
      <w:pPr>
        <w:keepNext/>
        <w:widowControl w:val="0"/>
        <w:spacing w:after="120"/>
        <w:ind w:firstLine="709"/>
        <w:jc w:val="both"/>
        <w:rPr>
          <w:lang w:val="uk-UA"/>
        </w:rPr>
      </w:pPr>
      <w:r w:rsidRPr="00A37D1F">
        <w:rPr>
          <w:rStyle w:val="NormalWebChar"/>
          <w:lang w:val="uk-UA"/>
        </w:rPr>
        <w:t xml:space="preserve">На фінансування заходів передбачається спрямувати асигнування </w:t>
      </w:r>
      <w:r w:rsidRPr="00A37D1F">
        <w:rPr>
          <w:lang w:val="uk-UA"/>
        </w:rPr>
        <w:t xml:space="preserve">в обсязі </w:t>
      </w:r>
      <w:r w:rsidR="00CD4824">
        <w:rPr>
          <w:lang w:val="uk-UA"/>
        </w:rPr>
        <w:t xml:space="preserve">                        </w:t>
      </w:r>
      <w:r w:rsidRPr="00A37D1F">
        <w:rPr>
          <w:lang w:val="uk-UA"/>
        </w:rPr>
        <w:t>47,7  млн.грн., в тому числі: з державного бюджету - 32,6 млн.грн., з обласного бюджету – 12,5 млн.грн., бюджетів міст та районів – 2,6 млн.грн.</w:t>
      </w:r>
      <w:r w:rsidRPr="00F7290F">
        <w:rPr>
          <w:lang w:val="uk-UA"/>
        </w:rPr>
        <w:t xml:space="preserve"> </w:t>
      </w:r>
    </w:p>
    <w:p w:rsidR="009500FD" w:rsidRPr="00F7290F" w:rsidRDefault="009500FD" w:rsidP="00D65D2E">
      <w:pPr>
        <w:keepNext/>
        <w:widowControl w:val="0"/>
        <w:spacing w:after="120"/>
        <w:ind w:firstLine="709"/>
        <w:jc w:val="center"/>
        <w:rPr>
          <w:b/>
          <w:bCs/>
          <w:lang w:val="uk-UA" w:eastAsia="en-US"/>
        </w:rPr>
      </w:pPr>
      <w:r w:rsidRPr="00F7290F">
        <w:rPr>
          <w:b/>
          <w:lang w:val="uk-UA"/>
        </w:rPr>
        <w:t>3.1</w:t>
      </w:r>
      <w:r w:rsidR="006B6FA2" w:rsidRPr="00F7290F">
        <w:rPr>
          <w:b/>
          <w:lang w:val="uk-UA"/>
        </w:rPr>
        <w:t>0</w:t>
      </w:r>
      <w:r w:rsidRPr="00F7290F">
        <w:rPr>
          <w:b/>
          <w:lang w:val="uk-UA"/>
        </w:rPr>
        <w:t>.</w:t>
      </w:r>
      <w:r w:rsidR="000B03DE" w:rsidRPr="00F7290F">
        <w:rPr>
          <w:b/>
          <w:lang w:val="uk-UA"/>
        </w:rPr>
        <w:t xml:space="preserve"> </w:t>
      </w:r>
      <w:hyperlink w:anchor="_Toc130175737" w:history="1">
        <w:r w:rsidRPr="00F7290F">
          <w:rPr>
            <w:rStyle w:val="af4"/>
            <w:b/>
            <w:color w:val="auto"/>
            <w:u w:val="none"/>
            <w:lang w:val="uk-UA"/>
          </w:rPr>
          <w:t>Культура</w:t>
        </w:r>
      </w:hyperlink>
    </w:p>
    <w:p w:rsidR="000262AC" w:rsidRPr="00F7290F" w:rsidRDefault="000262AC" w:rsidP="000262AC">
      <w:pPr>
        <w:pStyle w:val="23"/>
        <w:keepNext/>
        <w:widowControl w:val="0"/>
        <w:spacing w:after="0"/>
        <w:rPr>
          <w:b/>
        </w:rPr>
      </w:pPr>
      <w:r w:rsidRPr="00F7290F">
        <w:rPr>
          <w:b/>
        </w:rPr>
        <w:t>Актуальні проблеми: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недостатнє фінансове забезпечення;</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незадовільний технічний стан закладів культури і мистецтва;</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неналежний рівень надання комунальних послуг закладам культури в осінньо-зимовий період;</w:t>
      </w:r>
    </w:p>
    <w:p w:rsidR="000262AC" w:rsidRPr="00F7290F" w:rsidRDefault="000262AC" w:rsidP="000262AC">
      <w:pPr>
        <w:pStyle w:val="af9"/>
        <w:keepNext/>
        <w:widowControl w:val="0"/>
        <w:numPr>
          <w:ilvl w:val="0"/>
          <w:numId w:val="2"/>
        </w:numPr>
        <w:ind w:left="0" w:firstLine="357"/>
        <w:jc w:val="both"/>
        <w:rPr>
          <w:bCs/>
          <w:lang w:val="uk-UA"/>
        </w:rPr>
      </w:pPr>
      <w:r w:rsidRPr="00F7290F">
        <w:rPr>
          <w:bCs/>
          <w:lang w:val="uk-UA"/>
        </w:rPr>
        <w:t>збереження паркової інфраструктури, як найбільш доступного місця відпочинку різних верств населення.</w:t>
      </w:r>
    </w:p>
    <w:p w:rsidR="000262AC" w:rsidRPr="00F7290F" w:rsidRDefault="000262AC" w:rsidP="000262AC">
      <w:pPr>
        <w:pStyle w:val="23"/>
        <w:keepNext/>
        <w:widowControl w:val="0"/>
        <w:spacing w:after="0"/>
        <w:rPr>
          <w:b/>
        </w:rPr>
      </w:pPr>
      <w:r w:rsidRPr="00F7290F">
        <w:rPr>
          <w:b/>
        </w:rPr>
        <w:t>Головна мета</w:t>
      </w:r>
    </w:p>
    <w:p w:rsidR="000262AC" w:rsidRPr="00F7290F" w:rsidRDefault="000262AC" w:rsidP="000262AC">
      <w:pPr>
        <w:pStyle w:val="23"/>
        <w:keepNext/>
        <w:widowControl w:val="0"/>
      </w:pPr>
      <w:r w:rsidRPr="00F7290F">
        <w:t>Збереження та розвиток культурного потенціалу регіону,  поліпшення культурного обслуговування населення, просування культурних можливостей Донеччини в межах країни та за кордоном.</w:t>
      </w:r>
    </w:p>
    <w:p w:rsidR="000262AC" w:rsidRPr="00F7290F" w:rsidRDefault="000262AC" w:rsidP="000262AC">
      <w:pPr>
        <w:pStyle w:val="23"/>
        <w:keepNext/>
        <w:widowControl w:val="0"/>
        <w:spacing w:after="0"/>
        <w:rPr>
          <w:b/>
        </w:rPr>
      </w:pPr>
      <w:r w:rsidRPr="00F7290F">
        <w:rPr>
          <w:b/>
        </w:rPr>
        <w:t>Ризики: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зменшення бюджетних видатків в сферу культури;</w:t>
      </w:r>
    </w:p>
    <w:p w:rsidR="000262AC" w:rsidRPr="00F7290F" w:rsidRDefault="000262AC" w:rsidP="000262AC">
      <w:pPr>
        <w:pStyle w:val="af9"/>
        <w:keepNext/>
        <w:widowControl w:val="0"/>
        <w:numPr>
          <w:ilvl w:val="0"/>
          <w:numId w:val="2"/>
        </w:numPr>
        <w:ind w:left="0" w:firstLine="357"/>
        <w:jc w:val="both"/>
        <w:rPr>
          <w:lang w:val="uk-UA"/>
        </w:rPr>
      </w:pPr>
      <w:r w:rsidRPr="00F7290F">
        <w:rPr>
          <w:bCs/>
          <w:lang w:val="uk-UA"/>
        </w:rPr>
        <w:t>зменшення</w:t>
      </w:r>
      <w:r w:rsidRPr="00F7290F">
        <w:rPr>
          <w:lang w:val="uk-UA"/>
        </w:rPr>
        <w:t xml:space="preserve"> попиту населення на послуги, що надають заклади культури і мистецтва.</w:t>
      </w:r>
    </w:p>
    <w:p w:rsidR="000262AC" w:rsidRPr="00F7290F" w:rsidRDefault="000262AC" w:rsidP="000262AC">
      <w:pPr>
        <w:pStyle w:val="23"/>
        <w:keepNext/>
        <w:widowControl w:val="0"/>
        <w:spacing w:after="0"/>
        <w:rPr>
          <w:b/>
        </w:rPr>
      </w:pPr>
      <w:r w:rsidRPr="00F7290F">
        <w:rPr>
          <w:b/>
        </w:rPr>
        <w:t>Основні завдання:</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виконання заходів державних програм;</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проведення культурно-мистецьких акцій, фестивалів, конкурсів, виставок тощо;</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розвиток музичного, театрального, балетного, аматорського мистецтв, нематеріальної культурної спадщини;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підтримка видатних діячів культури та мистецтв, талановитої молоді шляхом надання  стипендій і грантів за рахунок коштів обласного бюджету;</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 xml:space="preserve"> забезпечення повноцінного функціонування мережі бібліотек, зокрема комп’ютеризація бібліотечної мережі, особливо в сільській місцевості та малих містах, фінансове забезпечення оновлення бібліотечних фондів, підвищення якості обслуговування </w:t>
      </w:r>
      <w:r w:rsidRPr="00F7290F">
        <w:rPr>
          <w:bCs/>
          <w:lang w:val="uk-UA"/>
        </w:rPr>
        <w:lastRenderedPageBreak/>
        <w:t xml:space="preserve">читачів відповідно до культурних, інформаційних та пізнавальних потреб громадян; </w:t>
      </w:r>
    </w:p>
    <w:p w:rsidR="000262AC" w:rsidRPr="00743B14" w:rsidRDefault="000262AC" w:rsidP="000262AC">
      <w:pPr>
        <w:pStyle w:val="af9"/>
        <w:keepNext/>
        <w:widowControl w:val="0"/>
        <w:numPr>
          <w:ilvl w:val="0"/>
          <w:numId w:val="2"/>
        </w:numPr>
        <w:spacing w:after="0"/>
        <w:ind w:left="0" w:firstLine="357"/>
        <w:jc w:val="both"/>
        <w:rPr>
          <w:bCs/>
          <w:spacing w:val="-8"/>
          <w:lang w:val="uk-UA"/>
        </w:rPr>
      </w:pPr>
      <w:r w:rsidRPr="00743B14">
        <w:rPr>
          <w:bCs/>
          <w:spacing w:val="-8"/>
          <w:lang w:val="uk-UA"/>
        </w:rPr>
        <w:t xml:space="preserve">розширення доступу населення до культурних надбань та спектру надання культурних послуг; </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 xml:space="preserve">створення інноваційних закладів культури; </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реалізація проектів щодо розвитку музейної справи «У світі колекцій», «Експедиція в світ музеїв», «Музейне коло Донеччини», «Музейний простір Донеччини»;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збереження і відновлення історико-культурних ресурсів, автентичної культури та ремесел, формування якісно нової інфраструктури;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проведення реставрації, реконструкції, капітального ремонту закладів культури і мистецтва.</w:t>
      </w:r>
    </w:p>
    <w:p w:rsidR="000262AC" w:rsidRPr="00F7290F" w:rsidRDefault="000262AC" w:rsidP="000262AC">
      <w:pPr>
        <w:pStyle w:val="23"/>
        <w:keepNext/>
        <w:widowControl w:val="0"/>
        <w:spacing w:before="120" w:after="0"/>
        <w:ind w:firstLine="709"/>
        <w:jc w:val="left"/>
        <w:rPr>
          <w:b/>
        </w:rPr>
      </w:pPr>
      <w:r w:rsidRPr="00F7290F">
        <w:rPr>
          <w:b/>
        </w:rPr>
        <w:t>Критерії досягнення:</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підвищення рівня культурного розвитку населення;</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широка участь творчих колективів області у міжнародних, всеукраїнських та регіональних культурно-мистецьких заходах;</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поповнення книжкового фонду бібліотек;</w:t>
      </w:r>
    </w:p>
    <w:p w:rsidR="000262AC" w:rsidRPr="00F7290F" w:rsidRDefault="000262AC" w:rsidP="000262AC">
      <w:pPr>
        <w:pStyle w:val="af9"/>
        <w:keepNext/>
        <w:widowControl w:val="0"/>
        <w:numPr>
          <w:ilvl w:val="0"/>
          <w:numId w:val="2"/>
        </w:numPr>
        <w:ind w:left="0" w:firstLine="357"/>
        <w:jc w:val="both"/>
        <w:rPr>
          <w:lang w:val="uk-UA"/>
        </w:rPr>
      </w:pPr>
      <w:r w:rsidRPr="00F7290F">
        <w:rPr>
          <w:bCs/>
          <w:lang w:val="uk-UA"/>
        </w:rPr>
        <w:t>збільшення обсягу</w:t>
      </w:r>
      <w:r w:rsidRPr="00F7290F">
        <w:rPr>
          <w:lang w:val="uk-UA"/>
        </w:rPr>
        <w:t xml:space="preserve"> платних послуг, що надають заклади культури і мистецтва 6%.</w:t>
      </w:r>
    </w:p>
    <w:p w:rsidR="009500FD" w:rsidRDefault="00E8743E" w:rsidP="00743B14">
      <w:pPr>
        <w:pStyle w:val="23"/>
        <w:keepNext/>
        <w:widowControl w:val="0"/>
        <w:spacing w:after="0"/>
        <w:ind w:firstLine="709"/>
        <w:jc w:val="center"/>
        <w:rPr>
          <w:b/>
        </w:rPr>
      </w:pPr>
      <w:r w:rsidRPr="00F7290F">
        <w:rPr>
          <w:b/>
        </w:rPr>
        <w:t>Обсяг платних послуг, що надають заклади</w:t>
      </w:r>
      <w:r w:rsidR="00743B14">
        <w:rPr>
          <w:b/>
          <w:lang w:val="ru-RU"/>
        </w:rPr>
        <w:t xml:space="preserve"> </w:t>
      </w:r>
      <w:r w:rsidRPr="00F7290F">
        <w:rPr>
          <w:b/>
        </w:rPr>
        <w:t>культури і мистецтва, млн.грн.</w:t>
      </w:r>
    </w:p>
    <w:p w:rsidR="009915E4" w:rsidRDefault="009915E4" w:rsidP="00DF753D">
      <w:pPr>
        <w:pStyle w:val="23"/>
        <w:keepNext/>
        <w:widowControl w:val="0"/>
        <w:ind w:firstLine="0"/>
        <w:jc w:val="center"/>
        <w:rPr>
          <w:b/>
        </w:rPr>
      </w:pPr>
      <w:r>
        <w:rPr>
          <w:b/>
          <w:noProof/>
          <w:lang w:val="ru-RU"/>
        </w:rPr>
        <w:drawing>
          <wp:inline distT="0" distB="0" distL="0" distR="0">
            <wp:extent cx="5497033" cy="145666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262AC" w:rsidRPr="00F7290F" w:rsidRDefault="000262AC" w:rsidP="000262AC">
      <w:pPr>
        <w:keepNext/>
        <w:widowControl w:val="0"/>
        <w:ind w:firstLine="720"/>
        <w:jc w:val="both"/>
        <w:rPr>
          <w:b/>
          <w:caps/>
          <w:snapToGrid w:val="0"/>
          <w:lang w:val="uk-UA"/>
        </w:rPr>
      </w:pPr>
      <w:r w:rsidRPr="00F7290F">
        <w:rPr>
          <w:b/>
          <w:lang w:val="uk-UA"/>
        </w:rPr>
        <w:t>Ресурсне забезпечення</w:t>
      </w:r>
    </w:p>
    <w:p w:rsidR="000262AC" w:rsidRPr="00F7290F" w:rsidRDefault="000262AC" w:rsidP="000262AC">
      <w:pPr>
        <w:pStyle w:val="HTML"/>
        <w:keepNext/>
        <w:widowControl w:val="0"/>
        <w:shd w:val="clear" w:color="auto" w:fill="FFFFFF"/>
        <w:spacing w:after="120"/>
        <w:ind w:firstLine="709"/>
        <w:jc w:val="both"/>
        <w:rPr>
          <w:rFonts w:ascii="Times New Roman" w:eastAsia="Calibri" w:hAnsi="Times New Roman" w:cs="Times New Roman"/>
          <w:color w:val="auto"/>
          <w:sz w:val="24"/>
          <w:szCs w:val="24"/>
          <w:lang w:val="uk-UA"/>
        </w:rPr>
      </w:pPr>
      <w:r w:rsidRPr="00F7290F">
        <w:rPr>
          <w:rFonts w:ascii="Times New Roman" w:eastAsia="Calibri" w:hAnsi="Times New Roman" w:cs="Times New Roman"/>
          <w:color w:val="auto"/>
          <w:sz w:val="24"/>
          <w:szCs w:val="24"/>
          <w:lang w:val="uk-UA"/>
        </w:rPr>
        <w:t>Забезпечуватиметься реалізація заходів Державної цільової національно-культурної програми створення єдиної інформаційної бібліотечної системи «Бібліотека - XXI», регіональної програми «Розвиток публічних бібліотек Донецької області на 2012-2015 роки».</w:t>
      </w:r>
    </w:p>
    <w:p w:rsidR="00BF364E" w:rsidRPr="00F7290F" w:rsidRDefault="00BF364E" w:rsidP="00D65D2E">
      <w:pPr>
        <w:keepNext/>
        <w:widowControl w:val="0"/>
        <w:ind w:firstLine="709"/>
        <w:jc w:val="both"/>
        <w:rPr>
          <w:b/>
          <w:lang w:val="uk-UA"/>
        </w:rPr>
      </w:pPr>
      <w:r w:rsidRPr="00F7290F">
        <w:rPr>
          <w:b/>
          <w:lang w:val="uk-UA"/>
        </w:rPr>
        <w:t>Ресурсне забезпечення</w:t>
      </w:r>
    </w:p>
    <w:p w:rsidR="00341EDA" w:rsidRPr="00F7290F" w:rsidRDefault="00341EDA" w:rsidP="00341EDA">
      <w:pPr>
        <w:keepNext/>
        <w:widowControl w:val="0"/>
        <w:spacing w:after="120"/>
        <w:ind w:firstLine="709"/>
        <w:jc w:val="both"/>
        <w:rPr>
          <w:lang w:val="uk-UA"/>
        </w:rPr>
      </w:pPr>
      <w:r w:rsidRPr="00341EDA">
        <w:rPr>
          <w:rStyle w:val="NormalWebChar"/>
          <w:lang w:val="uk-UA"/>
        </w:rPr>
        <w:t xml:space="preserve">На фінансування заходів </w:t>
      </w:r>
      <w:r w:rsidRPr="00341EDA">
        <w:rPr>
          <w:lang w:val="uk-UA"/>
        </w:rPr>
        <w:t xml:space="preserve">у сфері культура </w:t>
      </w:r>
      <w:r w:rsidRPr="00341EDA">
        <w:rPr>
          <w:rStyle w:val="NormalWebChar"/>
          <w:lang w:val="uk-UA"/>
        </w:rPr>
        <w:t xml:space="preserve">передбачається спрямувати асигнування в обсязі </w:t>
      </w:r>
      <w:r w:rsidRPr="00341EDA">
        <w:rPr>
          <w:lang w:val="uk-UA"/>
        </w:rPr>
        <w:t>10,6 млн.грн за рахунок коштів обласного бюджету.</w:t>
      </w:r>
    </w:p>
    <w:p w:rsidR="00394536" w:rsidRPr="00F7290F" w:rsidRDefault="00394536" w:rsidP="00D65D2E">
      <w:pPr>
        <w:keepNext/>
        <w:widowControl w:val="0"/>
        <w:tabs>
          <w:tab w:val="left" w:pos="959"/>
        </w:tabs>
        <w:spacing w:after="120"/>
        <w:ind w:left="108"/>
        <w:jc w:val="center"/>
        <w:rPr>
          <w:b/>
          <w:bCs/>
          <w:lang w:val="uk-UA" w:eastAsia="en-US"/>
        </w:rPr>
      </w:pPr>
      <w:r w:rsidRPr="00F7290F">
        <w:rPr>
          <w:b/>
          <w:lang w:val="uk-UA"/>
        </w:rPr>
        <w:t>3.1</w:t>
      </w:r>
      <w:r w:rsidR="006B6FA2" w:rsidRPr="00F7290F">
        <w:rPr>
          <w:b/>
          <w:lang w:val="uk-UA"/>
        </w:rPr>
        <w:t>1</w:t>
      </w:r>
      <w:r w:rsidRPr="00F7290F">
        <w:rPr>
          <w:b/>
          <w:lang w:val="uk-UA"/>
        </w:rPr>
        <w:t>.</w:t>
      </w:r>
      <w:r w:rsidR="00E03BF2" w:rsidRPr="00F7290F">
        <w:rPr>
          <w:b/>
          <w:lang w:val="uk-UA"/>
        </w:rPr>
        <w:t xml:space="preserve"> </w:t>
      </w:r>
      <w:hyperlink w:anchor="_Toc130175738" w:history="1">
        <w:r w:rsidRPr="00F7290F">
          <w:rPr>
            <w:rStyle w:val="af4"/>
            <w:b/>
            <w:color w:val="auto"/>
            <w:u w:val="none"/>
            <w:lang w:val="uk-UA"/>
          </w:rPr>
          <w:t>Фізичне виховання та спорт</w:t>
        </w:r>
      </w:hyperlink>
    </w:p>
    <w:p w:rsidR="001C53E4" w:rsidRPr="00F7290F" w:rsidRDefault="001C53E4" w:rsidP="001C53E4">
      <w:pPr>
        <w:keepNext/>
        <w:widowControl w:val="0"/>
        <w:ind w:firstLine="709"/>
        <w:jc w:val="both"/>
        <w:rPr>
          <w:b/>
          <w:lang w:val="uk-UA"/>
        </w:rPr>
      </w:pPr>
      <w:r w:rsidRPr="00F7290F">
        <w:rPr>
          <w:b/>
          <w:lang w:val="uk-UA"/>
        </w:rPr>
        <w:t>Актуальні проблеми:</w:t>
      </w:r>
    </w:p>
    <w:p w:rsidR="001C53E4" w:rsidRPr="00F7290F" w:rsidRDefault="001C53E4" w:rsidP="001C53E4">
      <w:pPr>
        <w:pStyle w:val="af9"/>
        <w:keepNext/>
        <w:widowControl w:val="0"/>
        <w:numPr>
          <w:ilvl w:val="0"/>
          <w:numId w:val="2"/>
        </w:numPr>
        <w:spacing w:after="0"/>
        <w:ind w:left="0" w:firstLine="357"/>
        <w:jc w:val="both"/>
        <w:rPr>
          <w:lang w:val="uk-UA"/>
        </w:rPr>
      </w:pPr>
      <w:r w:rsidRPr="00F7290F">
        <w:rPr>
          <w:lang w:val="uk-UA"/>
        </w:rPr>
        <w:t>незадовільний стан матеріально-технічної бази спортивної спрямованості;</w:t>
      </w:r>
    </w:p>
    <w:p w:rsidR="001C53E4" w:rsidRPr="00F7290F" w:rsidRDefault="001C53E4" w:rsidP="001C53E4">
      <w:pPr>
        <w:pStyle w:val="af9"/>
        <w:keepNext/>
        <w:widowControl w:val="0"/>
        <w:numPr>
          <w:ilvl w:val="0"/>
          <w:numId w:val="2"/>
        </w:numPr>
        <w:ind w:left="0" w:firstLine="357"/>
        <w:jc w:val="both"/>
        <w:rPr>
          <w:bCs/>
          <w:lang w:val="uk-UA"/>
        </w:rPr>
      </w:pPr>
      <w:r w:rsidRPr="00F7290F">
        <w:rPr>
          <w:bCs/>
          <w:lang w:val="uk-UA"/>
        </w:rPr>
        <w:t>незадовільний стан житлово-побутових умов спортсменів-кандидатів до Олімпійської збірної команди України та їх тренерів.</w:t>
      </w:r>
    </w:p>
    <w:p w:rsidR="001C53E4" w:rsidRPr="00F7290F" w:rsidRDefault="001C53E4" w:rsidP="001C53E4">
      <w:pPr>
        <w:keepNext/>
        <w:widowControl w:val="0"/>
        <w:spacing w:after="120"/>
        <w:ind w:firstLine="709"/>
        <w:jc w:val="both"/>
        <w:rPr>
          <w:lang w:val="uk-UA"/>
        </w:rPr>
      </w:pPr>
      <w:r w:rsidRPr="00F7290F">
        <w:rPr>
          <w:b/>
          <w:lang w:val="uk-UA"/>
        </w:rPr>
        <w:t xml:space="preserve">Головна мета - </w:t>
      </w:r>
      <w:r w:rsidRPr="00F7290F">
        <w:rPr>
          <w:lang w:val="uk-UA"/>
        </w:rPr>
        <w:t>створення належних умов для розвитку фізичної культури і спорту, покращення якості та тривалості активного життя населення; всебічне розповсюдження фізкультурно-оздоровчого руху, залучення населення до масового спорту; розвиток спорту вищих досягнень.</w:t>
      </w:r>
    </w:p>
    <w:p w:rsidR="001C53E4" w:rsidRPr="00F7290F" w:rsidRDefault="001C53E4" w:rsidP="001C53E4">
      <w:pPr>
        <w:keepNext/>
        <w:widowControl w:val="0"/>
        <w:ind w:firstLine="709"/>
        <w:jc w:val="both"/>
        <w:rPr>
          <w:b/>
          <w:lang w:val="uk-UA"/>
        </w:rPr>
      </w:pPr>
      <w:r w:rsidRPr="00F7290F">
        <w:rPr>
          <w:b/>
          <w:lang w:val="uk-UA"/>
        </w:rPr>
        <w:t>Основні завдання:</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 xml:space="preserve">формування позитивного спортивного іміджу області на міжнародному та всеукраїнському рівнях шляхом проведення на належному рівні Чемпіонату світу  2013 року з легкої атлетики серед юнаків та Чемпіонату світу з хокею з шайбою серед чоловіків; </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реалізація проектів по створенню відкритих спортивних комплексів загального користування «Стадіон у дворі»;</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lastRenderedPageBreak/>
        <w:t>проведення іміджевих спортивно-масових заходів в області;</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поліпшення житлово-побутових умов спортсменів-кандидатів до Олімпійської збірної команди України та їх тренерів;</w:t>
      </w:r>
    </w:p>
    <w:p w:rsidR="001C53E4" w:rsidRPr="00F7290F" w:rsidRDefault="001C53E4" w:rsidP="001C53E4">
      <w:pPr>
        <w:pStyle w:val="af9"/>
        <w:keepNext/>
        <w:widowControl w:val="0"/>
        <w:numPr>
          <w:ilvl w:val="0"/>
          <w:numId w:val="2"/>
        </w:numPr>
        <w:ind w:left="0" w:firstLine="357"/>
        <w:jc w:val="both"/>
        <w:rPr>
          <w:lang w:val="uk-UA"/>
        </w:rPr>
      </w:pPr>
      <w:r w:rsidRPr="00F7290F">
        <w:rPr>
          <w:bCs/>
          <w:lang w:val="uk-UA"/>
        </w:rPr>
        <w:t>реконструкція учбово-спортивного комплексу «Донецьке вище училище олімпійського резерву ім.</w:t>
      </w:r>
      <w:r w:rsidRPr="00F7290F">
        <w:rPr>
          <w:lang w:val="uk-UA"/>
        </w:rPr>
        <w:t xml:space="preserve"> С. Бубки», розминкового стадіону КП «РСК «Олімпійський» та спортивного комплексу «Кіровець»в м. Донецьк тощо.</w:t>
      </w:r>
    </w:p>
    <w:p w:rsidR="001C53E4" w:rsidRPr="00F7290F" w:rsidRDefault="001C53E4" w:rsidP="001C53E4">
      <w:pPr>
        <w:keepNext/>
        <w:widowControl w:val="0"/>
        <w:ind w:firstLine="709"/>
        <w:jc w:val="both"/>
        <w:rPr>
          <w:b/>
          <w:spacing w:val="-4"/>
          <w:lang w:val="uk-UA"/>
        </w:rPr>
      </w:pPr>
      <w:r w:rsidRPr="00F7290F">
        <w:rPr>
          <w:b/>
          <w:spacing w:val="-4"/>
          <w:lang w:val="uk-UA"/>
        </w:rPr>
        <w:t>Критерії досягнення:</w:t>
      </w:r>
    </w:p>
    <w:p w:rsidR="001C53E4" w:rsidRPr="00F7290F" w:rsidRDefault="001C53E4" w:rsidP="001C53E4">
      <w:pPr>
        <w:pStyle w:val="af9"/>
        <w:keepNext/>
        <w:widowControl w:val="0"/>
        <w:spacing w:after="0"/>
        <w:ind w:firstLine="708"/>
        <w:jc w:val="both"/>
        <w:rPr>
          <w:spacing w:val="-4"/>
          <w:lang w:val="uk-UA"/>
        </w:rPr>
      </w:pPr>
      <w:r w:rsidRPr="00F7290F">
        <w:rPr>
          <w:spacing w:val="-4"/>
          <w:lang w:val="uk-UA"/>
        </w:rPr>
        <w:t>Збільшення кількості:</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населення, яке займається фізичною культурою  і спортом, на 0,3 тис. осіб;</w:t>
      </w:r>
    </w:p>
    <w:p w:rsidR="001C53E4" w:rsidRPr="00F7290F" w:rsidRDefault="001C53E4" w:rsidP="001C53E4">
      <w:pPr>
        <w:pStyle w:val="af9"/>
        <w:keepNext/>
        <w:widowControl w:val="0"/>
        <w:numPr>
          <w:ilvl w:val="0"/>
          <w:numId w:val="2"/>
        </w:numPr>
        <w:ind w:left="0" w:firstLine="357"/>
        <w:jc w:val="both"/>
        <w:rPr>
          <w:bCs/>
          <w:lang w:val="uk-UA"/>
        </w:rPr>
      </w:pPr>
      <w:r w:rsidRPr="00F7290F">
        <w:rPr>
          <w:bCs/>
          <w:lang w:val="uk-UA"/>
        </w:rPr>
        <w:t>центрів фізичного здоров'я населення «Спорт для всіх» -   на 3 од.</w:t>
      </w:r>
    </w:p>
    <w:p w:rsidR="00394536" w:rsidRPr="00F7290F" w:rsidRDefault="00394536" w:rsidP="001C53E4">
      <w:pPr>
        <w:keepNext/>
        <w:widowControl w:val="0"/>
        <w:spacing w:after="120"/>
        <w:ind w:firstLine="709"/>
        <w:jc w:val="center"/>
        <w:rPr>
          <w:lang w:val="uk-UA"/>
        </w:rPr>
      </w:pPr>
      <w:r w:rsidRPr="00F7290F">
        <w:rPr>
          <w:b/>
          <w:lang w:val="uk-UA"/>
        </w:rPr>
        <w:t>Кількість населення, яке займається фізичною культурою і спортом</w:t>
      </w:r>
    </w:p>
    <w:p w:rsidR="00394536" w:rsidRPr="00F7290F" w:rsidRDefault="00394536" w:rsidP="00D65D2E">
      <w:pPr>
        <w:keepNext/>
        <w:widowControl w:val="0"/>
        <w:spacing w:after="120"/>
        <w:ind w:firstLine="709"/>
        <w:jc w:val="both"/>
        <w:rPr>
          <w:color w:val="FF0000"/>
          <w:lang w:val="uk-UA"/>
        </w:rPr>
      </w:pPr>
      <w:r w:rsidRPr="00F7290F">
        <w:rPr>
          <w:noProof/>
          <w:color w:val="FF0000"/>
        </w:rPr>
        <w:drawing>
          <wp:inline distT="0" distB="0" distL="0" distR="0">
            <wp:extent cx="5943600" cy="1350335"/>
            <wp:effectExtent l="0" t="0" r="0" b="0"/>
            <wp:docPr id="68"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94536" w:rsidRPr="00F7290F" w:rsidRDefault="00700564" w:rsidP="00D65D2E">
      <w:pPr>
        <w:keepNext/>
        <w:widowControl w:val="0"/>
        <w:ind w:firstLine="709"/>
        <w:jc w:val="both"/>
        <w:rPr>
          <w:b/>
          <w:lang w:val="uk-UA"/>
        </w:rPr>
      </w:pPr>
      <w:r w:rsidRPr="00F7290F">
        <w:rPr>
          <w:b/>
          <w:lang w:val="uk-UA"/>
        </w:rPr>
        <w:t>Ресурсне забезпечення</w:t>
      </w:r>
    </w:p>
    <w:p w:rsidR="00341EDA" w:rsidRPr="00F7290F" w:rsidRDefault="00341EDA" w:rsidP="00341EDA">
      <w:pPr>
        <w:keepNext/>
        <w:widowControl w:val="0"/>
        <w:spacing w:after="120"/>
        <w:ind w:firstLine="709"/>
        <w:jc w:val="both"/>
        <w:rPr>
          <w:lang w:val="uk-UA"/>
        </w:rPr>
      </w:pPr>
      <w:r w:rsidRPr="00341EDA">
        <w:rPr>
          <w:lang w:val="uk-UA"/>
        </w:rPr>
        <w:t>На фінансування заходів щодо розвитку фізичної культури і спорту планується спрямувати 7,8 млн.грн. коштів з обласного бюджету.</w:t>
      </w:r>
      <w:r w:rsidRPr="00F7290F">
        <w:rPr>
          <w:lang w:val="uk-UA"/>
        </w:rPr>
        <w:t xml:space="preserve"> </w:t>
      </w:r>
    </w:p>
    <w:p w:rsidR="001C53E4" w:rsidRPr="00F7290F" w:rsidRDefault="001C53E4" w:rsidP="001C53E4">
      <w:pPr>
        <w:keepNext/>
        <w:widowControl w:val="0"/>
        <w:spacing w:after="120"/>
        <w:ind w:firstLine="709"/>
        <w:jc w:val="both"/>
        <w:rPr>
          <w:lang w:val="uk-UA"/>
        </w:rPr>
      </w:pPr>
      <w:r w:rsidRPr="00F7290F">
        <w:rPr>
          <w:lang w:val="uk-UA"/>
        </w:rPr>
        <w:t xml:space="preserve">Продовжиться реалізація заходів «Регіональної цільової програми розвитку фізичної культури і спорту в Донецькій області на 2012 - 2016 роки», затвердженої рішенням обласної ради від 26.09.2012 № 6/15-348. </w:t>
      </w:r>
    </w:p>
    <w:p w:rsidR="00441257" w:rsidRPr="00F7290F" w:rsidRDefault="00441257" w:rsidP="00D65D2E">
      <w:pPr>
        <w:pStyle w:val="23"/>
        <w:keepNext/>
        <w:widowControl w:val="0"/>
        <w:jc w:val="center"/>
        <w:rPr>
          <w:b/>
        </w:rPr>
      </w:pPr>
      <w:r w:rsidRPr="00F7290F">
        <w:rPr>
          <w:b/>
        </w:rPr>
        <w:t>3.1</w:t>
      </w:r>
      <w:r w:rsidR="006B6FA2" w:rsidRPr="00F7290F">
        <w:rPr>
          <w:b/>
        </w:rPr>
        <w:t>2</w:t>
      </w:r>
      <w:r w:rsidRPr="00F7290F">
        <w:rPr>
          <w:b/>
        </w:rPr>
        <w:t>. Розвиток туризму та курортів</w:t>
      </w:r>
    </w:p>
    <w:p w:rsidR="00017231" w:rsidRPr="00F7290F" w:rsidRDefault="00017231" w:rsidP="00017231">
      <w:pPr>
        <w:pStyle w:val="23"/>
        <w:keepNext/>
        <w:widowControl w:val="0"/>
        <w:spacing w:after="0"/>
        <w:rPr>
          <w:b/>
        </w:rPr>
      </w:pPr>
      <w:r w:rsidRPr="00F7290F">
        <w:rPr>
          <w:b/>
        </w:rPr>
        <w:t>Актуальні проблеми:</w:t>
      </w:r>
    </w:p>
    <w:p w:rsidR="00017231" w:rsidRPr="00F7290F" w:rsidRDefault="00017231" w:rsidP="00017231">
      <w:pPr>
        <w:pStyle w:val="23"/>
        <w:keepNext/>
        <w:widowControl w:val="0"/>
        <w:numPr>
          <w:ilvl w:val="0"/>
          <w:numId w:val="12"/>
        </w:numPr>
        <w:spacing w:after="0"/>
        <w:ind w:left="1077" w:hanging="357"/>
      </w:pPr>
      <w:r w:rsidRPr="00F7290F">
        <w:t>недостатній рівень використання та розвитку туристичних та рекреаційних ресурсів;</w:t>
      </w:r>
    </w:p>
    <w:p w:rsidR="00017231" w:rsidRPr="00F7290F" w:rsidRDefault="00017231" w:rsidP="00017231">
      <w:pPr>
        <w:pStyle w:val="23"/>
        <w:keepNext/>
        <w:widowControl w:val="0"/>
        <w:numPr>
          <w:ilvl w:val="0"/>
          <w:numId w:val="12"/>
        </w:numPr>
      </w:pPr>
      <w:r w:rsidRPr="00F7290F">
        <w:t>слаборозвинена туристична інфраструктура.</w:t>
      </w:r>
    </w:p>
    <w:p w:rsidR="00017231" w:rsidRPr="00F7290F" w:rsidRDefault="00017231" w:rsidP="00017231">
      <w:pPr>
        <w:pStyle w:val="23"/>
        <w:keepNext/>
        <w:widowControl w:val="0"/>
        <w:spacing w:after="0"/>
        <w:rPr>
          <w:b/>
        </w:rPr>
      </w:pPr>
      <w:r w:rsidRPr="00F7290F">
        <w:rPr>
          <w:b/>
        </w:rPr>
        <w:t>Головна мета:</w:t>
      </w:r>
    </w:p>
    <w:p w:rsidR="00017231" w:rsidRPr="00F7290F" w:rsidRDefault="00017231" w:rsidP="00017231">
      <w:pPr>
        <w:pStyle w:val="23"/>
        <w:keepNext/>
        <w:widowControl w:val="0"/>
      </w:pPr>
      <w:r w:rsidRPr="00F7290F">
        <w:t>Створення умов для розвитку туристичної та курортно-рекреаційної сфер. Формування позитивного туристичного іміджу області на міжнародному та всеукраїнському рівнях.</w:t>
      </w:r>
    </w:p>
    <w:p w:rsidR="00017231" w:rsidRPr="00F7290F" w:rsidRDefault="00017231" w:rsidP="00017231">
      <w:pPr>
        <w:pStyle w:val="23"/>
        <w:keepNext/>
        <w:widowControl w:val="0"/>
        <w:spacing w:after="0"/>
        <w:rPr>
          <w:b/>
        </w:rPr>
      </w:pPr>
      <w:r w:rsidRPr="00F7290F">
        <w:rPr>
          <w:b/>
        </w:rPr>
        <w:t>Ризики:</w:t>
      </w:r>
    </w:p>
    <w:p w:rsidR="00017231" w:rsidRPr="00F7290F" w:rsidRDefault="00017231" w:rsidP="00017231">
      <w:pPr>
        <w:pStyle w:val="23"/>
        <w:keepNext/>
        <w:widowControl w:val="0"/>
        <w:ind w:firstLine="360"/>
      </w:pPr>
      <w:r w:rsidRPr="00F7290F">
        <w:t xml:space="preserve">-     низький рівень надання туристичних послуг підприємствами області. </w:t>
      </w:r>
    </w:p>
    <w:p w:rsidR="00017231" w:rsidRPr="00F7290F" w:rsidRDefault="00017231" w:rsidP="00017231">
      <w:pPr>
        <w:pStyle w:val="23"/>
        <w:keepNext/>
        <w:widowControl w:val="0"/>
        <w:spacing w:after="0"/>
      </w:pPr>
      <w:r w:rsidRPr="00F7290F">
        <w:rPr>
          <w:b/>
        </w:rPr>
        <w:t>Основні завдання:</w:t>
      </w:r>
    </w:p>
    <w:p w:rsidR="00017231" w:rsidRPr="00F7290F" w:rsidRDefault="00017231" w:rsidP="00017231">
      <w:pPr>
        <w:pStyle w:val="23"/>
        <w:keepNext/>
        <w:widowControl w:val="0"/>
        <w:numPr>
          <w:ilvl w:val="0"/>
          <w:numId w:val="11"/>
        </w:numPr>
        <w:tabs>
          <w:tab w:val="num" w:pos="720"/>
        </w:tabs>
        <w:spacing w:after="0"/>
        <w:ind w:left="714" w:hanging="357"/>
      </w:pPr>
      <w:r w:rsidRPr="00F7290F">
        <w:t>розвиток рекреаційно-туристичних зон для ефективного використання природного та історико-культурного потенціалу;</w:t>
      </w:r>
    </w:p>
    <w:p w:rsidR="00017231" w:rsidRPr="00F7290F" w:rsidRDefault="00017231" w:rsidP="00017231">
      <w:pPr>
        <w:pStyle w:val="23"/>
        <w:keepNext/>
        <w:widowControl w:val="0"/>
        <w:numPr>
          <w:ilvl w:val="0"/>
          <w:numId w:val="11"/>
        </w:numPr>
        <w:tabs>
          <w:tab w:val="num" w:pos="720"/>
        </w:tabs>
        <w:spacing w:after="0"/>
        <w:ind w:left="714" w:hanging="357"/>
      </w:pPr>
      <w:r w:rsidRPr="00F7290F">
        <w:t>виконання заходів державних програм у сфері туризму;</w:t>
      </w:r>
    </w:p>
    <w:p w:rsidR="00017231" w:rsidRPr="00F7290F" w:rsidRDefault="00017231" w:rsidP="00017231">
      <w:pPr>
        <w:pStyle w:val="23"/>
        <w:keepNext/>
        <w:widowControl w:val="0"/>
        <w:numPr>
          <w:ilvl w:val="0"/>
          <w:numId w:val="11"/>
        </w:numPr>
        <w:tabs>
          <w:tab w:val="num" w:pos="720"/>
        </w:tabs>
        <w:spacing w:after="0"/>
        <w:ind w:left="714" w:hanging="357"/>
      </w:pPr>
      <w:r w:rsidRPr="00F7290F">
        <w:t>створення умов для розвитку інфраструктури туризму в рамках державно-приватного партнерства;</w:t>
      </w:r>
    </w:p>
    <w:p w:rsidR="00017231" w:rsidRPr="00F7290F" w:rsidRDefault="00017231" w:rsidP="00017231">
      <w:pPr>
        <w:pStyle w:val="23"/>
        <w:keepNext/>
        <w:widowControl w:val="0"/>
        <w:numPr>
          <w:ilvl w:val="0"/>
          <w:numId w:val="11"/>
        </w:numPr>
        <w:tabs>
          <w:tab w:val="num" w:pos="720"/>
        </w:tabs>
        <w:spacing w:after="0"/>
        <w:ind w:left="714" w:hanging="357"/>
      </w:pPr>
      <w:r w:rsidRPr="00F7290F">
        <w:t>збереження і відновлення унікальних природних  ресурсів, формування якісно нової інфраструктури;</w:t>
      </w:r>
    </w:p>
    <w:p w:rsidR="00017231" w:rsidRPr="00F7290F" w:rsidRDefault="00017231" w:rsidP="00017231">
      <w:pPr>
        <w:pStyle w:val="23"/>
        <w:keepNext/>
        <w:widowControl w:val="0"/>
        <w:numPr>
          <w:ilvl w:val="0"/>
          <w:numId w:val="11"/>
        </w:numPr>
        <w:tabs>
          <w:tab w:val="num" w:pos="720"/>
        </w:tabs>
        <w:ind w:left="714" w:hanging="357"/>
      </w:pPr>
      <w:r w:rsidRPr="00F7290F">
        <w:t>сприяння розвитку дитячого, молодіжного та сільського туризму.</w:t>
      </w:r>
    </w:p>
    <w:p w:rsidR="00017231" w:rsidRPr="00F7290F" w:rsidRDefault="00017231" w:rsidP="00017231">
      <w:pPr>
        <w:pStyle w:val="23"/>
        <w:keepNext/>
        <w:widowControl w:val="0"/>
        <w:spacing w:after="0"/>
        <w:ind w:firstLine="709"/>
        <w:jc w:val="left"/>
        <w:rPr>
          <w:b/>
        </w:rPr>
      </w:pPr>
      <w:r w:rsidRPr="00F7290F">
        <w:rPr>
          <w:b/>
        </w:rPr>
        <w:t>Критерії досягнення:</w:t>
      </w:r>
    </w:p>
    <w:p w:rsidR="00017231" w:rsidRPr="00F7290F" w:rsidRDefault="00017231" w:rsidP="00017231">
      <w:pPr>
        <w:keepNext/>
        <w:widowControl w:val="0"/>
        <w:spacing w:after="120"/>
        <w:ind w:firstLine="720"/>
        <w:jc w:val="both"/>
        <w:rPr>
          <w:b/>
          <w:lang w:val="uk-UA"/>
        </w:rPr>
      </w:pPr>
      <w:r w:rsidRPr="00F7290F">
        <w:rPr>
          <w:b/>
          <w:lang w:val="uk-UA"/>
        </w:rPr>
        <w:t xml:space="preserve">- </w:t>
      </w:r>
      <w:r w:rsidRPr="00F7290F">
        <w:rPr>
          <w:lang w:val="uk-UA"/>
        </w:rPr>
        <w:t xml:space="preserve">збільшення обсягу туристичних послуг на 1%. </w:t>
      </w:r>
    </w:p>
    <w:p w:rsidR="00441257" w:rsidRPr="00F7290F" w:rsidRDefault="00441257" w:rsidP="00D65D2E">
      <w:pPr>
        <w:pStyle w:val="23"/>
        <w:keepNext/>
        <w:widowControl w:val="0"/>
        <w:ind w:firstLine="709"/>
        <w:jc w:val="center"/>
      </w:pPr>
      <w:r w:rsidRPr="00F7290F">
        <w:rPr>
          <w:b/>
        </w:rPr>
        <w:lastRenderedPageBreak/>
        <w:t>Обсяг туристичних послуг</w:t>
      </w:r>
    </w:p>
    <w:p w:rsidR="00441257" w:rsidRPr="00F7290F" w:rsidRDefault="00441257" w:rsidP="00D65D2E">
      <w:pPr>
        <w:keepNext/>
        <w:widowControl w:val="0"/>
        <w:spacing w:after="120"/>
        <w:jc w:val="center"/>
        <w:rPr>
          <w:color w:val="FF0000"/>
          <w:lang w:val="uk-UA"/>
        </w:rPr>
      </w:pPr>
      <w:r w:rsidRPr="00F7290F">
        <w:rPr>
          <w:noProof/>
          <w:color w:val="FF0000"/>
        </w:rPr>
        <w:drawing>
          <wp:inline distT="0" distB="0" distL="0" distR="0">
            <wp:extent cx="5505450" cy="1076325"/>
            <wp:effectExtent l="0" t="0" r="0" b="0"/>
            <wp:docPr id="6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700564" w:rsidRPr="00F7290F" w:rsidRDefault="00700564" w:rsidP="00D65D2E">
      <w:pPr>
        <w:keepNext/>
        <w:widowControl w:val="0"/>
        <w:ind w:firstLine="720"/>
        <w:jc w:val="both"/>
        <w:rPr>
          <w:b/>
          <w:caps/>
          <w:snapToGrid w:val="0"/>
          <w:lang w:val="uk-UA"/>
        </w:rPr>
      </w:pPr>
      <w:r w:rsidRPr="00F7290F">
        <w:rPr>
          <w:b/>
          <w:lang w:val="uk-UA"/>
        </w:rPr>
        <w:t>Ресурсне забезпечення</w:t>
      </w:r>
    </w:p>
    <w:p w:rsidR="00017231" w:rsidRPr="00F7290F" w:rsidRDefault="00017231" w:rsidP="00017231">
      <w:pPr>
        <w:keepNext/>
        <w:widowControl w:val="0"/>
        <w:ind w:firstLine="720"/>
        <w:jc w:val="both"/>
        <w:rPr>
          <w:lang w:val="uk-UA"/>
        </w:rPr>
      </w:pPr>
      <w:r w:rsidRPr="00F7290F">
        <w:rPr>
          <w:lang w:val="uk-UA"/>
        </w:rPr>
        <w:t xml:space="preserve">Забезпечуватиметься реалізація заходів Державної цільової соціальної програми розвитку в Україні спортивної та туристичної інфраструктури у 2011-2022 роках. </w:t>
      </w:r>
    </w:p>
    <w:p w:rsidR="00341EDA" w:rsidRDefault="00341EDA" w:rsidP="00D65D2E">
      <w:pPr>
        <w:keepNext/>
        <w:widowControl w:val="0"/>
        <w:tabs>
          <w:tab w:val="left" w:pos="959"/>
        </w:tabs>
        <w:ind w:left="108"/>
        <w:jc w:val="center"/>
        <w:rPr>
          <w:b/>
          <w:color w:val="000000" w:themeColor="text1"/>
          <w:lang w:val="uk-UA"/>
        </w:rPr>
      </w:pPr>
    </w:p>
    <w:p w:rsidR="0040192D" w:rsidRPr="00F7290F" w:rsidRDefault="0040192D" w:rsidP="00CD4824">
      <w:pPr>
        <w:keepNext/>
        <w:widowControl w:val="0"/>
        <w:tabs>
          <w:tab w:val="left" w:pos="959"/>
        </w:tabs>
        <w:spacing w:before="120" w:after="120"/>
        <w:jc w:val="center"/>
        <w:rPr>
          <w:b/>
          <w:color w:val="000000" w:themeColor="text1"/>
          <w:lang w:val="uk-UA"/>
        </w:rPr>
      </w:pPr>
      <w:r w:rsidRPr="00F7290F">
        <w:rPr>
          <w:b/>
          <w:color w:val="000000" w:themeColor="text1"/>
          <w:lang w:val="uk-UA"/>
        </w:rPr>
        <w:t>3.1</w:t>
      </w:r>
      <w:r w:rsidR="006B6FA2" w:rsidRPr="00F7290F">
        <w:rPr>
          <w:b/>
          <w:color w:val="000000" w:themeColor="text1"/>
          <w:lang w:val="uk-UA"/>
        </w:rPr>
        <w:t>3</w:t>
      </w:r>
      <w:r w:rsidRPr="00F7290F">
        <w:rPr>
          <w:b/>
          <w:color w:val="000000" w:themeColor="text1"/>
          <w:lang w:val="uk-UA"/>
        </w:rPr>
        <w:t>.</w:t>
      </w:r>
      <w:r w:rsidR="006B6FA2" w:rsidRPr="00F7290F">
        <w:rPr>
          <w:b/>
          <w:color w:val="000000" w:themeColor="text1"/>
          <w:lang w:val="uk-UA"/>
        </w:rPr>
        <w:t xml:space="preserve"> </w:t>
      </w:r>
      <w:r w:rsidRPr="00F7290F">
        <w:rPr>
          <w:b/>
          <w:bCs/>
          <w:color w:val="000000" w:themeColor="text1"/>
          <w:lang w:val="uk-UA"/>
        </w:rPr>
        <w:t>Захист прав і свобод громадян, з</w:t>
      </w:r>
      <w:r w:rsidRPr="00F7290F">
        <w:rPr>
          <w:b/>
          <w:color w:val="000000" w:themeColor="text1"/>
          <w:lang w:val="uk-UA"/>
        </w:rPr>
        <w:t>абезпечення законності та правопорядку</w:t>
      </w:r>
    </w:p>
    <w:p w:rsidR="008B2B75" w:rsidRPr="00F7290F" w:rsidRDefault="00F751E6" w:rsidP="00D65D2E">
      <w:pPr>
        <w:keepNext/>
        <w:widowControl w:val="0"/>
        <w:ind w:firstLine="720"/>
        <w:rPr>
          <w:b/>
          <w:color w:val="000000" w:themeColor="text1"/>
          <w:lang w:val="uk-UA"/>
        </w:rPr>
      </w:pPr>
      <w:r w:rsidRPr="00F7290F">
        <w:rPr>
          <w:b/>
          <w:color w:val="000000" w:themeColor="text1"/>
          <w:lang w:val="uk-UA"/>
        </w:rPr>
        <w:t>Актуальні проблеми</w:t>
      </w:r>
    </w:p>
    <w:p w:rsidR="00D444B4" w:rsidRPr="00F7290F" w:rsidRDefault="00F20618" w:rsidP="00D65D2E">
      <w:pPr>
        <w:keepNext/>
        <w:widowControl w:val="0"/>
        <w:spacing w:after="120"/>
        <w:ind w:firstLine="720"/>
        <w:jc w:val="both"/>
        <w:rPr>
          <w:rStyle w:val="FontStyle18"/>
          <w:color w:val="000000" w:themeColor="text1"/>
          <w:sz w:val="24"/>
          <w:szCs w:val="24"/>
          <w:lang w:val="uk-UA" w:eastAsia="uk-UA"/>
        </w:rPr>
      </w:pPr>
      <w:r w:rsidRPr="00F7290F">
        <w:rPr>
          <w:rStyle w:val="FontStyle18"/>
          <w:color w:val="000000" w:themeColor="text1"/>
          <w:sz w:val="24"/>
          <w:szCs w:val="24"/>
          <w:lang w:val="uk-UA" w:eastAsia="uk-UA"/>
        </w:rPr>
        <w:t>Неналежний рівень матеріально-технічного забезпечення підрозділів правоохоронних органів.</w:t>
      </w:r>
    </w:p>
    <w:p w:rsidR="0040192D" w:rsidRPr="00F7290F" w:rsidRDefault="0040192D" w:rsidP="00D65D2E">
      <w:pPr>
        <w:pStyle w:val="Style8"/>
        <w:keepNext/>
        <w:spacing w:after="120" w:line="240" w:lineRule="auto"/>
        <w:ind w:firstLine="709"/>
        <w:rPr>
          <w:rStyle w:val="FontStyle23"/>
          <w:color w:val="000000" w:themeColor="text1"/>
          <w:spacing w:val="0"/>
          <w:lang w:val="uk-UA" w:eastAsia="uk-UA"/>
        </w:rPr>
      </w:pPr>
      <w:r w:rsidRPr="00F7290F">
        <w:rPr>
          <w:rStyle w:val="FontStyle18"/>
          <w:b/>
          <w:color w:val="000000" w:themeColor="text1"/>
          <w:sz w:val="24"/>
          <w:szCs w:val="24"/>
          <w:lang w:val="uk-UA" w:eastAsia="uk-UA"/>
        </w:rPr>
        <w:t xml:space="preserve">Головна </w:t>
      </w:r>
      <w:r w:rsidR="00FC5993" w:rsidRPr="00F7290F">
        <w:rPr>
          <w:rStyle w:val="FontStyle18"/>
          <w:b/>
          <w:color w:val="000000" w:themeColor="text1"/>
          <w:sz w:val="24"/>
          <w:szCs w:val="24"/>
          <w:lang w:val="uk-UA" w:eastAsia="uk-UA"/>
        </w:rPr>
        <w:t>мета</w:t>
      </w:r>
      <w:r w:rsidRPr="00F7290F">
        <w:rPr>
          <w:rStyle w:val="FontStyle18"/>
          <w:color w:val="000000" w:themeColor="text1"/>
          <w:sz w:val="24"/>
          <w:szCs w:val="24"/>
          <w:lang w:val="uk-UA" w:eastAsia="uk-UA"/>
        </w:rPr>
        <w:t xml:space="preserve"> </w:t>
      </w:r>
      <w:r w:rsidRPr="00F7290F">
        <w:rPr>
          <w:rStyle w:val="FontStyle23"/>
          <w:color w:val="000000" w:themeColor="text1"/>
          <w:spacing w:val="0"/>
          <w:lang w:val="uk-UA" w:eastAsia="uk-UA"/>
        </w:rPr>
        <w:t>- безпека кожного громадянина, забезпечення захисту прав, свобод і законних інтересів людини, забезпечення кожному права на справедливий судовий розгляд справ у незалежному та неупередженому суді, запобігання правопорушенням, злочинам, надійна охорона громадського порядку.</w:t>
      </w:r>
    </w:p>
    <w:p w:rsidR="0040192D" w:rsidRPr="00F7290F" w:rsidRDefault="0040192D" w:rsidP="00D65D2E">
      <w:pPr>
        <w:pStyle w:val="Style9"/>
        <w:keepNext/>
        <w:ind w:firstLine="709"/>
        <w:jc w:val="both"/>
        <w:rPr>
          <w:rStyle w:val="FontStyle18"/>
          <w:color w:val="000000" w:themeColor="text1"/>
          <w:sz w:val="24"/>
          <w:szCs w:val="24"/>
          <w:lang w:val="uk-UA" w:eastAsia="uk-UA"/>
        </w:rPr>
      </w:pPr>
      <w:r w:rsidRPr="00F7290F">
        <w:rPr>
          <w:rStyle w:val="FontStyle18"/>
          <w:b/>
          <w:color w:val="000000" w:themeColor="text1"/>
          <w:sz w:val="24"/>
          <w:szCs w:val="24"/>
          <w:lang w:val="uk-UA" w:eastAsia="uk-UA"/>
        </w:rPr>
        <w:t>Основні завдання на 2013 рік</w:t>
      </w:r>
      <w:r w:rsidRPr="00F7290F">
        <w:rPr>
          <w:rStyle w:val="FontStyle18"/>
          <w:color w:val="000000" w:themeColor="text1"/>
          <w:sz w:val="24"/>
          <w:szCs w:val="24"/>
          <w:lang w:val="uk-UA" w:eastAsia="uk-UA"/>
        </w:rPr>
        <w:t>:</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здійснення заходів щодо посилення законності і правопорядку, захист прав і свобод громадян;</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захист соціальних прав громадян;</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організація взаємодії органів державної виконавчої влади та місцевого самоврядування з правоохоронними, контролюючими органами та іншими державними органами, організаціями, підприємствами різних форм власності, об'єднаннями громадян та окремими громадянами з метою профілактики правопорушень, посилення боротьби зі злочинністю, корупцією, зміцнення законності і правопорядку в регіоні;</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 xml:space="preserve">створення обстановки відкритості, гласності, прозорості у роботі правоохоронних органів, сприяння укріпленню їх ділових зв’язків з представниками </w:t>
      </w:r>
      <w:r w:rsidR="00CB0AFF" w:rsidRPr="00F7290F">
        <w:rPr>
          <w:color w:val="000000" w:themeColor="text1"/>
          <w:lang w:val="uk-UA"/>
        </w:rPr>
        <w:t xml:space="preserve">засобів </w:t>
      </w:r>
      <w:r w:rsidRPr="00F7290F">
        <w:rPr>
          <w:color w:val="000000" w:themeColor="text1"/>
          <w:lang w:val="uk-UA"/>
        </w:rPr>
        <w:t xml:space="preserve">масової інформації, депутатським корпусом, трудовими колективами; </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надання практичної та методичної допомоги райдержадміністраціям та виконкомам міських рад щодо організації роботи з правоохоронних питань;</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сприяння підвищенню професійного рівня кадрів та поліпшенню матеріально-технічного забезпечення правоохоронних органів області;</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контроль за дотриманням законодавства у сфері боротьби з корупцією;</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забезпечення захисту майна громадян та підприємств всіх форм власності від злочинних посягань;</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забезпечення безпеки дорожнього руху;</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недопущення використання території області для перевезення до сусідніх держав наркотичних, психотропних та контрабандних товарів;</w:t>
      </w:r>
    </w:p>
    <w:p w:rsidR="0040192D" w:rsidRPr="00F7290F" w:rsidRDefault="0040192D" w:rsidP="00D65D2E">
      <w:pPr>
        <w:keepNext/>
        <w:widowControl w:val="0"/>
        <w:numPr>
          <w:ilvl w:val="0"/>
          <w:numId w:val="9"/>
        </w:numPr>
        <w:tabs>
          <w:tab w:val="num" w:pos="900"/>
        </w:tabs>
        <w:spacing w:after="120"/>
        <w:ind w:left="0" w:firstLine="720"/>
        <w:jc w:val="both"/>
        <w:rPr>
          <w:rStyle w:val="FontStyle23"/>
          <w:color w:val="000000" w:themeColor="text1"/>
          <w:spacing w:val="0"/>
          <w:lang w:val="uk-UA" w:eastAsia="uk-UA"/>
        </w:rPr>
      </w:pPr>
      <w:r w:rsidRPr="00F7290F">
        <w:rPr>
          <w:color w:val="000000" w:themeColor="text1"/>
          <w:lang w:val="uk-UA"/>
        </w:rPr>
        <w:t>здійснення заходів</w:t>
      </w:r>
      <w:r w:rsidRPr="00F7290F">
        <w:rPr>
          <w:rStyle w:val="FontStyle23"/>
          <w:color w:val="000000" w:themeColor="text1"/>
          <w:spacing w:val="0"/>
          <w:lang w:val="uk-UA" w:eastAsia="uk-UA"/>
        </w:rPr>
        <w:t xml:space="preserve"> щодо створення в області системи протидії незаконній міграції;</w:t>
      </w:r>
    </w:p>
    <w:p w:rsidR="0040192D" w:rsidRPr="00F7290F" w:rsidRDefault="0040192D" w:rsidP="00D65D2E">
      <w:pPr>
        <w:pStyle w:val="Style13"/>
        <w:keepNext/>
        <w:ind w:firstLine="709"/>
        <w:jc w:val="both"/>
        <w:rPr>
          <w:rStyle w:val="FontStyle18"/>
          <w:color w:val="000000" w:themeColor="text1"/>
          <w:sz w:val="24"/>
          <w:szCs w:val="24"/>
          <w:lang w:val="uk-UA" w:eastAsia="uk-UA"/>
        </w:rPr>
      </w:pPr>
      <w:r w:rsidRPr="00F7290F">
        <w:rPr>
          <w:rStyle w:val="FontStyle18"/>
          <w:b/>
          <w:color w:val="000000" w:themeColor="text1"/>
          <w:sz w:val="24"/>
          <w:szCs w:val="24"/>
          <w:lang w:val="uk-UA" w:eastAsia="uk-UA"/>
        </w:rPr>
        <w:t>Основні напря</w:t>
      </w:r>
      <w:r w:rsidR="00FC5993" w:rsidRPr="00F7290F">
        <w:rPr>
          <w:rStyle w:val="FontStyle18"/>
          <w:b/>
          <w:color w:val="000000" w:themeColor="text1"/>
          <w:sz w:val="24"/>
          <w:szCs w:val="24"/>
          <w:lang w:val="uk-UA" w:eastAsia="uk-UA"/>
        </w:rPr>
        <w:t>м</w:t>
      </w:r>
      <w:r w:rsidRPr="00F7290F">
        <w:rPr>
          <w:rStyle w:val="FontStyle18"/>
          <w:b/>
          <w:color w:val="000000" w:themeColor="text1"/>
          <w:sz w:val="24"/>
          <w:szCs w:val="24"/>
          <w:lang w:val="uk-UA" w:eastAsia="uk-UA"/>
        </w:rPr>
        <w:t>и діяльності</w:t>
      </w:r>
      <w:r w:rsidRPr="00F7290F">
        <w:rPr>
          <w:rStyle w:val="FontStyle18"/>
          <w:color w:val="000000" w:themeColor="text1"/>
          <w:sz w:val="24"/>
          <w:szCs w:val="24"/>
          <w:lang w:val="uk-UA" w:eastAsia="uk-UA"/>
        </w:rPr>
        <w:t>:</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розвиток механізмів захисту прав, свобод і законних інтересів громадян;</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реалізація державної політики щодо запобігання правопорушень, протидії торгівлі людьми та насильству в сім'ї через взаємодію з органами місцевої влади;</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протидія незаконному обігу наркотичних засобів, боротьба з наркозлочинністю;</w:t>
      </w:r>
    </w:p>
    <w:p w:rsidR="0040192D" w:rsidRPr="00F7290F" w:rsidRDefault="0040192D" w:rsidP="00D65D2E">
      <w:pPr>
        <w:keepNext/>
        <w:widowControl w:val="0"/>
        <w:numPr>
          <w:ilvl w:val="0"/>
          <w:numId w:val="9"/>
        </w:numPr>
        <w:tabs>
          <w:tab w:val="num" w:pos="900"/>
        </w:tabs>
        <w:spacing w:after="120"/>
        <w:ind w:left="0" w:firstLine="720"/>
        <w:jc w:val="both"/>
        <w:rPr>
          <w:color w:val="000000" w:themeColor="text1"/>
          <w:lang w:val="uk-UA"/>
        </w:rPr>
      </w:pPr>
      <w:r w:rsidRPr="00F7290F">
        <w:rPr>
          <w:color w:val="000000" w:themeColor="text1"/>
          <w:lang w:val="uk-UA"/>
        </w:rPr>
        <w:t xml:space="preserve">організація та здійснення цільових оперативно-профілактичних операцій та рейдів, спрямованих на виявлення і затримання злочинних груп та осіб, які скоїли злочини, </w:t>
      </w:r>
      <w:r w:rsidRPr="00F7290F">
        <w:rPr>
          <w:color w:val="000000" w:themeColor="text1"/>
          <w:lang w:val="uk-UA"/>
        </w:rPr>
        <w:lastRenderedPageBreak/>
        <w:t>поліпшення криміногенної ситуації в області.</w:t>
      </w:r>
    </w:p>
    <w:p w:rsidR="00AE3030" w:rsidRPr="00F7290F" w:rsidRDefault="00AE3030" w:rsidP="00D65D2E">
      <w:pPr>
        <w:pStyle w:val="Style13"/>
        <w:keepNext/>
        <w:ind w:firstLine="709"/>
        <w:jc w:val="both"/>
        <w:rPr>
          <w:color w:val="000000" w:themeColor="text1"/>
          <w:lang w:val="uk-UA"/>
        </w:rPr>
      </w:pPr>
      <w:r w:rsidRPr="00F7290F">
        <w:rPr>
          <w:b/>
          <w:bCs/>
          <w:noProof/>
          <w:color w:val="000000" w:themeColor="text1"/>
          <w:lang w:val="uk-UA"/>
        </w:rPr>
        <w:t>Критерії досягнення:</w:t>
      </w:r>
      <w:r w:rsidRPr="00F7290F">
        <w:rPr>
          <w:color w:val="000000" w:themeColor="text1"/>
          <w:lang w:val="uk-UA"/>
        </w:rPr>
        <w:t xml:space="preserve"> </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зниження рівня злочинності, поліпшення криміногенної ситуації в області;</w:t>
      </w:r>
    </w:p>
    <w:p w:rsidR="0040192D" w:rsidRPr="00F7290F" w:rsidRDefault="0040192D" w:rsidP="00D65D2E">
      <w:pPr>
        <w:keepNext/>
        <w:widowControl w:val="0"/>
        <w:numPr>
          <w:ilvl w:val="0"/>
          <w:numId w:val="9"/>
        </w:numPr>
        <w:tabs>
          <w:tab w:val="num" w:pos="900"/>
        </w:tabs>
        <w:spacing w:after="120"/>
        <w:ind w:left="0" w:firstLine="720"/>
        <w:jc w:val="both"/>
        <w:rPr>
          <w:color w:val="000000" w:themeColor="text1"/>
          <w:lang w:val="uk-UA"/>
        </w:rPr>
      </w:pPr>
      <w:r w:rsidRPr="00F7290F">
        <w:rPr>
          <w:color w:val="000000" w:themeColor="text1"/>
          <w:lang w:val="uk-UA"/>
        </w:rPr>
        <w:t xml:space="preserve">забезпечення захисту законних прав та інтересів громадян. </w:t>
      </w:r>
    </w:p>
    <w:p w:rsidR="0040192D" w:rsidRPr="00F7290F" w:rsidRDefault="0040192D" w:rsidP="00D65D2E">
      <w:pPr>
        <w:keepNext/>
        <w:widowControl w:val="0"/>
        <w:ind w:left="720"/>
        <w:jc w:val="both"/>
        <w:rPr>
          <w:b/>
          <w:color w:val="000000" w:themeColor="text1"/>
          <w:lang w:val="uk-UA"/>
        </w:rPr>
      </w:pPr>
      <w:r w:rsidRPr="00F7290F">
        <w:rPr>
          <w:b/>
          <w:color w:val="000000" w:themeColor="text1"/>
          <w:lang w:val="uk-UA"/>
        </w:rPr>
        <w:t>Ресурсне забезпечення</w:t>
      </w:r>
    </w:p>
    <w:p w:rsidR="0040192D" w:rsidRPr="00F7290F" w:rsidRDefault="0040192D" w:rsidP="00D65D2E">
      <w:pPr>
        <w:pStyle w:val="Style8"/>
        <w:keepNext/>
        <w:spacing w:after="120" w:line="240" w:lineRule="auto"/>
        <w:ind w:firstLine="709"/>
        <w:rPr>
          <w:rStyle w:val="FontStyle23"/>
          <w:color w:val="000000" w:themeColor="text1"/>
          <w:spacing w:val="0"/>
          <w:lang w:val="uk-UA" w:eastAsia="uk-UA"/>
        </w:rPr>
      </w:pPr>
      <w:r w:rsidRPr="00F7290F">
        <w:rPr>
          <w:rStyle w:val="FontStyle23"/>
          <w:color w:val="000000" w:themeColor="text1"/>
          <w:spacing w:val="0"/>
          <w:lang w:val="uk-UA" w:eastAsia="uk-UA"/>
        </w:rPr>
        <w:t>Фінансування заходів здійснюватиметься в межах видатків, передбачених в обласному бюджеті на 2013 рік.</w:t>
      </w:r>
    </w:p>
    <w:p w:rsidR="009F22B4" w:rsidRPr="00F7290F" w:rsidRDefault="00085A85" w:rsidP="00D65D2E">
      <w:pPr>
        <w:keepNext/>
        <w:widowControl w:val="0"/>
        <w:tabs>
          <w:tab w:val="left" w:pos="959"/>
        </w:tabs>
        <w:spacing w:after="120"/>
        <w:ind w:left="108"/>
        <w:jc w:val="center"/>
        <w:rPr>
          <w:b/>
          <w:color w:val="000000" w:themeColor="text1"/>
          <w:lang w:val="uk-UA" w:eastAsia="en-US"/>
        </w:rPr>
      </w:pPr>
      <w:r w:rsidRPr="00F7290F">
        <w:rPr>
          <w:b/>
          <w:color w:val="000000" w:themeColor="text1"/>
          <w:lang w:val="uk-UA"/>
        </w:rPr>
        <w:t>3.1</w:t>
      </w:r>
      <w:r w:rsidR="006B6FA2" w:rsidRPr="00F7290F">
        <w:rPr>
          <w:b/>
          <w:color w:val="000000" w:themeColor="text1"/>
          <w:lang w:val="uk-UA"/>
        </w:rPr>
        <w:t>4</w:t>
      </w:r>
      <w:r w:rsidRPr="00F7290F">
        <w:rPr>
          <w:b/>
          <w:color w:val="000000" w:themeColor="text1"/>
          <w:lang w:val="uk-UA"/>
        </w:rPr>
        <w:t xml:space="preserve">. </w:t>
      </w:r>
      <w:r w:rsidR="009F22B4" w:rsidRPr="00F7290F">
        <w:rPr>
          <w:b/>
          <w:color w:val="000000" w:themeColor="text1"/>
          <w:lang w:val="uk-UA"/>
        </w:rPr>
        <w:t>Охорона навколишнього природного середовища</w:t>
      </w:r>
    </w:p>
    <w:p w:rsidR="00784688" w:rsidRPr="00F7290F" w:rsidRDefault="00751AE2" w:rsidP="00D65D2E">
      <w:pPr>
        <w:keepNext/>
        <w:widowControl w:val="0"/>
        <w:ind w:firstLine="720"/>
        <w:rPr>
          <w:b/>
          <w:color w:val="000000" w:themeColor="text1"/>
          <w:lang w:val="uk-UA"/>
        </w:rPr>
      </w:pPr>
      <w:r w:rsidRPr="00F7290F">
        <w:rPr>
          <w:b/>
          <w:color w:val="000000" w:themeColor="text1"/>
          <w:lang w:val="uk-UA"/>
        </w:rPr>
        <w:t>Актуальні проблеми</w:t>
      </w:r>
      <w:r w:rsidR="009B0A5F" w:rsidRPr="00F7290F">
        <w:rPr>
          <w:b/>
          <w:color w:val="000000" w:themeColor="text1"/>
          <w:lang w:val="uk-UA"/>
        </w:rPr>
        <w:t>:</w:t>
      </w:r>
    </w:p>
    <w:p w:rsidR="00D52786" w:rsidRPr="00F7290F" w:rsidRDefault="00D52786" w:rsidP="00D65D2E">
      <w:pPr>
        <w:keepNext/>
        <w:widowControl w:val="0"/>
        <w:numPr>
          <w:ilvl w:val="1"/>
          <w:numId w:val="16"/>
        </w:numPr>
        <w:tabs>
          <w:tab w:val="clear" w:pos="1931"/>
          <w:tab w:val="num" w:pos="900"/>
        </w:tabs>
        <w:ind w:left="0" w:firstLine="720"/>
        <w:jc w:val="both"/>
        <w:rPr>
          <w:color w:val="000000" w:themeColor="text1"/>
          <w:lang w:val="uk-UA"/>
        </w:rPr>
      </w:pPr>
      <w:r w:rsidRPr="00F7290F">
        <w:rPr>
          <w:color w:val="000000" w:themeColor="text1"/>
          <w:lang w:val="uk-UA"/>
        </w:rPr>
        <w:t>моральна застарілість технологій та фізична зношеність устаткування більшості підприємств металургійної, вугільної та енергетичної галузей, яка спричиняє значні викиди забруднюючих речовин в атмосферне повітря, призводить до утворення і накопичення великих обсягів виробничих відходів;</w:t>
      </w:r>
    </w:p>
    <w:p w:rsidR="00D52786" w:rsidRPr="00F7290F" w:rsidRDefault="003D68EB" w:rsidP="00D65D2E">
      <w:pPr>
        <w:keepNext/>
        <w:widowControl w:val="0"/>
        <w:numPr>
          <w:ilvl w:val="1"/>
          <w:numId w:val="16"/>
        </w:numPr>
        <w:tabs>
          <w:tab w:val="clear" w:pos="1931"/>
          <w:tab w:val="num" w:pos="900"/>
        </w:tabs>
        <w:ind w:left="0" w:firstLine="720"/>
        <w:jc w:val="both"/>
        <w:rPr>
          <w:color w:val="000000" w:themeColor="text1"/>
          <w:lang w:val="uk-UA"/>
        </w:rPr>
      </w:pPr>
      <w:r w:rsidRPr="00F7290F">
        <w:rPr>
          <w:color w:val="000000" w:themeColor="text1"/>
          <w:lang w:val="uk-UA"/>
        </w:rPr>
        <w:t>висока інтенсивність використання водни</w:t>
      </w:r>
      <w:r w:rsidR="003D1B61" w:rsidRPr="00F7290F">
        <w:rPr>
          <w:color w:val="000000" w:themeColor="text1"/>
          <w:lang w:val="uk-UA"/>
        </w:rPr>
        <w:t>х ресурсів</w:t>
      </w:r>
      <w:r w:rsidRPr="00F7290F">
        <w:rPr>
          <w:color w:val="000000" w:themeColor="text1"/>
          <w:lang w:val="uk-UA"/>
        </w:rPr>
        <w:t xml:space="preserve">, </w:t>
      </w:r>
      <w:r w:rsidR="00A63A9D" w:rsidRPr="00F7290F">
        <w:rPr>
          <w:color w:val="000000" w:themeColor="text1"/>
          <w:lang w:val="uk-UA"/>
        </w:rPr>
        <w:t xml:space="preserve">значні обсяги </w:t>
      </w:r>
      <w:r w:rsidR="00C61AB8" w:rsidRPr="00F7290F">
        <w:rPr>
          <w:color w:val="000000" w:themeColor="text1"/>
          <w:lang w:val="uk-UA"/>
        </w:rPr>
        <w:t>скиду забруднених стічних вод у водні об’єкти</w:t>
      </w:r>
      <w:r w:rsidR="00D52786" w:rsidRPr="00F7290F">
        <w:rPr>
          <w:color w:val="000000" w:themeColor="text1"/>
          <w:lang w:val="uk-UA"/>
        </w:rPr>
        <w:t>;</w:t>
      </w:r>
    </w:p>
    <w:p w:rsidR="00D52786" w:rsidRPr="00F7290F" w:rsidRDefault="00D52786" w:rsidP="00D65D2E">
      <w:pPr>
        <w:keepNext/>
        <w:widowControl w:val="0"/>
        <w:numPr>
          <w:ilvl w:val="1"/>
          <w:numId w:val="16"/>
        </w:numPr>
        <w:tabs>
          <w:tab w:val="clear" w:pos="1931"/>
          <w:tab w:val="num" w:pos="900"/>
        </w:tabs>
        <w:ind w:left="0" w:firstLine="720"/>
        <w:jc w:val="both"/>
        <w:rPr>
          <w:b/>
          <w:color w:val="000000" w:themeColor="text1"/>
          <w:lang w:val="uk-UA"/>
        </w:rPr>
      </w:pPr>
      <w:r w:rsidRPr="00F7290F">
        <w:rPr>
          <w:color w:val="000000" w:themeColor="text1"/>
          <w:szCs w:val="28"/>
          <w:lang w:val="uk-UA" w:eastAsia="uk-UA"/>
        </w:rPr>
        <w:t xml:space="preserve">посилення процесів деградації ґрунту через нераціональну експлуатацію земельних ресурсів;  </w:t>
      </w:r>
    </w:p>
    <w:p w:rsidR="003D68EB" w:rsidRPr="00F7290F" w:rsidRDefault="00D52786" w:rsidP="00D65D2E">
      <w:pPr>
        <w:keepNext/>
        <w:widowControl w:val="0"/>
        <w:numPr>
          <w:ilvl w:val="1"/>
          <w:numId w:val="16"/>
        </w:numPr>
        <w:tabs>
          <w:tab w:val="clear" w:pos="1931"/>
          <w:tab w:val="num" w:pos="900"/>
        </w:tabs>
        <w:ind w:left="0" w:firstLine="720"/>
        <w:jc w:val="both"/>
        <w:rPr>
          <w:color w:val="000000" w:themeColor="text1"/>
          <w:lang w:val="uk-UA"/>
        </w:rPr>
      </w:pPr>
      <w:r w:rsidRPr="00F7290F">
        <w:rPr>
          <w:color w:val="000000" w:themeColor="text1"/>
          <w:szCs w:val="28"/>
          <w:lang w:val="uk-UA" w:eastAsia="uk-UA"/>
        </w:rPr>
        <w:t xml:space="preserve">погіршення стану земель в результаті </w:t>
      </w:r>
      <w:r w:rsidRPr="00F7290F">
        <w:rPr>
          <w:color w:val="000000" w:themeColor="text1"/>
          <w:szCs w:val="28"/>
          <w:lang w:val="uk-UA"/>
        </w:rPr>
        <w:t xml:space="preserve">багаторічного інтенсивного видобутку вугілля і закриття шахт, </w:t>
      </w:r>
      <w:r w:rsidRPr="00F7290F">
        <w:rPr>
          <w:color w:val="000000" w:themeColor="text1"/>
          <w:szCs w:val="28"/>
          <w:lang w:val="uk-UA" w:eastAsia="uk-UA"/>
        </w:rPr>
        <w:t>дисбаланс між відпрацьованими та рекультивованими землями на гірничодобувних підприємствах</w:t>
      </w:r>
      <w:r w:rsidR="003D68EB" w:rsidRPr="00F7290F">
        <w:rPr>
          <w:color w:val="000000" w:themeColor="text1"/>
          <w:szCs w:val="28"/>
          <w:lang w:val="uk-UA" w:eastAsia="uk-UA"/>
        </w:rPr>
        <w:t>;</w:t>
      </w:r>
    </w:p>
    <w:p w:rsidR="00784688" w:rsidRPr="00F7290F" w:rsidRDefault="00453B31" w:rsidP="00D65D2E">
      <w:pPr>
        <w:keepNext/>
        <w:widowControl w:val="0"/>
        <w:numPr>
          <w:ilvl w:val="1"/>
          <w:numId w:val="16"/>
        </w:numPr>
        <w:tabs>
          <w:tab w:val="clear" w:pos="1931"/>
          <w:tab w:val="num" w:pos="900"/>
        </w:tabs>
        <w:spacing w:after="120"/>
        <w:ind w:left="0" w:firstLine="720"/>
        <w:jc w:val="both"/>
        <w:rPr>
          <w:color w:val="000000" w:themeColor="text1"/>
          <w:lang w:val="uk-UA"/>
        </w:rPr>
      </w:pPr>
      <w:r w:rsidRPr="00F7290F">
        <w:rPr>
          <w:color w:val="000000" w:themeColor="text1"/>
          <w:lang w:val="uk-UA"/>
        </w:rPr>
        <w:t>негативний вплив екологічної ситуації, що склалася в області, на біологічне та ландшафтне різноманіття</w:t>
      </w:r>
      <w:r w:rsidR="00435DA1" w:rsidRPr="00F7290F">
        <w:rPr>
          <w:color w:val="000000" w:themeColor="text1"/>
          <w:lang w:val="uk-UA"/>
        </w:rPr>
        <w:t xml:space="preserve">. </w:t>
      </w:r>
    </w:p>
    <w:p w:rsidR="00784688" w:rsidRPr="00F7290F" w:rsidRDefault="00784688" w:rsidP="00D65D2E">
      <w:pPr>
        <w:keepNext/>
        <w:widowControl w:val="0"/>
        <w:spacing w:after="120"/>
        <w:ind w:firstLine="720"/>
        <w:jc w:val="both"/>
        <w:rPr>
          <w:color w:val="000000" w:themeColor="text1"/>
          <w:lang w:val="uk-UA"/>
        </w:rPr>
      </w:pPr>
      <w:r w:rsidRPr="00F7290F">
        <w:rPr>
          <w:b/>
          <w:color w:val="000000" w:themeColor="text1"/>
          <w:lang w:val="uk-UA"/>
        </w:rPr>
        <w:t xml:space="preserve">Головна мета – </w:t>
      </w:r>
      <w:r w:rsidRPr="00F7290F">
        <w:rPr>
          <w:color w:val="000000" w:themeColor="text1"/>
          <w:lang w:val="uk-UA"/>
        </w:rPr>
        <w:t>забезпечення</w:t>
      </w:r>
      <w:r w:rsidRPr="00F7290F">
        <w:rPr>
          <w:b/>
          <w:color w:val="000000" w:themeColor="text1"/>
          <w:lang w:val="uk-UA"/>
        </w:rPr>
        <w:t xml:space="preserve"> </w:t>
      </w:r>
      <w:r w:rsidRPr="00F7290F">
        <w:rPr>
          <w:color w:val="000000" w:themeColor="text1"/>
          <w:lang w:val="uk-UA"/>
        </w:rPr>
        <w:t>екологічної безпеки</w:t>
      </w:r>
      <w:r w:rsidRPr="00F7290F">
        <w:rPr>
          <w:b/>
          <w:color w:val="000000" w:themeColor="text1"/>
          <w:lang w:val="uk-UA"/>
        </w:rPr>
        <w:t xml:space="preserve"> </w:t>
      </w:r>
      <w:r w:rsidRPr="00F7290F">
        <w:rPr>
          <w:color w:val="000000" w:themeColor="text1"/>
          <w:lang w:val="uk-UA"/>
        </w:rPr>
        <w:t>шляхом попередження</w:t>
      </w:r>
      <w:r w:rsidRPr="00F7290F">
        <w:rPr>
          <w:b/>
          <w:color w:val="000000" w:themeColor="text1"/>
          <w:lang w:val="uk-UA"/>
        </w:rPr>
        <w:t xml:space="preserve"> </w:t>
      </w:r>
      <w:r w:rsidRPr="00F7290F">
        <w:rPr>
          <w:color w:val="000000" w:themeColor="text1"/>
          <w:lang w:val="uk-UA"/>
        </w:rPr>
        <w:t>і мінімізації негативного впливу людської діяльності на навколишнє природне середовище, раціонального використання і збереження природних ресурсів, перехід до сталого, екологічно збалансованого розвитку</w:t>
      </w:r>
      <w:r w:rsidRPr="00F7290F">
        <w:rPr>
          <w:b/>
          <w:color w:val="000000" w:themeColor="text1"/>
          <w:lang w:val="uk-UA"/>
        </w:rPr>
        <w:t xml:space="preserve"> </w:t>
      </w:r>
      <w:r w:rsidRPr="00F7290F">
        <w:rPr>
          <w:color w:val="000000" w:themeColor="text1"/>
          <w:lang w:val="uk-UA"/>
        </w:rPr>
        <w:t>регіону.</w:t>
      </w:r>
    </w:p>
    <w:p w:rsidR="00CC7B2A" w:rsidRPr="00F7290F" w:rsidRDefault="00CC7B2A" w:rsidP="00D65D2E">
      <w:pPr>
        <w:pStyle w:val="Style4"/>
        <w:keepNext/>
        <w:spacing w:line="240" w:lineRule="auto"/>
        <w:ind w:firstLine="709"/>
        <w:jc w:val="left"/>
        <w:rPr>
          <w:rStyle w:val="FontStyle17"/>
          <w:color w:val="000000" w:themeColor="text1"/>
          <w:sz w:val="24"/>
          <w:szCs w:val="24"/>
          <w:lang w:val="uk-UA" w:eastAsia="uk-UA"/>
        </w:rPr>
      </w:pPr>
      <w:r w:rsidRPr="00F7290F">
        <w:rPr>
          <w:rStyle w:val="FontStyle17"/>
          <w:color w:val="000000" w:themeColor="text1"/>
          <w:sz w:val="24"/>
          <w:szCs w:val="24"/>
          <w:lang w:val="uk-UA" w:eastAsia="uk-UA"/>
        </w:rPr>
        <w:t>Основні завдання:</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удосконалення технологічних процесів, реконструкція існуючих виробничих потужностей, запровадження технологій, спрямованих на зниження техногенного навантаження на довкілля;</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поліпшення стану систем</w:t>
      </w:r>
      <w:r w:rsidR="009B0A5F" w:rsidRPr="00F7290F">
        <w:rPr>
          <w:color w:val="000000" w:themeColor="text1"/>
          <w:lang w:val="uk-UA"/>
        </w:rPr>
        <w:t>и</w:t>
      </w:r>
      <w:r w:rsidRPr="00F7290F">
        <w:rPr>
          <w:color w:val="000000" w:themeColor="text1"/>
          <w:lang w:val="uk-UA"/>
        </w:rPr>
        <w:t xml:space="preserve"> водовідведення, реконструкція існуючих та будівництво нових очисних споруд стічних вод в населених пунктах області;</w:t>
      </w:r>
    </w:p>
    <w:p w:rsidR="009B0A5F" w:rsidRPr="00F7290F" w:rsidRDefault="00A63A9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розробк</w:t>
      </w:r>
      <w:r w:rsidR="00CB0AFF" w:rsidRPr="00F7290F">
        <w:rPr>
          <w:color w:val="000000" w:themeColor="text1"/>
          <w:lang w:val="uk-UA"/>
        </w:rPr>
        <w:t>а</w:t>
      </w:r>
      <w:r w:rsidRPr="00F7290F">
        <w:rPr>
          <w:color w:val="000000" w:themeColor="text1"/>
          <w:lang w:val="uk-UA"/>
        </w:rPr>
        <w:t xml:space="preserve"> та застосування комплексу дій щодо покращання екологічного стану рік та водоймищ області</w:t>
      </w:r>
      <w:r w:rsidR="009B0A5F" w:rsidRPr="00F7290F">
        <w:rPr>
          <w:color w:val="000000" w:themeColor="text1"/>
          <w:lang w:val="uk-UA"/>
        </w:rPr>
        <w:t>;</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забезпечення екологічно безпечного поводження з відходами, зменшення їх впливу на навколишнє середовище;</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 xml:space="preserve">запровадження системи землекористування, спрямованої на відновлення родючості ґрунту; </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збереження та відновлення біологічного різноманіття;</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застосування комплексного підходу до розв’язання екологічних проблем;</w:t>
      </w:r>
    </w:p>
    <w:p w:rsidR="00784688" w:rsidRPr="00F7290F" w:rsidRDefault="00784688" w:rsidP="00D65D2E">
      <w:pPr>
        <w:keepNext/>
        <w:widowControl w:val="0"/>
        <w:numPr>
          <w:ilvl w:val="0"/>
          <w:numId w:val="9"/>
        </w:numPr>
        <w:tabs>
          <w:tab w:val="num" w:pos="900"/>
        </w:tabs>
        <w:spacing w:after="120"/>
        <w:ind w:left="0" w:firstLine="720"/>
        <w:jc w:val="both"/>
        <w:rPr>
          <w:color w:val="000000" w:themeColor="text1"/>
          <w:lang w:val="uk-UA"/>
        </w:rPr>
      </w:pPr>
      <w:r w:rsidRPr="00F7290F">
        <w:rPr>
          <w:color w:val="000000" w:themeColor="text1"/>
          <w:lang w:val="uk-UA"/>
        </w:rPr>
        <w:t xml:space="preserve">формування екологічної культури, розвиток екологічної освіти та виховання населення. </w:t>
      </w:r>
    </w:p>
    <w:p w:rsidR="00784688" w:rsidRPr="00F7290F" w:rsidRDefault="00C9120F" w:rsidP="00D65D2E">
      <w:pPr>
        <w:keepNext/>
        <w:widowControl w:val="0"/>
        <w:ind w:firstLine="720"/>
        <w:jc w:val="both"/>
        <w:rPr>
          <w:color w:val="000000" w:themeColor="text1"/>
          <w:lang w:val="uk-UA"/>
        </w:rPr>
      </w:pPr>
      <w:r w:rsidRPr="00F7290F">
        <w:rPr>
          <w:b/>
          <w:color w:val="000000" w:themeColor="text1"/>
          <w:lang w:val="uk-UA"/>
        </w:rPr>
        <w:t xml:space="preserve">Основні </w:t>
      </w:r>
      <w:r w:rsidR="00784688" w:rsidRPr="00F7290F">
        <w:rPr>
          <w:b/>
          <w:color w:val="000000" w:themeColor="text1"/>
          <w:lang w:val="uk-UA"/>
        </w:rPr>
        <w:t>напрями</w:t>
      </w:r>
      <w:r w:rsidR="00784688" w:rsidRPr="00F7290F">
        <w:rPr>
          <w:color w:val="000000" w:themeColor="text1"/>
          <w:lang w:val="uk-UA"/>
        </w:rPr>
        <w:t xml:space="preserve"> </w:t>
      </w:r>
      <w:r w:rsidR="00784688" w:rsidRPr="00F7290F">
        <w:rPr>
          <w:b/>
          <w:color w:val="000000" w:themeColor="text1"/>
          <w:lang w:val="uk-UA"/>
        </w:rPr>
        <w:t>діяльності</w:t>
      </w:r>
      <w:r w:rsidR="00784688" w:rsidRPr="00F7290F">
        <w:rPr>
          <w:color w:val="000000" w:themeColor="text1"/>
          <w:lang w:val="uk-UA"/>
        </w:rPr>
        <w:t>:</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охорона атмосферного повітря;</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охорона і раціональне використання водних ресурсів;</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охорона і раціональне використання земель та мінеральних ресурсів;</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охорона і раціональне використання природних рослинних ресурсів, ресурсів тваринного світу та збереження природно-заповідного фонду;</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lastRenderedPageBreak/>
        <w:t>раціональне використання і зберігання відходів виробництва і побутових відходів;</w:t>
      </w:r>
    </w:p>
    <w:p w:rsidR="00784688" w:rsidRPr="00F7290F" w:rsidRDefault="00784688" w:rsidP="00D65D2E">
      <w:pPr>
        <w:keepNext/>
        <w:widowControl w:val="0"/>
        <w:numPr>
          <w:ilvl w:val="0"/>
          <w:numId w:val="8"/>
        </w:numPr>
        <w:tabs>
          <w:tab w:val="clear" w:pos="1724"/>
          <w:tab w:val="num" w:pos="1080"/>
        </w:tabs>
        <w:spacing w:after="120"/>
        <w:ind w:left="1080"/>
        <w:jc w:val="both"/>
        <w:rPr>
          <w:color w:val="000000" w:themeColor="text1"/>
          <w:lang w:val="uk-UA"/>
        </w:rPr>
      </w:pPr>
      <w:r w:rsidRPr="00F7290F">
        <w:rPr>
          <w:color w:val="000000" w:themeColor="text1"/>
          <w:lang w:val="uk-UA"/>
        </w:rPr>
        <w:t>наука, інформація і освіта та моніторинг охорони навколишнього природного середовища.</w:t>
      </w:r>
    </w:p>
    <w:p w:rsidR="00784688" w:rsidRPr="00F7290F" w:rsidRDefault="006274A2" w:rsidP="00D65D2E">
      <w:pPr>
        <w:keepNext/>
        <w:widowControl w:val="0"/>
        <w:ind w:firstLine="720"/>
        <w:jc w:val="both"/>
        <w:rPr>
          <w:b/>
          <w:color w:val="000000" w:themeColor="text1"/>
          <w:lang w:val="uk-UA"/>
        </w:rPr>
      </w:pPr>
      <w:r w:rsidRPr="00F7290F">
        <w:rPr>
          <w:b/>
          <w:bCs/>
          <w:noProof/>
          <w:color w:val="000000" w:themeColor="text1"/>
          <w:lang w:val="uk-UA"/>
        </w:rPr>
        <w:t>Критерії досягнення</w:t>
      </w:r>
    </w:p>
    <w:p w:rsidR="00784688" w:rsidRPr="00F7290F" w:rsidRDefault="00784688" w:rsidP="00D65D2E">
      <w:pPr>
        <w:keepNext/>
        <w:widowControl w:val="0"/>
        <w:spacing w:after="120"/>
        <w:ind w:firstLine="720"/>
        <w:jc w:val="both"/>
        <w:rPr>
          <w:color w:val="000000" w:themeColor="text1"/>
          <w:lang w:val="uk-UA"/>
        </w:rPr>
      </w:pPr>
      <w:r w:rsidRPr="00F7290F">
        <w:rPr>
          <w:color w:val="000000" w:themeColor="text1"/>
          <w:lang w:val="uk-UA"/>
        </w:rPr>
        <w:t>В результаті реалізації запланованих заходів очікується зменшення викидів шкідливих речовин в атмосферне повітря, зниження скид</w:t>
      </w:r>
      <w:r w:rsidR="00BF447A" w:rsidRPr="00F7290F">
        <w:rPr>
          <w:color w:val="000000" w:themeColor="text1"/>
          <w:lang w:val="uk-UA"/>
        </w:rPr>
        <w:t>у забруднених стічних</w:t>
      </w:r>
      <w:r w:rsidRPr="00F7290F">
        <w:rPr>
          <w:color w:val="000000" w:themeColor="text1"/>
          <w:lang w:val="uk-UA"/>
        </w:rPr>
        <w:t xml:space="preserve"> вод, </w:t>
      </w:r>
      <w:r w:rsidR="00F81C46" w:rsidRPr="00F7290F">
        <w:rPr>
          <w:color w:val="000000" w:themeColor="text1"/>
          <w:lang w:val="uk-UA"/>
        </w:rPr>
        <w:t xml:space="preserve">поліпшення </w:t>
      </w:r>
      <w:r w:rsidR="00A403E0" w:rsidRPr="00F7290F">
        <w:rPr>
          <w:color w:val="000000" w:themeColor="text1"/>
          <w:lang w:val="uk-UA"/>
        </w:rPr>
        <w:t xml:space="preserve">якісного </w:t>
      </w:r>
      <w:r w:rsidR="00F81C46" w:rsidRPr="00F7290F">
        <w:rPr>
          <w:color w:val="000000" w:themeColor="text1"/>
          <w:lang w:val="uk-UA"/>
        </w:rPr>
        <w:t>стану земель</w:t>
      </w:r>
      <w:r w:rsidR="00A85B52" w:rsidRPr="00F7290F">
        <w:rPr>
          <w:color w:val="000000" w:themeColor="text1"/>
          <w:lang w:val="uk-UA"/>
        </w:rPr>
        <w:t xml:space="preserve">, </w:t>
      </w:r>
      <w:r w:rsidR="00F81C46" w:rsidRPr="00F7290F">
        <w:rPr>
          <w:color w:val="000000" w:themeColor="text1"/>
          <w:lang w:val="uk-UA"/>
        </w:rPr>
        <w:t xml:space="preserve"> </w:t>
      </w:r>
      <w:r w:rsidR="00A85B52" w:rsidRPr="00F7290F">
        <w:rPr>
          <w:color w:val="000000" w:themeColor="text1"/>
          <w:lang w:val="uk-UA"/>
        </w:rPr>
        <w:t>скорочення обсягів надходження в довкілля небезпечних відходів</w:t>
      </w:r>
      <w:r w:rsidR="00180CD1" w:rsidRPr="00F7290F">
        <w:rPr>
          <w:color w:val="000000" w:themeColor="text1"/>
          <w:lang w:val="uk-UA"/>
        </w:rPr>
        <w:t>, збереження біорізномаїття на території регіону.</w:t>
      </w:r>
      <w:r w:rsidRPr="00F7290F">
        <w:rPr>
          <w:color w:val="000000" w:themeColor="text1"/>
          <w:lang w:val="uk-UA"/>
        </w:rPr>
        <w:t xml:space="preserve">  </w:t>
      </w:r>
    </w:p>
    <w:p w:rsidR="00784688" w:rsidRPr="00F7290F" w:rsidRDefault="008E4988" w:rsidP="00D65D2E">
      <w:pPr>
        <w:keepNext/>
        <w:widowControl w:val="0"/>
        <w:ind w:firstLine="720"/>
        <w:jc w:val="both"/>
        <w:rPr>
          <w:b/>
          <w:color w:val="000000" w:themeColor="text1"/>
          <w:lang w:val="uk-UA"/>
        </w:rPr>
      </w:pPr>
      <w:r w:rsidRPr="00F7290F">
        <w:rPr>
          <w:b/>
          <w:color w:val="000000" w:themeColor="text1"/>
          <w:lang w:val="uk-UA"/>
        </w:rPr>
        <w:t>Ресурсне забезпечення</w:t>
      </w:r>
      <w:r w:rsidR="00784688" w:rsidRPr="00F7290F">
        <w:rPr>
          <w:b/>
          <w:color w:val="000000" w:themeColor="text1"/>
          <w:lang w:val="uk-UA"/>
        </w:rPr>
        <w:t xml:space="preserve"> </w:t>
      </w:r>
    </w:p>
    <w:p w:rsidR="00784688" w:rsidRPr="00F7290F" w:rsidRDefault="00784688" w:rsidP="00D65D2E">
      <w:pPr>
        <w:keepNext/>
        <w:widowControl w:val="0"/>
        <w:spacing w:after="120"/>
        <w:ind w:firstLine="720"/>
        <w:jc w:val="both"/>
        <w:rPr>
          <w:color w:val="000000" w:themeColor="text1"/>
          <w:lang w:val="uk-UA"/>
        </w:rPr>
      </w:pPr>
      <w:r w:rsidRPr="00F7290F">
        <w:rPr>
          <w:color w:val="000000" w:themeColor="text1"/>
          <w:lang w:val="uk-UA"/>
        </w:rPr>
        <w:t xml:space="preserve">Фінансування природоохоронних заходів передбачається за рахунок </w:t>
      </w:r>
      <w:r w:rsidR="005354E1" w:rsidRPr="00F7290F">
        <w:rPr>
          <w:color w:val="000000" w:themeColor="text1"/>
          <w:lang w:val="uk-UA"/>
        </w:rPr>
        <w:t xml:space="preserve">фондів охорони навколишнього природного середовища </w:t>
      </w:r>
      <w:r w:rsidR="009F257C" w:rsidRPr="00F7290F">
        <w:rPr>
          <w:color w:val="000000" w:themeColor="text1"/>
          <w:lang w:val="uk-UA"/>
        </w:rPr>
        <w:t xml:space="preserve">державного бюджету, місцевих бюджетів, коштів </w:t>
      </w:r>
      <w:r w:rsidR="005354E1" w:rsidRPr="00F7290F">
        <w:rPr>
          <w:color w:val="000000" w:themeColor="text1"/>
          <w:lang w:val="uk-UA"/>
        </w:rPr>
        <w:t xml:space="preserve">підприємств </w:t>
      </w:r>
      <w:r w:rsidRPr="00F7290F">
        <w:rPr>
          <w:color w:val="000000" w:themeColor="text1"/>
          <w:lang w:val="uk-UA"/>
        </w:rPr>
        <w:t>та інших джерел.</w:t>
      </w:r>
    </w:p>
    <w:p w:rsidR="00D76C64" w:rsidRPr="00F7290F" w:rsidRDefault="00D76C64" w:rsidP="00D65D2E">
      <w:pPr>
        <w:keepNext/>
        <w:widowControl w:val="0"/>
        <w:tabs>
          <w:tab w:val="left" w:pos="959"/>
        </w:tabs>
        <w:spacing w:after="120"/>
        <w:ind w:left="108"/>
        <w:jc w:val="center"/>
        <w:rPr>
          <w:b/>
          <w:color w:val="000000" w:themeColor="text1"/>
          <w:lang w:val="uk-UA"/>
        </w:rPr>
      </w:pPr>
      <w:r w:rsidRPr="00F7290F">
        <w:rPr>
          <w:b/>
          <w:color w:val="000000" w:themeColor="text1"/>
          <w:lang w:val="uk-UA"/>
        </w:rPr>
        <w:t>3.1</w:t>
      </w:r>
      <w:r w:rsidR="006B6FA2" w:rsidRPr="00F7290F">
        <w:rPr>
          <w:b/>
          <w:color w:val="000000" w:themeColor="text1"/>
          <w:lang w:val="uk-UA"/>
        </w:rPr>
        <w:t>5</w:t>
      </w:r>
      <w:r w:rsidR="000B03DE" w:rsidRPr="00F7290F">
        <w:rPr>
          <w:b/>
          <w:color w:val="000000" w:themeColor="text1"/>
          <w:lang w:val="uk-UA"/>
        </w:rPr>
        <w:t xml:space="preserve">. </w:t>
      </w:r>
      <w:r w:rsidRPr="00F7290F">
        <w:rPr>
          <w:b/>
          <w:color w:val="000000" w:themeColor="text1"/>
          <w:lang w:val="uk-UA"/>
        </w:rPr>
        <w:t>Захист населення і територій від надзвичайних ситуацій</w:t>
      </w:r>
    </w:p>
    <w:p w:rsidR="008B2B75" w:rsidRPr="00F7290F" w:rsidRDefault="00F751E6" w:rsidP="00D65D2E">
      <w:pPr>
        <w:keepNext/>
        <w:widowControl w:val="0"/>
        <w:ind w:firstLine="720"/>
        <w:rPr>
          <w:b/>
          <w:color w:val="000000" w:themeColor="text1"/>
          <w:lang w:val="uk-UA"/>
        </w:rPr>
      </w:pPr>
      <w:r w:rsidRPr="00F7290F">
        <w:rPr>
          <w:b/>
          <w:color w:val="000000" w:themeColor="text1"/>
          <w:lang w:val="uk-UA"/>
        </w:rPr>
        <w:t>Актуальні проблеми:</w:t>
      </w:r>
    </w:p>
    <w:p w:rsidR="00C000E6" w:rsidRPr="00F7290F" w:rsidRDefault="00C000E6"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високий рівень ризику виникнення надзвичайних ситуацій;</w:t>
      </w:r>
    </w:p>
    <w:p w:rsidR="00C000E6" w:rsidRPr="00F7290F" w:rsidRDefault="00C000E6"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недостатня забезпеченість матеріально-технічним устаткуванням для проведення запобіжних заходів та ліквідації наслідків надзвичайних ситуацій відповідно до встановлених нормативів;</w:t>
      </w:r>
    </w:p>
    <w:p w:rsidR="00C000E6" w:rsidRPr="00F7290F" w:rsidRDefault="00C000E6" w:rsidP="00D65D2E">
      <w:pPr>
        <w:keepNext/>
        <w:widowControl w:val="0"/>
        <w:numPr>
          <w:ilvl w:val="0"/>
          <w:numId w:val="9"/>
        </w:numPr>
        <w:tabs>
          <w:tab w:val="num" w:pos="900"/>
        </w:tabs>
        <w:ind w:left="0" w:firstLine="720"/>
        <w:jc w:val="both"/>
        <w:rPr>
          <w:rStyle w:val="FontStyle16"/>
          <w:b/>
          <w:color w:val="000000" w:themeColor="text1"/>
          <w:lang w:val="uk-UA" w:eastAsia="uk-UA"/>
        </w:rPr>
      </w:pPr>
      <w:r w:rsidRPr="00F7290F">
        <w:rPr>
          <w:color w:val="000000" w:themeColor="text1"/>
          <w:lang w:val="uk-UA"/>
        </w:rPr>
        <w:t>потреба у вдосконален</w:t>
      </w:r>
      <w:r w:rsidR="00CB0AFF" w:rsidRPr="00F7290F">
        <w:rPr>
          <w:color w:val="000000" w:themeColor="text1"/>
          <w:lang w:val="uk-UA"/>
        </w:rPr>
        <w:t>н</w:t>
      </w:r>
      <w:r w:rsidRPr="00F7290F">
        <w:rPr>
          <w:color w:val="000000" w:themeColor="text1"/>
          <w:lang w:val="uk-UA"/>
        </w:rPr>
        <w:t>і</w:t>
      </w:r>
      <w:r w:rsidRPr="00F7290F">
        <w:rPr>
          <w:rStyle w:val="FontStyle16"/>
          <w:color w:val="000000" w:themeColor="text1"/>
          <w:sz w:val="24"/>
          <w:szCs w:val="24"/>
          <w:lang w:val="uk-UA" w:eastAsia="uk-UA"/>
        </w:rPr>
        <w:t xml:space="preserve"> системи оповіщення з використанням новітніх технологій</w:t>
      </w:r>
      <w:r w:rsidRPr="00F7290F">
        <w:rPr>
          <w:rStyle w:val="FontStyle16"/>
          <w:color w:val="000000" w:themeColor="text1"/>
          <w:lang w:val="uk-UA" w:eastAsia="uk-UA"/>
        </w:rPr>
        <w:t>.</w:t>
      </w:r>
    </w:p>
    <w:p w:rsidR="00D76C64" w:rsidRPr="00F7290F" w:rsidRDefault="00D76C64" w:rsidP="00D65D2E">
      <w:pPr>
        <w:pStyle w:val="Style3"/>
        <w:keepNext/>
        <w:spacing w:before="120" w:after="120" w:line="240" w:lineRule="auto"/>
        <w:ind w:firstLine="709"/>
        <w:rPr>
          <w:rStyle w:val="FontStyle16"/>
          <w:color w:val="000000" w:themeColor="text1"/>
          <w:sz w:val="24"/>
          <w:szCs w:val="24"/>
        </w:rPr>
      </w:pPr>
      <w:r w:rsidRPr="00F7290F">
        <w:rPr>
          <w:rStyle w:val="FontStyle17"/>
          <w:color w:val="000000" w:themeColor="text1"/>
          <w:sz w:val="24"/>
          <w:szCs w:val="24"/>
        </w:rPr>
        <w:t xml:space="preserve">Головна мета </w:t>
      </w:r>
      <w:r w:rsidRPr="00F7290F">
        <w:rPr>
          <w:rStyle w:val="FontStyle16"/>
          <w:color w:val="000000" w:themeColor="text1"/>
          <w:sz w:val="24"/>
          <w:szCs w:val="24"/>
        </w:rPr>
        <w:t>- забезпечення достатнього рівня безпеки населення і територій області та ефективних дій щодо попередження і реагування на надзвичайні ситуації техногенного та природного характеру, ліквідації пожеж і рятування людей на водних об'єктах.</w:t>
      </w:r>
    </w:p>
    <w:p w:rsidR="00D76C64" w:rsidRPr="00F7290F" w:rsidRDefault="00D76C64" w:rsidP="00D65D2E">
      <w:pPr>
        <w:pStyle w:val="Style4"/>
        <w:keepNext/>
        <w:spacing w:line="240" w:lineRule="auto"/>
        <w:ind w:firstLine="709"/>
        <w:jc w:val="left"/>
        <w:rPr>
          <w:rStyle w:val="FontStyle17"/>
          <w:color w:val="000000" w:themeColor="text1"/>
          <w:sz w:val="24"/>
          <w:szCs w:val="24"/>
          <w:lang w:val="uk-UA" w:eastAsia="uk-UA"/>
        </w:rPr>
      </w:pPr>
      <w:r w:rsidRPr="00F7290F">
        <w:rPr>
          <w:rStyle w:val="FontStyle17"/>
          <w:color w:val="000000" w:themeColor="text1"/>
          <w:sz w:val="24"/>
          <w:szCs w:val="24"/>
          <w:lang w:val="uk-UA" w:eastAsia="uk-UA"/>
        </w:rPr>
        <w:t>Основні завдання у 2013 році:</w:t>
      </w:r>
    </w:p>
    <w:p w:rsidR="00D76C64" w:rsidRPr="00F7290F" w:rsidRDefault="00D76C64"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збільшення закладки матеріально-технічних засобів в регіональний резерв для попередження, ліквідації надзвичайних ситуацій та життєзабезпечення постраждалого населення;</w:t>
      </w:r>
    </w:p>
    <w:p w:rsidR="00D76C64" w:rsidRPr="00F7290F" w:rsidRDefault="00D76C64"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забезпечення гарантованого рівня захисту населення і територій від надзвичайних ситуацій у мирний час та в особливий період шляхом підтримки безперебійного функціонування та експлуатаційно-технічного обслуговування регіональної системи оповіщення населення про загрозу виникнення надзвичайних ситуацій;</w:t>
      </w:r>
    </w:p>
    <w:p w:rsidR="00D76C64" w:rsidRPr="00F7290F" w:rsidRDefault="00D76C64"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технічне переоснащення підрозділів оперативно-рятувальної служби цивільного захисту шляхом переозброєння й модернізації спеціальної пожежної техніки й спеціального устаткування;</w:t>
      </w:r>
    </w:p>
    <w:p w:rsidR="00D76C64" w:rsidRPr="00F7290F" w:rsidRDefault="00D76C64"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технічне переоснащення Донецького спеціального воєнізованого аварійно-рятувального (</w:t>
      </w:r>
      <w:r w:rsidR="00F7290F" w:rsidRPr="00F7290F">
        <w:rPr>
          <w:color w:val="000000" w:themeColor="text1"/>
          <w:lang w:val="uk-UA"/>
        </w:rPr>
        <w:t>гірничорятувального</w:t>
      </w:r>
      <w:r w:rsidRPr="00F7290F">
        <w:rPr>
          <w:color w:val="000000" w:themeColor="text1"/>
          <w:lang w:val="uk-UA"/>
        </w:rPr>
        <w:t xml:space="preserve">) загону Державної спеціальної воєнізованої </w:t>
      </w:r>
      <w:r w:rsidR="00F7290F" w:rsidRPr="00F7290F">
        <w:rPr>
          <w:color w:val="000000" w:themeColor="text1"/>
          <w:lang w:val="uk-UA"/>
        </w:rPr>
        <w:t>гірничорятувальної</w:t>
      </w:r>
      <w:r w:rsidRPr="00F7290F">
        <w:rPr>
          <w:color w:val="000000" w:themeColor="text1"/>
          <w:lang w:val="uk-UA"/>
        </w:rPr>
        <w:t xml:space="preserve"> (аварійно-рятувальної) служби МНС України шляхом доукомплектування спеціальною технікою та обладнанням, у тому числі спеціальною аварійно-рятувальною та інженерною технікою;</w:t>
      </w:r>
    </w:p>
    <w:p w:rsidR="00D76C64" w:rsidRPr="00F7290F" w:rsidRDefault="00D76C64" w:rsidP="00D65D2E">
      <w:pPr>
        <w:keepNext/>
        <w:widowControl w:val="0"/>
        <w:numPr>
          <w:ilvl w:val="0"/>
          <w:numId w:val="9"/>
        </w:numPr>
        <w:tabs>
          <w:tab w:val="num" w:pos="900"/>
        </w:tabs>
        <w:spacing w:after="120"/>
        <w:ind w:left="0" w:firstLine="720"/>
        <w:jc w:val="both"/>
        <w:rPr>
          <w:rStyle w:val="FontStyle16"/>
          <w:color w:val="000000" w:themeColor="text1"/>
          <w:lang w:val="uk-UA" w:eastAsia="uk-UA"/>
        </w:rPr>
      </w:pPr>
      <w:r w:rsidRPr="00F7290F">
        <w:rPr>
          <w:color w:val="000000" w:themeColor="text1"/>
          <w:lang w:val="uk-UA"/>
        </w:rPr>
        <w:t>організація рятування людей на водних об'єктах шляхом фінансової підтримки Комунальної спеціалізованої аварійно-рятувальної служби; придбання аварійно-рятувальних плавзасобів; розробки та впровадження ефективно діючої системи інформаційно-пропагандистської роботи з питань безпеки використання водних об'єктів; оснащення мобільних оперативних груп для виконання</w:t>
      </w:r>
      <w:r w:rsidRPr="00F7290F">
        <w:rPr>
          <w:rStyle w:val="FontStyle16"/>
          <w:color w:val="000000" w:themeColor="text1"/>
          <w:lang w:val="uk-UA" w:eastAsia="uk-UA"/>
        </w:rPr>
        <w:t xml:space="preserve"> водолазних робіт.</w:t>
      </w:r>
    </w:p>
    <w:p w:rsidR="00D76C64" w:rsidRPr="00F7290F" w:rsidRDefault="00D76C64" w:rsidP="00D65D2E">
      <w:pPr>
        <w:keepNext/>
        <w:widowControl w:val="0"/>
        <w:tabs>
          <w:tab w:val="left" w:pos="399"/>
          <w:tab w:val="left" w:pos="851"/>
          <w:tab w:val="left" w:pos="9639"/>
        </w:tabs>
        <w:ind w:firstLine="709"/>
        <w:jc w:val="both"/>
        <w:rPr>
          <w:rStyle w:val="FontStyle18"/>
          <w:b/>
          <w:color w:val="000000" w:themeColor="text1"/>
          <w:sz w:val="24"/>
          <w:szCs w:val="24"/>
          <w:lang w:val="uk-UA" w:eastAsia="uk-UA"/>
        </w:rPr>
      </w:pPr>
      <w:r w:rsidRPr="00F7290F">
        <w:rPr>
          <w:rStyle w:val="FontStyle18"/>
          <w:b/>
          <w:color w:val="000000" w:themeColor="text1"/>
          <w:sz w:val="24"/>
          <w:szCs w:val="24"/>
          <w:lang w:val="uk-UA" w:eastAsia="uk-UA"/>
        </w:rPr>
        <w:t xml:space="preserve">   </w:t>
      </w:r>
      <w:r w:rsidR="006274A2" w:rsidRPr="00F7290F">
        <w:rPr>
          <w:b/>
          <w:bCs/>
          <w:noProof/>
          <w:color w:val="000000" w:themeColor="text1"/>
          <w:lang w:val="uk-UA"/>
        </w:rPr>
        <w:t>Критерії досягнення:</w:t>
      </w:r>
      <w:r w:rsidR="006274A2" w:rsidRPr="00F7290F">
        <w:rPr>
          <w:color w:val="000000" w:themeColor="text1"/>
          <w:lang w:val="uk-UA"/>
        </w:rPr>
        <w:t xml:space="preserve"> </w:t>
      </w:r>
    </w:p>
    <w:p w:rsidR="00D76C64" w:rsidRPr="00F7290F" w:rsidRDefault="00D76C64" w:rsidP="00D65D2E">
      <w:pPr>
        <w:keepNext/>
        <w:widowControl w:val="0"/>
        <w:numPr>
          <w:ilvl w:val="0"/>
          <w:numId w:val="9"/>
        </w:numPr>
        <w:tabs>
          <w:tab w:val="num" w:pos="900"/>
        </w:tabs>
        <w:ind w:left="0" w:firstLine="720"/>
        <w:jc w:val="both"/>
        <w:rPr>
          <w:bCs/>
          <w:color w:val="000000" w:themeColor="text1"/>
          <w:lang w:val="uk-UA"/>
        </w:rPr>
      </w:pPr>
      <w:r w:rsidRPr="00F7290F">
        <w:rPr>
          <w:bCs/>
          <w:color w:val="000000" w:themeColor="text1"/>
          <w:lang w:val="uk-UA"/>
        </w:rPr>
        <w:t>запобігання надзвичайним ситуаціям техногенного та природного характеру та подолання негативного впливу у разі їх виникнення;</w:t>
      </w:r>
    </w:p>
    <w:p w:rsidR="00D76C64" w:rsidRPr="00F7290F" w:rsidRDefault="00D76C64" w:rsidP="00D65D2E">
      <w:pPr>
        <w:keepNext/>
        <w:widowControl w:val="0"/>
        <w:numPr>
          <w:ilvl w:val="0"/>
          <w:numId w:val="9"/>
        </w:numPr>
        <w:tabs>
          <w:tab w:val="num" w:pos="900"/>
        </w:tabs>
        <w:ind w:left="0" w:firstLine="720"/>
        <w:jc w:val="both"/>
        <w:rPr>
          <w:bCs/>
          <w:color w:val="000000" w:themeColor="text1"/>
          <w:lang w:val="uk-UA"/>
        </w:rPr>
      </w:pPr>
      <w:r w:rsidRPr="00F7290F">
        <w:rPr>
          <w:bCs/>
          <w:color w:val="000000" w:themeColor="text1"/>
          <w:lang w:val="uk-UA"/>
        </w:rPr>
        <w:t>гарантоване отримання допомоги постраждалим під час надзвичайних ситуацій;</w:t>
      </w:r>
    </w:p>
    <w:p w:rsidR="00D76C64" w:rsidRPr="00F7290F" w:rsidRDefault="00D76C64" w:rsidP="00D65D2E">
      <w:pPr>
        <w:keepNext/>
        <w:widowControl w:val="0"/>
        <w:numPr>
          <w:ilvl w:val="0"/>
          <w:numId w:val="9"/>
        </w:numPr>
        <w:tabs>
          <w:tab w:val="num" w:pos="900"/>
        </w:tabs>
        <w:spacing w:after="120"/>
        <w:ind w:left="0" w:firstLine="720"/>
        <w:jc w:val="both"/>
        <w:rPr>
          <w:rStyle w:val="FontStyle17"/>
          <w:b w:val="0"/>
          <w:color w:val="000000" w:themeColor="text1"/>
          <w:lang w:val="uk-UA" w:eastAsia="uk-UA"/>
        </w:rPr>
      </w:pPr>
      <w:r w:rsidRPr="00F7290F">
        <w:rPr>
          <w:bCs/>
          <w:color w:val="000000" w:themeColor="text1"/>
          <w:lang w:val="uk-UA"/>
        </w:rPr>
        <w:t>зменшення збитків від негативного впливу надзвичайних ситуацій.</w:t>
      </w:r>
      <w:r w:rsidRPr="00F7290F">
        <w:rPr>
          <w:rStyle w:val="FontStyle17"/>
          <w:b w:val="0"/>
          <w:color w:val="000000" w:themeColor="text1"/>
          <w:lang w:val="uk-UA" w:eastAsia="uk-UA"/>
        </w:rPr>
        <w:t xml:space="preserve">   </w:t>
      </w:r>
      <w:r w:rsidRPr="00F7290F">
        <w:rPr>
          <w:rStyle w:val="FontStyle17"/>
          <w:b w:val="0"/>
          <w:color w:val="000000" w:themeColor="text1"/>
          <w:lang w:val="uk-UA" w:eastAsia="uk-UA"/>
        </w:rPr>
        <w:tab/>
      </w:r>
    </w:p>
    <w:p w:rsidR="00D76C64" w:rsidRPr="00F7290F" w:rsidRDefault="00D76C64" w:rsidP="00D65D2E">
      <w:pPr>
        <w:pStyle w:val="Style13"/>
        <w:keepNext/>
        <w:autoSpaceDE/>
        <w:autoSpaceDN/>
        <w:adjustRightInd/>
        <w:ind w:firstLine="720"/>
        <w:jc w:val="both"/>
        <w:rPr>
          <w:rStyle w:val="FontStyle17"/>
          <w:color w:val="000000" w:themeColor="text1"/>
          <w:sz w:val="24"/>
          <w:szCs w:val="24"/>
          <w:lang w:val="uk-UA" w:eastAsia="uk-UA"/>
        </w:rPr>
      </w:pPr>
      <w:r w:rsidRPr="00F7290F">
        <w:rPr>
          <w:rStyle w:val="FontStyle17"/>
          <w:color w:val="000000" w:themeColor="text1"/>
          <w:sz w:val="24"/>
          <w:szCs w:val="24"/>
          <w:lang w:val="uk-UA" w:eastAsia="uk-UA"/>
        </w:rPr>
        <w:lastRenderedPageBreak/>
        <w:t>Ресурсне забезпечення</w:t>
      </w:r>
    </w:p>
    <w:p w:rsidR="00D76C64" w:rsidRPr="00F7290F" w:rsidRDefault="00D76C64" w:rsidP="00D65D2E">
      <w:pPr>
        <w:pStyle w:val="Style3"/>
        <w:keepNext/>
        <w:spacing w:after="120" w:line="240" w:lineRule="auto"/>
        <w:ind w:firstLine="709"/>
        <w:rPr>
          <w:rStyle w:val="FontStyle16"/>
          <w:color w:val="000000" w:themeColor="text1"/>
          <w:sz w:val="24"/>
          <w:szCs w:val="24"/>
        </w:rPr>
      </w:pPr>
      <w:r w:rsidRPr="00F7290F">
        <w:rPr>
          <w:rStyle w:val="FontStyle16"/>
          <w:color w:val="000000" w:themeColor="text1"/>
          <w:sz w:val="24"/>
          <w:szCs w:val="24"/>
        </w:rPr>
        <w:t xml:space="preserve">Фінансування заходів щодо захисту населення і територій області від надзвичайних ситуацій у 2013 році буде забезпечено через реалізацію регіональної </w:t>
      </w:r>
      <w:r w:rsidR="007768BF" w:rsidRPr="00F7290F">
        <w:rPr>
          <w:rStyle w:val="FontStyle16"/>
          <w:color w:val="000000" w:themeColor="text1"/>
          <w:sz w:val="24"/>
          <w:szCs w:val="24"/>
        </w:rPr>
        <w:t>«</w:t>
      </w:r>
      <w:r w:rsidRPr="00F7290F">
        <w:rPr>
          <w:rStyle w:val="FontStyle16"/>
          <w:color w:val="000000" w:themeColor="text1"/>
          <w:sz w:val="24"/>
          <w:szCs w:val="24"/>
        </w:rPr>
        <w:t>Програми забезпечення мінімально достатнього рівня безпеки населення і територій області від надзвичайних ситуацій техногенного та природного характеру на 2010-2013 роки</w:t>
      </w:r>
      <w:r w:rsidR="007768BF" w:rsidRPr="00F7290F">
        <w:rPr>
          <w:rStyle w:val="FontStyle16"/>
          <w:color w:val="000000" w:themeColor="text1"/>
          <w:sz w:val="24"/>
          <w:szCs w:val="24"/>
        </w:rPr>
        <w:t>»</w:t>
      </w:r>
      <w:r w:rsidRPr="00F7290F">
        <w:rPr>
          <w:rStyle w:val="FontStyle16"/>
          <w:color w:val="000000" w:themeColor="text1"/>
          <w:sz w:val="24"/>
          <w:szCs w:val="24"/>
        </w:rPr>
        <w:t>.</w:t>
      </w:r>
    </w:p>
    <w:p w:rsidR="00D76C64" w:rsidRPr="00F7290F" w:rsidRDefault="00D76C64" w:rsidP="00D65D2E">
      <w:pPr>
        <w:pStyle w:val="Style3"/>
        <w:keepNext/>
        <w:spacing w:after="120" w:line="240" w:lineRule="auto"/>
        <w:ind w:firstLine="709"/>
        <w:rPr>
          <w:rStyle w:val="FontStyle16"/>
          <w:sz w:val="24"/>
          <w:szCs w:val="24"/>
        </w:rPr>
      </w:pPr>
      <w:r w:rsidRPr="00F7290F">
        <w:rPr>
          <w:rStyle w:val="FontStyle16"/>
          <w:sz w:val="24"/>
          <w:szCs w:val="24"/>
        </w:rPr>
        <w:t xml:space="preserve">Всього на здійснення зазначених заходів у 2013 році передбачається спрямувати за рахунок обласного бюджету </w:t>
      </w:r>
      <w:r w:rsidR="00EA4F87" w:rsidRPr="00F7290F">
        <w:rPr>
          <w:rStyle w:val="FontStyle16"/>
          <w:sz w:val="24"/>
          <w:szCs w:val="24"/>
        </w:rPr>
        <w:t>3170,5</w:t>
      </w:r>
      <w:r w:rsidRPr="00F7290F">
        <w:rPr>
          <w:rStyle w:val="FontStyle16"/>
          <w:sz w:val="24"/>
          <w:szCs w:val="24"/>
        </w:rPr>
        <w:t xml:space="preserve"> тис.грн.</w:t>
      </w:r>
    </w:p>
    <w:p w:rsidR="00784688" w:rsidRPr="00DF753D" w:rsidRDefault="00784688" w:rsidP="00D65D2E">
      <w:pPr>
        <w:keepNext/>
        <w:widowControl w:val="0"/>
        <w:tabs>
          <w:tab w:val="left" w:pos="959"/>
        </w:tabs>
        <w:spacing w:after="120"/>
        <w:ind w:left="108"/>
        <w:jc w:val="center"/>
        <w:rPr>
          <w:b/>
          <w:color w:val="000000" w:themeColor="text1"/>
          <w:spacing w:val="-4"/>
          <w:sz w:val="28"/>
          <w:szCs w:val="28"/>
          <w:lang w:val="uk-UA"/>
        </w:rPr>
      </w:pPr>
      <w:r w:rsidRPr="00DF753D">
        <w:rPr>
          <w:b/>
          <w:color w:val="000000" w:themeColor="text1"/>
          <w:sz w:val="28"/>
          <w:szCs w:val="28"/>
          <w:lang w:val="uk-UA"/>
        </w:rPr>
        <w:t>4.</w:t>
      </w:r>
      <w:r w:rsidR="00AE6C68" w:rsidRPr="00DF753D">
        <w:rPr>
          <w:b/>
          <w:color w:val="000000" w:themeColor="text1"/>
          <w:sz w:val="28"/>
          <w:szCs w:val="28"/>
          <w:lang w:val="uk-UA"/>
        </w:rPr>
        <w:t xml:space="preserve"> </w:t>
      </w:r>
      <w:r w:rsidRPr="00DF753D">
        <w:rPr>
          <w:b/>
          <w:color w:val="000000" w:themeColor="text1"/>
          <w:spacing w:val="-4"/>
          <w:sz w:val="28"/>
          <w:szCs w:val="28"/>
          <w:lang w:val="uk-UA"/>
        </w:rPr>
        <w:t>Створення умов для сталого економічного  розвитку</w:t>
      </w:r>
    </w:p>
    <w:p w:rsidR="00750AC8" w:rsidRPr="00DF753D" w:rsidRDefault="00750AC8" w:rsidP="00D65D2E">
      <w:pPr>
        <w:keepNext/>
        <w:widowControl w:val="0"/>
        <w:tabs>
          <w:tab w:val="left" w:pos="652"/>
          <w:tab w:val="left" w:pos="8188"/>
        </w:tabs>
        <w:spacing w:after="120"/>
        <w:jc w:val="center"/>
        <w:rPr>
          <w:rStyle w:val="af4"/>
          <w:b/>
          <w:color w:val="000000" w:themeColor="text1"/>
          <w:u w:val="none"/>
          <w:lang w:val="uk-UA"/>
        </w:rPr>
      </w:pPr>
      <w:r w:rsidRPr="00DF753D">
        <w:rPr>
          <w:b/>
          <w:color w:val="000000" w:themeColor="text1"/>
          <w:lang w:val="uk-UA"/>
        </w:rPr>
        <w:t>4.1.</w:t>
      </w:r>
      <w:r w:rsidR="00AE6C68" w:rsidRPr="00DF753D">
        <w:rPr>
          <w:b/>
          <w:color w:val="000000" w:themeColor="text1"/>
          <w:lang w:val="uk-UA"/>
        </w:rPr>
        <w:t xml:space="preserve"> </w:t>
      </w:r>
      <w:r w:rsidRPr="00DF753D">
        <w:rPr>
          <w:rStyle w:val="af4"/>
          <w:b/>
          <w:color w:val="000000" w:themeColor="text1"/>
          <w:u w:val="none"/>
          <w:lang w:val="uk-UA"/>
        </w:rPr>
        <w:t>Податково-бюджетна діяльність</w:t>
      </w:r>
    </w:p>
    <w:p w:rsidR="00925634" w:rsidRPr="00F7290F" w:rsidRDefault="00925634" w:rsidP="00925634">
      <w:pPr>
        <w:keepNext/>
        <w:widowControl w:val="0"/>
        <w:ind w:firstLine="720"/>
        <w:rPr>
          <w:b/>
          <w:lang w:val="uk-UA"/>
        </w:rPr>
      </w:pPr>
      <w:r w:rsidRPr="00F7290F">
        <w:rPr>
          <w:b/>
          <w:lang w:val="uk-UA"/>
        </w:rPr>
        <w:t>Актуальні проблеми:</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недосконалість методики розрахунку обсягу доходів, що враховуються при визначенні обсягу міжбюджетних трансфертів, місцевих бюджетів;</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недостатність фінансового ресурсу для проведення реформування системи охорони здоров’я у пілотних регіонах відповідно до Закону України «Про порядок проведення реформування системи охорони здоров'я у Вінницькій, Дніпропетровській, Донецькій областях та місті Києві»;</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недостатність фінансового ресурсу на здійснення заходів з охорони здоров’я населення у зв’язку з екологічними особливостями регіону;</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необхідність удосконалення механізму розподілу субвенції з державного бюджету на будівництво, реконструкцію, ремонт та утримання вулиць і доріг комунальної власності у населених пунктах;</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невідповідність бюджетного забезпечення компенсаційних виплат за пільгове перевезення пасажирів фактичним обсягам перевезення громадян пільгової категорії транспортом загального користування;</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наявність диспропорцій у розподілі фінансового ресурсу Державного фонду регіонального розвитку;</w:t>
      </w:r>
    </w:p>
    <w:p w:rsidR="00925634" w:rsidRPr="00F7290F" w:rsidRDefault="00925634" w:rsidP="00925634">
      <w:pPr>
        <w:keepNext/>
        <w:widowControl w:val="0"/>
        <w:numPr>
          <w:ilvl w:val="0"/>
          <w:numId w:val="9"/>
        </w:numPr>
        <w:tabs>
          <w:tab w:val="clear" w:pos="928"/>
          <w:tab w:val="num" w:pos="900"/>
        </w:tabs>
        <w:spacing w:after="120"/>
        <w:ind w:left="0" w:firstLine="720"/>
        <w:jc w:val="both"/>
        <w:rPr>
          <w:bCs/>
          <w:lang w:val="uk-UA"/>
        </w:rPr>
      </w:pPr>
      <w:r w:rsidRPr="00F7290F">
        <w:rPr>
          <w:bCs/>
          <w:lang w:val="uk-UA"/>
        </w:rPr>
        <w:t>недостатність джерел формування «другого кошика» доходів в обласних і районних бюджетах.</w:t>
      </w:r>
    </w:p>
    <w:p w:rsidR="00925634" w:rsidRPr="00F7290F" w:rsidRDefault="00925634" w:rsidP="00925634">
      <w:pPr>
        <w:keepNext/>
        <w:widowControl w:val="0"/>
        <w:shd w:val="clear" w:color="auto" w:fill="FFFFFF"/>
        <w:spacing w:after="120"/>
        <w:ind w:firstLine="709"/>
        <w:jc w:val="both"/>
        <w:rPr>
          <w:lang w:val="uk-UA"/>
        </w:rPr>
      </w:pPr>
      <w:r w:rsidRPr="00F7290F">
        <w:rPr>
          <w:b/>
          <w:lang w:val="uk-UA"/>
        </w:rPr>
        <w:t>Головна мета</w:t>
      </w:r>
      <w:r w:rsidRPr="00F7290F">
        <w:rPr>
          <w:lang w:val="uk-UA"/>
        </w:rPr>
        <w:t xml:space="preserve"> – </w:t>
      </w:r>
      <w:r w:rsidRPr="00F7290F">
        <w:rPr>
          <w:shd w:val="clear" w:color="auto" w:fill="FFFFFF"/>
          <w:lang w:val="uk-UA"/>
        </w:rPr>
        <w:t>забезпечення стійкого економічного зростання на інноваційно-інвестиційній основі з одночасним збільшенням сукупних податкових надходжень до бюджетів усіх рівнів</w:t>
      </w:r>
      <w:r w:rsidRPr="00F7290F">
        <w:rPr>
          <w:lang w:val="uk-UA"/>
        </w:rPr>
        <w:t xml:space="preserve"> та дотриманням збалансованості і стабільного функціонування бюджетної системи регіону.</w:t>
      </w:r>
    </w:p>
    <w:p w:rsidR="00925634" w:rsidRPr="00F7290F" w:rsidRDefault="00925634" w:rsidP="00925634">
      <w:pPr>
        <w:keepNext/>
        <w:widowControl w:val="0"/>
        <w:shd w:val="clear" w:color="auto" w:fill="FFFFFF"/>
        <w:ind w:firstLine="709"/>
        <w:jc w:val="both"/>
        <w:rPr>
          <w:lang w:val="uk-UA"/>
        </w:rPr>
      </w:pPr>
      <w:r w:rsidRPr="00F7290F">
        <w:rPr>
          <w:b/>
          <w:lang w:val="uk-UA"/>
        </w:rPr>
        <w:t>Основні завдання на 2013 рік:</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зміцнення фінансової основи місцевих бюджетів, посилення їх інвестиційної складової;</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збільшення надходжень за рахунок упорядкування податкових пільг, підвищення прибутковості підприємств комунального сектору економіки, посилення адміністрування та контролю за справлянням місцевих податків і зборів;</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підвищення ефективності видатків шляхом їх концентрації на пріоритетних напрямах та регулярної оцінки ступеня досягнення очікуваних результатів;</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системність дій податкових органів з упередження схем мінімізації податкових зобов’язань шляхом  виваженого та ефективного відпрацювання неправомірно сформованого податкового кредиту, проведення детального аналізу виникнення від’ємного значення з ПДВ, збитків підприємств тощо;</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легалізація доходів працездатного населення області через виховання податкової культури і підвищення соціальної активності населення;</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 xml:space="preserve">організація та проведення заходів щодо виявлення та припинення діяльності  </w:t>
      </w:r>
      <w:r w:rsidR="00D33D74">
        <w:rPr>
          <w:bCs/>
          <w:lang w:val="uk-UA"/>
        </w:rPr>
        <w:t>«</w:t>
      </w:r>
      <w:r w:rsidRPr="00F7290F">
        <w:rPr>
          <w:bCs/>
          <w:lang w:val="uk-UA"/>
        </w:rPr>
        <w:t>конвертаційних центрів</w:t>
      </w:r>
      <w:r w:rsidR="00D33D74">
        <w:rPr>
          <w:bCs/>
          <w:lang w:val="uk-UA"/>
        </w:rPr>
        <w:t>»</w:t>
      </w:r>
      <w:r w:rsidRPr="00F7290F">
        <w:rPr>
          <w:bCs/>
          <w:lang w:val="uk-UA"/>
        </w:rPr>
        <w:t xml:space="preserve"> та суб’єктів господарювання з ознаками фіктивності;</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недопущення виникнення заборгованості по соціальних виплатах населенню;</w:t>
      </w:r>
    </w:p>
    <w:p w:rsidR="00925634" w:rsidRPr="00F7290F" w:rsidRDefault="00925634" w:rsidP="00925634">
      <w:pPr>
        <w:keepNext/>
        <w:widowControl w:val="0"/>
        <w:numPr>
          <w:ilvl w:val="0"/>
          <w:numId w:val="9"/>
        </w:numPr>
        <w:tabs>
          <w:tab w:val="clear" w:pos="928"/>
          <w:tab w:val="num" w:pos="900"/>
        </w:tabs>
        <w:spacing w:after="120"/>
        <w:ind w:left="0" w:firstLine="720"/>
        <w:jc w:val="both"/>
        <w:rPr>
          <w:bCs/>
          <w:lang w:val="uk-UA"/>
        </w:rPr>
      </w:pPr>
      <w:r w:rsidRPr="00F7290F">
        <w:rPr>
          <w:bCs/>
          <w:lang w:val="uk-UA"/>
        </w:rPr>
        <w:lastRenderedPageBreak/>
        <w:t>організація роботи щодо розірвання трудових контрактів з керівниками державних та комунальних підприємств-боржників, а також погашення податкового боргу комунальних підприємств за рахунок коштів місцевих бюджетів.</w:t>
      </w:r>
    </w:p>
    <w:p w:rsidR="00925634" w:rsidRPr="00F7290F" w:rsidRDefault="00925634" w:rsidP="00925634">
      <w:pPr>
        <w:pStyle w:val="ab"/>
        <w:keepNext/>
        <w:widowControl w:val="0"/>
        <w:tabs>
          <w:tab w:val="left" w:pos="399"/>
          <w:tab w:val="left" w:pos="851"/>
          <w:tab w:val="left" w:pos="9639"/>
        </w:tabs>
        <w:spacing w:before="120"/>
        <w:ind w:left="0" w:firstLine="709"/>
        <w:jc w:val="both"/>
        <w:rPr>
          <w:lang w:val="uk-UA"/>
        </w:rPr>
      </w:pPr>
      <w:r w:rsidRPr="00F7290F">
        <w:rPr>
          <w:b/>
          <w:bCs/>
          <w:noProof/>
          <w:lang w:val="uk-UA"/>
        </w:rPr>
        <w:t>Критерії досягнення:</w:t>
      </w:r>
      <w:r w:rsidRPr="00F7290F">
        <w:rPr>
          <w:lang w:val="uk-UA"/>
        </w:rPr>
        <w:t xml:space="preserve"> </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забезпечення  стовідсоткових планових надходжень податків, зборів та інших обов’язкових платежів до державного бюджету в обсязі 16,1 млрд.грн., зведеного бюджету області (без трансфертів) – 12,0 млрд.грн.;</w:t>
      </w:r>
    </w:p>
    <w:p w:rsidR="00925634" w:rsidRPr="00F7290F" w:rsidRDefault="00925634" w:rsidP="00925634">
      <w:pPr>
        <w:keepNext/>
        <w:widowControl w:val="0"/>
        <w:numPr>
          <w:ilvl w:val="0"/>
          <w:numId w:val="9"/>
        </w:numPr>
        <w:tabs>
          <w:tab w:val="clear" w:pos="928"/>
          <w:tab w:val="num" w:pos="900"/>
        </w:tabs>
        <w:spacing w:after="120"/>
        <w:ind w:left="0" w:firstLine="720"/>
        <w:jc w:val="both"/>
        <w:rPr>
          <w:bCs/>
          <w:lang w:val="uk-UA"/>
        </w:rPr>
      </w:pPr>
      <w:r w:rsidRPr="00F7290F">
        <w:rPr>
          <w:bCs/>
          <w:lang w:val="uk-UA"/>
        </w:rPr>
        <w:t>зниження податкового боргу до бюджетів усіх рівнів на 10%, в т.ч. до місцевого бюджету – на 10%.</w:t>
      </w:r>
    </w:p>
    <w:p w:rsidR="00D7266C" w:rsidRPr="00F7290F" w:rsidRDefault="00314E2E" w:rsidP="00D65D2E">
      <w:pPr>
        <w:pStyle w:val="23"/>
        <w:keepNext/>
        <w:widowControl w:val="0"/>
        <w:tabs>
          <w:tab w:val="num" w:pos="1083"/>
        </w:tabs>
        <w:spacing w:after="0"/>
        <w:ind w:firstLine="0"/>
        <w:jc w:val="center"/>
        <w:rPr>
          <w:b/>
          <w:color w:val="000000" w:themeColor="text1"/>
        </w:rPr>
      </w:pPr>
      <w:r w:rsidRPr="00F7290F">
        <w:rPr>
          <w:b/>
          <w:color w:val="000000" w:themeColor="text1"/>
        </w:rPr>
        <w:t>Динаміка збору податків, зборів та інших</w:t>
      </w:r>
      <w:r w:rsidR="00D7266C" w:rsidRPr="00F7290F">
        <w:rPr>
          <w:b/>
          <w:color w:val="000000" w:themeColor="text1"/>
        </w:rPr>
        <w:t xml:space="preserve"> </w:t>
      </w:r>
      <w:r w:rsidRPr="00F7290F">
        <w:rPr>
          <w:b/>
          <w:color w:val="000000" w:themeColor="text1"/>
        </w:rPr>
        <w:t xml:space="preserve">обов'язкових </w:t>
      </w:r>
    </w:p>
    <w:p w:rsidR="00314E2E" w:rsidRPr="00F7290F" w:rsidRDefault="00D7266C" w:rsidP="00D65D2E">
      <w:pPr>
        <w:pStyle w:val="23"/>
        <w:keepNext/>
        <w:widowControl w:val="0"/>
        <w:tabs>
          <w:tab w:val="num" w:pos="1083"/>
        </w:tabs>
        <w:ind w:firstLine="0"/>
        <w:jc w:val="center"/>
        <w:rPr>
          <w:b/>
          <w:color w:val="000000" w:themeColor="text1"/>
        </w:rPr>
      </w:pPr>
      <w:r w:rsidRPr="00F7290F">
        <w:rPr>
          <w:b/>
          <w:color w:val="000000" w:themeColor="text1"/>
        </w:rPr>
        <w:t>п</w:t>
      </w:r>
      <w:r w:rsidR="00314E2E" w:rsidRPr="00F7290F">
        <w:rPr>
          <w:b/>
          <w:color w:val="000000" w:themeColor="text1"/>
        </w:rPr>
        <w:t>латежів</w:t>
      </w:r>
      <w:r w:rsidRPr="00F7290F">
        <w:rPr>
          <w:b/>
          <w:color w:val="000000" w:themeColor="text1"/>
        </w:rPr>
        <w:t xml:space="preserve"> </w:t>
      </w:r>
      <w:r w:rsidR="00314E2E" w:rsidRPr="00F7290F">
        <w:rPr>
          <w:b/>
          <w:color w:val="000000" w:themeColor="text1"/>
        </w:rPr>
        <w:t>до бюджетів усіх рівнів, млрд.грн.</w:t>
      </w:r>
    </w:p>
    <w:p w:rsidR="003C53BC" w:rsidRPr="00F7290F" w:rsidRDefault="00314E2E" w:rsidP="00D65D2E">
      <w:pPr>
        <w:keepNext/>
        <w:widowControl w:val="0"/>
        <w:rPr>
          <w:color w:val="FF0000"/>
          <w:lang w:val="uk-UA"/>
        </w:rPr>
      </w:pPr>
      <w:r w:rsidRPr="00F7290F">
        <w:rPr>
          <w:b/>
          <w:noProof/>
          <w:color w:val="FF0000"/>
        </w:rPr>
        <w:drawing>
          <wp:inline distT="0" distB="0" distL="0" distR="0">
            <wp:extent cx="6134986" cy="1158949"/>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30837" w:rsidRPr="00F7290F" w:rsidRDefault="00C30837" w:rsidP="00C30837">
      <w:pPr>
        <w:keepNext/>
        <w:widowControl w:val="0"/>
        <w:tabs>
          <w:tab w:val="left" w:pos="652"/>
          <w:tab w:val="left" w:pos="8188"/>
        </w:tabs>
        <w:spacing w:after="120"/>
        <w:jc w:val="center"/>
        <w:rPr>
          <w:rStyle w:val="af4"/>
          <w:b/>
          <w:color w:val="auto"/>
          <w:u w:val="none"/>
          <w:lang w:val="uk-UA"/>
        </w:rPr>
      </w:pPr>
      <w:r w:rsidRPr="00F7290F">
        <w:rPr>
          <w:b/>
          <w:lang w:val="uk-UA"/>
        </w:rPr>
        <w:t xml:space="preserve">4.2. Діяльність банківської  </w:t>
      </w:r>
      <w:r w:rsidRPr="00F7290F">
        <w:rPr>
          <w:rStyle w:val="af4"/>
          <w:b/>
          <w:color w:val="auto"/>
          <w:u w:val="none"/>
          <w:lang w:val="uk-UA"/>
        </w:rPr>
        <w:t>системи</w:t>
      </w:r>
    </w:p>
    <w:p w:rsidR="00C30837" w:rsidRPr="00F7290F" w:rsidRDefault="00C30837" w:rsidP="00C30837">
      <w:pPr>
        <w:keepNext/>
        <w:widowControl w:val="0"/>
        <w:spacing w:after="120"/>
        <w:ind w:firstLine="709"/>
        <w:jc w:val="both"/>
        <w:rPr>
          <w:lang w:val="uk-UA"/>
        </w:rPr>
      </w:pPr>
      <w:r w:rsidRPr="00F7290F">
        <w:rPr>
          <w:b/>
          <w:lang w:val="uk-UA"/>
        </w:rPr>
        <w:t>Головна мета</w:t>
      </w:r>
      <w:r w:rsidRPr="00F7290F">
        <w:rPr>
          <w:lang w:val="uk-UA"/>
        </w:rPr>
        <w:t xml:space="preserve"> -  сприяння реалізації в області державної політики по забезпеченню стабільності національної грошової одиниці, стимулюванню кредитної  підтримки вітчизняних виробників та кредитуванню інвестиційних проектів для досягнення максимально можливих темпів економічного зростання  регіону.</w:t>
      </w:r>
    </w:p>
    <w:p w:rsidR="00C30837" w:rsidRPr="00F7290F" w:rsidRDefault="00C30837" w:rsidP="00C30837">
      <w:pPr>
        <w:keepNext/>
        <w:widowControl w:val="0"/>
        <w:ind w:firstLine="709"/>
        <w:jc w:val="both"/>
        <w:rPr>
          <w:b/>
          <w:lang w:val="uk-UA"/>
        </w:rPr>
      </w:pPr>
      <w:r w:rsidRPr="00F7290F">
        <w:rPr>
          <w:b/>
          <w:lang w:val="uk-UA"/>
        </w:rPr>
        <w:t>Основні завдання на 2013 рік:</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забезпечення подальшого зростання довіри населення до банків;</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продовження роботи щодо підвищення рівня капіталізації та зміцнення ресурсної бази банків;</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забезпечення подальшого розвитку безготівкових розрахунків, підвищення фінансової  грамотності населення у сфері здійснення роздрібних платежів;</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забезпечення сприятливих умов для підвищення частки довгострокового кредитування та залучення вкладів суб’єктів господарювання і фізичних осіб на довгостроковій основі;</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впровадження прогресивних фінансових механізмів розвитку та стимулювання малого і середнього бізнесу;</w:t>
      </w:r>
    </w:p>
    <w:p w:rsidR="00C30837" w:rsidRPr="00F7290F" w:rsidRDefault="00C30837" w:rsidP="00C30837">
      <w:pPr>
        <w:keepNext/>
        <w:widowControl w:val="0"/>
        <w:numPr>
          <w:ilvl w:val="0"/>
          <w:numId w:val="9"/>
        </w:numPr>
        <w:tabs>
          <w:tab w:val="clear" w:pos="928"/>
          <w:tab w:val="num" w:pos="900"/>
        </w:tabs>
        <w:spacing w:after="120"/>
        <w:ind w:left="0" w:firstLine="720"/>
        <w:jc w:val="both"/>
        <w:rPr>
          <w:bCs/>
          <w:lang w:val="uk-UA"/>
        </w:rPr>
      </w:pPr>
      <w:r w:rsidRPr="00F7290F">
        <w:rPr>
          <w:bCs/>
          <w:lang w:val="uk-UA"/>
        </w:rPr>
        <w:t xml:space="preserve">подальший розвиток системи інформування  суб’єктів господарювання і населення про стан грошово – кредитного ринку та заходи  Національного банку України щодо його регулювання. </w:t>
      </w:r>
    </w:p>
    <w:p w:rsidR="00C30837" w:rsidRPr="00F7290F" w:rsidRDefault="00C30837" w:rsidP="00C30837">
      <w:pPr>
        <w:pStyle w:val="ab"/>
        <w:keepNext/>
        <w:widowControl w:val="0"/>
        <w:tabs>
          <w:tab w:val="left" w:pos="399"/>
          <w:tab w:val="left" w:pos="851"/>
          <w:tab w:val="left" w:pos="9639"/>
        </w:tabs>
        <w:spacing w:before="120"/>
        <w:ind w:left="0" w:firstLine="709"/>
        <w:jc w:val="both"/>
        <w:rPr>
          <w:lang w:val="uk-UA"/>
        </w:rPr>
      </w:pPr>
      <w:r w:rsidRPr="00F7290F">
        <w:rPr>
          <w:b/>
          <w:bCs/>
          <w:noProof/>
          <w:lang w:val="uk-UA"/>
        </w:rPr>
        <w:t>Критерії досягнення:</w:t>
      </w:r>
      <w:r w:rsidRPr="00F7290F">
        <w:rPr>
          <w:lang w:val="uk-UA"/>
        </w:rPr>
        <w:t xml:space="preserve"> </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збільшення  балансового капіталу банків на 16,5% до 8,6 млрд. грн., а загальних активів – на 11,3% (до 72,6 млрд. грн.);</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зростання обсягів депозитів фізичних осіб на 24,9% (до 44,3 млрд. грн.);</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збільшення обсягів кредитування фізичних осіб та суб’єктів господарювання на 9,6% (до 57,9 млрд.грн.);</w:t>
      </w:r>
    </w:p>
    <w:p w:rsidR="00C30837" w:rsidRPr="00F7290F" w:rsidRDefault="00C30837" w:rsidP="00C30837">
      <w:pPr>
        <w:keepNext/>
        <w:widowControl w:val="0"/>
        <w:numPr>
          <w:ilvl w:val="0"/>
          <w:numId w:val="9"/>
        </w:numPr>
        <w:tabs>
          <w:tab w:val="clear" w:pos="928"/>
          <w:tab w:val="num" w:pos="900"/>
        </w:tabs>
        <w:spacing w:after="120"/>
        <w:ind w:left="0" w:firstLine="720"/>
        <w:jc w:val="both"/>
        <w:rPr>
          <w:lang w:val="uk-UA"/>
        </w:rPr>
      </w:pPr>
      <w:r w:rsidRPr="00F7290F">
        <w:rPr>
          <w:bCs/>
          <w:lang w:val="uk-UA"/>
        </w:rPr>
        <w:t>збільшення обсягу</w:t>
      </w:r>
      <w:r w:rsidRPr="00F7290F">
        <w:rPr>
          <w:lang w:val="uk-UA"/>
        </w:rPr>
        <w:t xml:space="preserve"> безготівкових розрахунків з використанням платіжних карток на 16,4%.</w:t>
      </w:r>
    </w:p>
    <w:p w:rsidR="0036166A" w:rsidRDefault="0036166A">
      <w:pPr>
        <w:rPr>
          <w:b/>
          <w:lang w:val="uk-UA"/>
        </w:rPr>
      </w:pPr>
      <w:r>
        <w:rPr>
          <w:b/>
          <w:lang w:val="uk-UA"/>
        </w:rPr>
        <w:br w:type="page"/>
      </w:r>
    </w:p>
    <w:p w:rsidR="00C30837" w:rsidRPr="00F7290F" w:rsidRDefault="00C30837" w:rsidP="00C30837">
      <w:pPr>
        <w:keepNext/>
        <w:widowControl w:val="0"/>
        <w:jc w:val="center"/>
        <w:rPr>
          <w:b/>
          <w:lang w:val="uk-UA"/>
        </w:rPr>
      </w:pPr>
      <w:r w:rsidRPr="00F7290F">
        <w:rPr>
          <w:b/>
          <w:lang w:val="uk-UA"/>
        </w:rPr>
        <w:lastRenderedPageBreak/>
        <w:t xml:space="preserve">Динаміка кредитних ресурсів, вкладів населення та </w:t>
      </w:r>
    </w:p>
    <w:p w:rsidR="00C30837" w:rsidRPr="00F7290F" w:rsidRDefault="00C30837" w:rsidP="00C30837">
      <w:pPr>
        <w:keepNext/>
        <w:widowControl w:val="0"/>
        <w:jc w:val="center"/>
        <w:rPr>
          <w:b/>
          <w:sz w:val="28"/>
          <w:szCs w:val="28"/>
          <w:lang w:val="uk-UA"/>
        </w:rPr>
      </w:pPr>
      <w:r w:rsidRPr="00F7290F">
        <w:rPr>
          <w:b/>
          <w:lang w:val="uk-UA"/>
        </w:rPr>
        <w:t>процентних ставок банків та банківських установ області</w:t>
      </w:r>
    </w:p>
    <w:p w:rsidR="003C53BC" w:rsidRPr="00F7290F" w:rsidRDefault="00314E2E" w:rsidP="00D65D2E">
      <w:pPr>
        <w:keepNext/>
        <w:widowControl w:val="0"/>
        <w:rPr>
          <w:color w:val="FF0000"/>
          <w:lang w:val="uk-UA"/>
        </w:rPr>
      </w:pPr>
      <w:r w:rsidRPr="00F7290F">
        <w:rPr>
          <w:noProof/>
          <w:color w:val="FF0000"/>
        </w:rPr>
        <w:drawing>
          <wp:inline distT="0" distB="0" distL="0" distR="0">
            <wp:extent cx="6177516" cy="1733107"/>
            <wp:effectExtent l="0" t="0" r="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03B55" w:rsidRPr="00F7290F" w:rsidRDefault="00E03B55" w:rsidP="00E03B55">
      <w:pPr>
        <w:keepNext/>
        <w:widowControl w:val="0"/>
        <w:tabs>
          <w:tab w:val="left" w:pos="959"/>
        </w:tabs>
        <w:spacing w:before="120" w:after="120"/>
        <w:ind w:left="108"/>
        <w:jc w:val="center"/>
        <w:rPr>
          <w:b/>
          <w:lang w:val="uk-UA"/>
        </w:rPr>
      </w:pPr>
      <w:r w:rsidRPr="00F7290F">
        <w:rPr>
          <w:b/>
          <w:lang w:val="uk-UA"/>
        </w:rPr>
        <w:t>4.3. Дерегуляція й розвиток підприємництва</w:t>
      </w:r>
    </w:p>
    <w:p w:rsidR="00E03B55" w:rsidRPr="00F7290F" w:rsidRDefault="00E03B55" w:rsidP="00E03B55">
      <w:pPr>
        <w:keepNext/>
        <w:widowControl w:val="0"/>
        <w:ind w:firstLine="720"/>
        <w:rPr>
          <w:b/>
          <w:lang w:val="uk-UA"/>
        </w:rPr>
      </w:pPr>
      <w:r w:rsidRPr="00F7290F">
        <w:rPr>
          <w:b/>
          <w:lang w:val="uk-UA"/>
        </w:rPr>
        <w:t>Актуальні проблеми:</w:t>
      </w:r>
    </w:p>
    <w:p w:rsidR="00E03B55" w:rsidRPr="00F7290F" w:rsidRDefault="00E03B55" w:rsidP="00E03B55">
      <w:pPr>
        <w:keepNext/>
        <w:widowControl w:val="0"/>
        <w:numPr>
          <w:ilvl w:val="0"/>
          <w:numId w:val="9"/>
        </w:numPr>
        <w:tabs>
          <w:tab w:val="num" w:pos="900"/>
        </w:tabs>
        <w:ind w:left="0" w:firstLine="720"/>
        <w:jc w:val="both"/>
        <w:rPr>
          <w:lang w:val="uk-UA"/>
        </w:rPr>
      </w:pPr>
      <w:r w:rsidRPr="00F7290F">
        <w:rPr>
          <w:lang w:val="uk-UA"/>
        </w:rPr>
        <w:t>наявність адміністративних бар’єрів на шляху становлення та розвитку підприємництва;</w:t>
      </w:r>
    </w:p>
    <w:p w:rsidR="00E03B55" w:rsidRPr="00F7290F" w:rsidRDefault="00E03B55" w:rsidP="00E03B55">
      <w:pPr>
        <w:keepNext/>
        <w:widowControl w:val="0"/>
        <w:numPr>
          <w:ilvl w:val="0"/>
          <w:numId w:val="9"/>
        </w:numPr>
        <w:tabs>
          <w:tab w:val="num" w:pos="900"/>
        </w:tabs>
        <w:ind w:left="0" w:firstLine="720"/>
        <w:jc w:val="both"/>
        <w:rPr>
          <w:lang w:val="uk-UA"/>
        </w:rPr>
      </w:pPr>
      <w:r w:rsidRPr="00F7290F">
        <w:rPr>
          <w:lang w:val="uk-UA"/>
        </w:rPr>
        <w:t>низька інвестиційна та інноваційна активність суб’єктів малого підприємництва;</w:t>
      </w:r>
    </w:p>
    <w:p w:rsidR="00E03B55" w:rsidRPr="00F7290F" w:rsidRDefault="00E03B55" w:rsidP="00E03B55">
      <w:pPr>
        <w:keepNext/>
        <w:widowControl w:val="0"/>
        <w:numPr>
          <w:ilvl w:val="0"/>
          <w:numId w:val="9"/>
        </w:numPr>
        <w:tabs>
          <w:tab w:val="num" w:pos="900"/>
        </w:tabs>
        <w:ind w:left="0" w:firstLine="720"/>
        <w:jc w:val="both"/>
        <w:rPr>
          <w:lang w:val="uk-UA"/>
        </w:rPr>
      </w:pPr>
      <w:r w:rsidRPr="00F7290F">
        <w:rPr>
          <w:lang w:val="uk-UA"/>
        </w:rPr>
        <w:t>висока вартість кредитних ресурсів для суб’єктів підприємництва;</w:t>
      </w:r>
    </w:p>
    <w:p w:rsidR="00E03B55" w:rsidRPr="00F7290F" w:rsidRDefault="00E03B55" w:rsidP="00E03B55">
      <w:pPr>
        <w:keepNext/>
        <w:widowControl w:val="0"/>
        <w:numPr>
          <w:ilvl w:val="0"/>
          <w:numId w:val="9"/>
        </w:numPr>
        <w:tabs>
          <w:tab w:val="num" w:pos="900"/>
        </w:tabs>
        <w:spacing w:after="120"/>
        <w:ind w:left="0" w:firstLine="720"/>
        <w:jc w:val="both"/>
        <w:rPr>
          <w:lang w:val="uk-UA"/>
        </w:rPr>
      </w:pPr>
      <w:r w:rsidRPr="00F7290F">
        <w:rPr>
          <w:lang w:val="uk-UA"/>
        </w:rPr>
        <w:t>недосконалість інституціональної інфраструктури підтримки малого підприємництва.</w:t>
      </w:r>
    </w:p>
    <w:p w:rsidR="00E03B55" w:rsidRPr="00F7290F" w:rsidRDefault="00E03B55" w:rsidP="00E03B55">
      <w:pPr>
        <w:keepNext/>
        <w:widowControl w:val="0"/>
        <w:tabs>
          <w:tab w:val="left" w:pos="9354"/>
        </w:tabs>
        <w:spacing w:after="120"/>
        <w:ind w:firstLine="709"/>
        <w:jc w:val="both"/>
        <w:rPr>
          <w:lang w:val="uk-UA"/>
        </w:rPr>
      </w:pPr>
      <w:r w:rsidRPr="00F7290F">
        <w:rPr>
          <w:b/>
          <w:lang w:val="uk-UA"/>
        </w:rPr>
        <w:t>Головна  мета</w:t>
      </w:r>
      <w:r w:rsidRPr="00F7290F">
        <w:rPr>
          <w:lang w:val="uk-UA"/>
        </w:rPr>
        <w:t xml:space="preserve"> - подальше зменшення адміністративних бар'єрів на шляху розвитку підприємництва, створення сприятливих умов для ведення бізнесу,  придання розвитку малого та середнього бізнесу  реального пріоритету в діяльності місцевих органів влади</w:t>
      </w:r>
    </w:p>
    <w:p w:rsidR="00E03B55" w:rsidRPr="00F7290F" w:rsidRDefault="00E03B55" w:rsidP="00E03B55">
      <w:pPr>
        <w:keepNext/>
        <w:widowControl w:val="0"/>
        <w:tabs>
          <w:tab w:val="left" w:pos="9354"/>
        </w:tabs>
        <w:ind w:firstLine="709"/>
        <w:jc w:val="both"/>
        <w:rPr>
          <w:b/>
          <w:lang w:val="uk-UA"/>
        </w:rPr>
      </w:pPr>
      <w:r w:rsidRPr="00F7290F">
        <w:rPr>
          <w:b/>
          <w:lang w:val="uk-UA"/>
        </w:rPr>
        <w:t>Основні завдання на 2013 рік:</w:t>
      </w:r>
    </w:p>
    <w:p w:rsidR="00E03B55" w:rsidRPr="00F7290F" w:rsidRDefault="00E03B55" w:rsidP="00E03B55">
      <w:pPr>
        <w:keepNext/>
        <w:widowControl w:val="0"/>
        <w:numPr>
          <w:ilvl w:val="0"/>
          <w:numId w:val="9"/>
        </w:numPr>
        <w:tabs>
          <w:tab w:val="num" w:pos="900"/>
        </w:tabs>
        <w:ind w:left="0" w:firstLine="720"/>
        <w:jc w:val="both"/>
        <w:rPr>
          <w:lang w:val="uk-UA"/>
        </w:rPr>
      </w:pPr>
      <w:r w:rsidRPr="00F7290F">
        <w:rPr>
          <w:lang w:val="uk-UA"/>
        </w:rPr>
        <w:t xml:space="preserve">удосконалення дозвільної системи у сфері господарської діяльності шляхом спрощення процедур отримання документів дозвільного характеру, забезпечення переходу від дозвільного до декларативного принципу при здійсненні господарської діяльності; </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 xml:space="preserve">подальше удосконалення системи  надання  адміністративних послуг та  забезпечення прозорості та відкритості реалізації регуляторної політики; </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формування дієвих механізмів  зростання конкурентоспроможності сектору малого та середнього бізнесу;</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створення умов та  стимулів для підвищення  рівня соціальної відповідальності  суб`єктів  малого підприємництва;</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активізація  кадрової підтримки та підвищення освітнього рівня широких верств населення від здобуття знань до започаткування та ведення власної справи;</w:t>
      </w:r>
    </w:p>
    <w:p w:rsidR="00E03B55" w:rsidRPr="00F7290F" w:rsidRDefault="00E03B55" w:rsidP="00E03B55">
      <w:pPr>
        <w:keepNext/>
        <w:widowControl w:val="0"/>
        <w:numPr>
          <w:ilvl w:val="0"/>
          <w:numId w:val="9"/>
        </w:numPr>
        <w:tabs>
          <w:tab w:val="num" w:pos="900"/>
        </w:tabs>
        <w:spacing w:after="120"/>
        <w:ind w:left="0" w:firstLine="720"/>
        <w:jc w:val="both"/>
        <w:rPr>
          <w:bCs/>
          <w:lang w:val="uk-UA"/>
        </w:rPr>
      </w:pPr>
      <w:r w:rsidRPr="00F7290F">
        <w:rPr>
          <w:bCs/>
          <w:lang w:val="uk-UA"/>
        </w:rPr>
        <w:t>консолідація зусиль органів влади і громадських об`єднань підприємців з питань підтримки, захисту прав та інтересів малого бізнесу.</w:t>
      </w:r>
    </w:p>
    <w:p w:rsidR="00E03B55" w:rsidRPr="00F7290F" w:rsidRDefault="00E03B55" w:rsidP="00E03B55">
      <w:pPr>
        <w:keepNext/>
        <w:widowControl w:val="0"/>
        <w:tabs>
          <w:tab w:val="left" w:pos="399"/>
          <w:tab w:val="left" w:pos="851"/>
          <w:tab w:val="left" w:pos="9639"/>
        </w:tabs>
        <w:spacing w:before="120"/>
        <w:ind w:firstLine="709"/>
        <w:jc w:val="both"/>
        <w:rPr>
          <w:lang w:val="uk-UA"/>
        </w:rPr>
      </w:pPr>
      <w:r w:rsidRPr="00F7290F">
        <w:rPr>
          <w:b/>
          <w:bCs/>
          <w:noProof/>
          <w:lang w:val="uk-UA"/>
        </w:rPr>
        <w:t>Критерії досягнення:</w:t>
      </w:r>
      <w:r w:rsidRPr="00F7290F">
        <w:rPr>
          <w:lang w:val="uk-UA"/>
        </w:rPr>
        <w:t xml:space="preserve"> </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lang w:val="uk-UA"/>
        </w:rPr>
        <w:t xml:space="preserve"> </w:t>
      </w:r>
      <w:r w:rsidRPr="00F7290F">
        <w:rPr>
          <w:bCs/>
          <w:lang w:val="uk-UA"/>
        </w:rPr>
        <w:t>зростання кількості малих підприємств до 56 одиниць на 10 тис. осіб наявного населення (у 2012 році - 55 одиниць);</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питома вага малих підприємств в  обсягах  реалізації продукції по області  складе  7,5%, (у 2012 році  - на  рівні  6,5 %);</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чисельність працюючих на малих підприємствах зросте до 155,0 тис. осіб, кількість підприємців-фізичних осіб складе відповідно  173,0 тис. осіб;</w:t>
      </w:r>
    </w:p>
    <w:p w:rsidR="00E03B55" w:rsidRPr="00F7290F" w:rsidRDefault="00E03B55" w:rsidP="00E03B55">
      <w:pPr>
        <w:keepNext/>
        <w:widowControl w:val="0"/>
        <w:numPr>
          <w:ilvl w:val="0"/>
          <w:numId w:val="9"/>
        </w:numPr>
        <w:tabs>
          <w:tab w:val="num" w:pos="900"/>
        </w:tabs>
        <w:spacing w:after="120"/>
        <w:ind w:left="0" w:firstLine="720"/>
        <w:jc w:val="both"/>
        <w:rPr>
          <w:lang w:val="uk-UA"/>
        </w:rPr>
      </w:pPr>
      <w:r w:rsidRPr="00F7290F">
        <w:rPr>
          <w:bCs/>
          <w:lang w:val="uk-UA"/>
        </w:rPr>
        <w:t>надходження</w:t>
      </w:r>
      <w:r w:rsidRPr="00F7290F">
        <w:rPr>
          <w:lang w:val="uk-UA"/>
        </w:rPr>
        <w:t xml:space="preserve"> до бюджетів усіх рівнів від діяльності малого підприємництва зростуть  до 5,0 млрд.грн. </w:t>
      </w:r>
    </w:p>
    <w:p w:rsidR="00E03B55" w:rsidRPr="00F7290F" w:rsidRDefault="00E03B55" w:rsidP="00E03B55">
      <w:pPr>
        <w:pStyle w:val="Style13"/>
        <w:keepNext/>
        <w:autoSpaceDE/>
        <w:autoSpaceDN/>
        <w:adjustRightInd/>
        <w:ind w:firstLine="720"/>
        <w:jc w:val="both"/>
        <w:rPr>
          <w:rStyle w:val="FontStyle17"/>
          <w:rFonts w:eastAsia="Times New Roman"/>
          <w:sz w:val="24"/>
          <w:szCs w:val="24"/>
          <w:lang w:val="uk-UA" w:eastAsia="uk-UA"/>
        </w:rPr>
      </w:pPr>
      <w:r w:rsidRPr="00F7290F">
        <w:rPr>
          <w:rStyle w:val="FontStyle17"/>
          <w:rFonts w:eastAsia="Times New Roman"/>
          <w:sz w:val="24"/>
          <w:szCs w:val="24"/>
          <w:lang w:val="uk-UA" w:eastAsia="uk-UA"/>
        </w:rPr>
        <w:t>Ресурсне забезпечення</w:t>
      </w:r>
    </w:p>
    <w:p w:rsidR="00E03B55" w:rsidRPr="00F7290F" w:rsidRDefault="00E03B55" w:rsidP="00E03B55">
      <w:pPr>
        <w:pStyle w:val="Style13"/>
        <w:keepNext/>
        <w:autoSpaceDE/>
        <w:autoSpaceDN/>
        <w:adjustRightInd/>
        <w:ind w:firstLine="720"/>
        <w:jc w:val="both"/>
        <w:rPr>
          <w:rStyle w:val="FontStyle17"/>
          <w:rFonts w:eastAsia="Times New Roman"/>
          <w:sz w:val="24"/>
          <w:szCs w:val="24"/>
          <w:lang w:val="uk-UA" w:eastAsia="uk-UA"/>
        </w:rPr>
      </w:pPr>
      <w:r w:rsidRPr="00F7290F">
        <w:rPr>
          <w:rStyle w:val="FontStyle17"/>
          <w:rFonts w:eastAsia="Times New Roman"/>
          <w:b w:val="0"/>
          <w:sz w:val="24"/>
          <w:szCs w:val="24"/>
          <w:lang w:val="uk-UA" w:eastAsia="uk-UA"/>
        </w:rPr>
        <w:t>Фінансування заходів з розвитку підприємництва здійснюватиметься за рахунок коштів обласного бюджету, коштів виконавців.</w:t>
      </w:r>
    </w:p>
    <w:p w:rsidR="00DC3E3D" w:rsidRPr="00F7290F" w:rsidRDefault="00DC3E3D" w:rsidP="00D65D2E">
      <w:pPr>
        <w:keepNext/>
        <w:widowControl w:val="0"/>
        <w:tabs>
          <w:tab w:val="left" w:pos="959"/>
        </w:tabs>
        <w:spacing w:after="120"/>
        <w:ind w:left="108"/>
        <w:jc w:val="center"/>
        <w:rPr>
          <w:rStyle w:val="af4"/>
          <w:b/>
          <w:color w:val="auto"/>
          <w:u w:val="none"/>
          <w:lang w:val="uk-UA"/>
        </w:rPr>
      </w:pPr>
      <w:r w:rsidRPr="00F7290F">
        <w:rPr>
          <w:b/>
          <w:lang w:val="uk-UA"/>
        </w:rPr>
        <w:lastRenderedPageBreak/>
        <w:t>4.4.</w:t>
      </w:r>
      <w:r w:rsidR="00620EA4" w:rsidRPr="00F7290F">
        <w:rPr>
          <w:b/>
          <w:lang w:val="uk-UA"/>
        </w:rPr>
        <w:t xml:space="preserve"> </w:t>
      </w:r>
      <w:r w:rsidRPr="00F7290F">
        <w:rPr>
          <w:rStyle w:val="af4"/>
          <w:b/>
          <w:color w:val="auto"/>
          <w:u w:val="none"/>
          <w:lang w:val="uk-UA"/>
        </w:rPr>
        <w:t xml:space="preserve">Розвиток внутрішньої торгівлі. </w:t>
      </w:r>
      <w:r w:rsidRPr="00F7290F">
        <w:rPr>
          <w:b/>
          <w:lang w:val="uk-UA"/>
        </w:rPr>
        <w:t>З</w:t>
      </w:r>
      <w:r w:rsidRPr="00F7290F">
        <w:rPr>
          <w:rStyle w:val="af4"/>
          <w:b/>
          <w:color w:val="auto"/>
          <w:u w:val="none"/>
          <w:lang w:val="uk-UA"/>
        </w:rPr>
        <w:t>ахист прав споживачів</w:t>
      </w:r>
    </w:p>
    <w:p w:rsidR="00741F94" w:rsidRPr="00F7290F" w:rsidRDefault="00741F94" w:rsidP="00D65D2E">
      <w:pPr>
        <w:keepNext/>
        <w:widowControl w:val="0"/>
        <w:ind w:firstLine="720"/>
        <w:rPr>
          <w:b/>
          <w:lang w:val="uk-UA"/>
        </w:rPr>
      </w:pPr>
      <w:r w:rsidRPr="00F7290F">
        <w:rPr>
          <w:b/>
          <w:lang w:val="uk-UA"/>
        </w:rPr>
        <w:t>Актуальні проблеми</w:t>
      </w:r>
      <w:r w:rsidR="00620EA4" w:rsidRPr="00F7290F">
        <w:rPr>
          <w:b/>
          <w:lang w:val="uk-UA"/>
        </w:rPr>
        <w:t>:</w:t>
      </w:r>
    </w:p>
    <w:p w:rsidR="00620EA4" w:rsidRPr="00F7290F" w:rsidRDefault="00620EA4" w:rsidP="00D65D2E">
      <w:pPr>
        <w:keepNext/>
        <w:widowControl w:val="0"/>
        <w:numPr>
          <w:ilvl w:val="0"/>
          <w:numId w:val="9"/>
        </w:numPr>
        <w:tabs>
          <w:tab w:val="num" w:pos="900"/>
        </w:tabs>
        <w:ind w:left="0" w:firstLine="720"/>
        <w:jc w:val="both"/>
        <w:rPr>
          <w:bCs/>
          <w:lang w:val="uk-UA"/>
        </w:rPr>
      </w:pPr>
      <w:r w:rsidRPr="00F7290F">
        <w:rPr>
          <w:bCs/>
          <w:lang w:val="uk-UA"/>
        </w:rPr>
        <w:t xml:space="preserve">недосконалість законодавчої та нормативно-правової бази, передусім необхідність прийняття Закону України </w:t>
      </w:r>
      <w:r w:rsidR="007768BF" w:rsidRPr="00F7290F">
        <w:rPr>
          <w:bCs/>
          <w:lang w:val="uk-UA"/>
        </w:rPr>
        <w:t>«</w:t>
      </w:r>
      <w:r w:rsidRPr="00F7290F">
        <w:rPr>
          <w:bCs/>
          <w:lang w:val="uk-UA"/>
        </w:rPr>
        <w:t>Про внутрішню торгівлю</w:t>
      </w:r>
      <w:r w:rsidR="007768BF" w:rsidRPr="00F7290F">
        <w:rPr>
          <w:bCs/>
          <w:lang w:val="uk-UA"/>
        </w:rPr>
        <w:t>»</w:t>
      </w:r>
      <w:r w:rsidRPr="00F7290F">
        <w:rPr>
          <w:bCs/>
          <w:lang w:val="uk-UA"/>
        </w:rPr>
        <w:t>;</w:t>
      </w:r>
    </w:p>
    <w:p w:rsidR="00620EA4" w:rsidRPr="00F7290F" w:rsidRDefault="00620EA4" w:rsidP="00D65D2E">
      <w:pPr>
        <w:keepNext/>
        <w:widowControl w:val="0"/>
        <w:numPr>
          <w:ilvl w:val="0"/>
          <w:numId w:val="9"/>
        </w:numPr>
        <w:tabs>
          <w:tab w:val="num" w:pos="900"/>
        </w:tabs>
        <w:spacing w:after="120"/>
        <w:ind w:left="0" w:firstLine="720"/>
        <w:jc w:val="both"/>
        <w:rPr>
          <w:lang w:val="uk-UA"/>
        </w:rPr>
      </w:pPr>
      <w:r w:rsidRPr="00F7290F">
        <w:rPr>
          <w:bCs/>
          <w:lang w:val="uk-UA"/>
        </w:rPr>
        <w:t>недосконалість системи статистичного обліку показників розвитку торгівлі та ресторанного господарства</w:t>
      </w:r>
      <w:r w:rsidRPr="00F7290F">
        <w:rPr>
          <w:lang w:val="uk-UA"/>
        </w:rPr>
        <w:t>.</w:t>
      </w:r>
    </w:p>
    <w:p w:rsidR="00DC3E3D" w:rsidRPr="00F7290F" w:rsidRDefault="00741F94" w:rsidP="00D65D2E">
      <w:pPr>
        <w:pStyle w:val="31"/>
        <w:keepNext/>
        <w:widowControl w:val="0"/>
        <w:ind w:left="0" w:firstLine="709"/>
        <w:jc w:val="both"/>
        <w:rPr>
          <w:sz w:val="24"/>
          <w:lang w:val="uk-UA"/>
        </w:rPr>
      </w:pPr>
      <w:r w:rsidRPr="00F7290F">
        <w:rPr>
          <w:b/>
          <w:sz w:val="24"/>
          <w:szCs w:val="24"/>
          <w:lang w:val="uk-UA"/>
        </w:rPr>
        <w:t xml:space="preserve">Головна  </w:t>
      </w:r>
      <w:r w:rsidR="000B03DE" w:rsidRPr="00F7290F">
        <w:rPr>
          <w:b/>
          <w:sz w:val="24"/>
          <w:szCs w:val="24"/>
          <w:lang w:val="uk-UA"/>
        </w:rPr>
        <w:t>мета</w:t>
      </w:r>
      <w:r w:rsidRPr="00F7290F">
        <w:rPr>
          <w:lang w:val="uk-UA"/>
        </w:rPr>
        <w:t xml:space="preserve"> - </w:t>
      </w:r>
      <w:r w:rsidR="00DC3E3D" w:rsidRPr="00F7290F">
        <w:rPr>
          <w:sz w:val="24"/>
          <w:lang w:val="uk-UA"/>
        </w:rPr>
        <w:t xml:space="preserve">насичення споживчого ринку області високоякісними товарами,  зростання обсягу роздрібного товарообороту, забезпечення належного рівня торговельного обслуговування населення, підвищення рівня активності населення у вирішенні питань захисту своїх прав, як споживачів. </w:t>
      </w:r>
    </w:p>
    <w:p w:rsidR="00620EA4" w:rsidRPr="00F7290F" w:rsidRDefault="00620EA4" w:rsidP="00D65D2E">
      <w:pPr>
        <w:pStyle w:val="23"/>
        <w:keepNext/>
        <w:widowControl w:val="0"/>
        <w:tabs>
          <w:tab w:val="left" w:pos="709"/>
        </w:tabs>
        <w:spacing w:before="120" w:after="0"/>
        <w:rPr>
          <w:b/>
        </w:rPr>
      </w:pPr>
      <w:r w:rsidRPr="00F7290F">
        <w:rPr>
          <w:b/>
        </w:rPr>
        <w:t>Ризики:</w:t>
      </w:r>
    </w:p>
    <w:p w:rsidR="00620EA4" w:rsidRPr="00F7290F" w:rsidRDefault="00620EA4" w:rsidP="00D65D2E">
      <w:pPr>
        <w:keepNext/>
        <w:widowControl w:val="0"/>
        <w:numPr>
          <w:ilvl w:val="0"/>
          <w:numId w:val="9"/>
        </w:numPr>
        <w:tabs>
          <w:tab w:val="num" w:pos="900"/>
        </w:tabs>
        <w:ind w:left="0" w:firstLine="720"/>
        <w:jc w:val="both"/>
        <w:rPr>
          <w:bCs/>
          <w:lang w:val="uk-UA"/>
        </w:rPr>
      </w:pPr>
      <w:r w:rsidRPr="00F7290F">
        <w:rPr>
          <w:bCs/>
          <w:lang w:val="uk-UA"/>
        </w:rPr>
        <w:t>незабезпечення запланованого збільшення реальних доходів населення;</w:t>
      </w:r>
    </w:p>
    <w:p w:rsidR="00620EA4" w:rsidRPr="00F7290F" w:rsidRDefault="00620EA4" w:rsidP="00D65D2E">
      <w:pPr>
        <w:keepNext/>
        <w:widowControl w:val="0"/>
        <w:numPr>
          <w:ilvl w:val="0"/>
          <w:numId w:val="9"/>
        </w:numPr>
        <w:tabs>
          <w:tab w:val="num" w:pos="900"/>
        </w:tabs>
        <w:ind w:left="0" w:firstLine="720"/>
        <w:jc w:val="both"/>
        <w:rPr>
          <w:bCs/>
          <w:lang w:val="uk-UA"/>
        </w:rPr>
      </w:pPr>
      <w:r w:rsidRPr="00F7290F">
        <w:rPr>
          <w:bCs/>
          <w:lang w:val="uk-UA"/>
        </w:rPr>
        <w:t>неефективність заходів щодо легалізації торгової виручки;</w:t>
      </w:r>
    </w:p>
    <w:p w:rsidR="00620EA4" w:rsidRPr="00F7290F" w:rsidRDefault="00620EA4" w:rsidP="00D65D2E">
      <w:pPr>
        <w:keepNext/>
        <w:widowControl w:val="0"/>
        <w:numPr>
          <w:ilvl w:val="0"/>
          <w:numId w:val="9"/>
        </w:numPr>
        <w:tabs>
          <w:tab w:val="num" w:pos="900"/>
        </w:tabs>
        <w:spacing w:after="120"/>
        <w:ind w:left="0" w:firstLine="720"/>
        <w:jc w:val="both"/>
        <w:rPr>
          <w:sz w:val="28"/>
          <w:szCs w:val="28"/>
          <w:lang w:val="uk-UA"/>
        </w:rPr>
      </w:pPr>
      <w:r w:rsidRPr="00F7290F">
        <w:rPr>
          <w:bCs/>
          <w:lang w:val="uk-UA"/>
        </w:rPr>
        <w:t>незабезпечення</w:t>
      </w:r>
      <w:r w:rsidRPr="00F7290F">
        <w:rPr>
          <w:lang w:val="uk-UA"/>
        </w:rPr>
        <w:t xml:space="preserve"> виконання передбачених заходів щодо розвитку підприємств торгівлі та ресторанного господарства фінансовими ресурсами</w:t>
      </w:r>
      <w:r w:rsidRPr="00F7290F">
        <w:rPr>
          <w:sz w:val="28"/>
          <w:szCs w:val="28"/>
          <w:lang w:val="uk-UA"/>
        </w:rPr>
        <w:t>.</w:t>
      </w:r>
    </w:p>
    <w:p w:rsidR="00DC3E3D" w:rsidRPr="00F7290F" w:rsidRDefault="00741F94" w:rsidP="00D65D2E">
      <w:pPr>
        <w:keepNext/>
        <w:widowControl w:val="0"/>
        <w:tabs>
          <w:tab w:val="left" w:pos="9354"/>
        </w:tabs>
        <w:ind w:firstLine="709"/>
        <w:jc w:val="both"/>
        <w:rPr>
          <w:i/>
          <w:lang w:val="uk-UA"/>
        </w:rPr>
      </w:pPr>
      <w:r w:rsidRPr="00F7290F">
        <w:rPr>
          <w:b/>
          <w:lang w:val="uk-UA"/>
        </w:rPr>
        <w:t>Основні завдання на 2013 рік</w:t>
      </w:r>
      <w:r w:rsidR="00DC3E3D" w:rsidRPr="00F7290F">
        <w:rPr>
          <w:lang w:val="uk-UA"/>
        </w:rPr>
        <w:t xml:space="preserve"> </w:t>
      </w:r>
      <w:r w:rsidRPr="00F7290F">
        <w:rPr>
          <w:b/>
          <w:i/>
          <w:lang w:val="uk-UA"/>
        </w:rPr>
        <w:t xml:space="preserve">у </w:t>
      </w:r>
      <w:r w:rsidR="00DC3E3D" w:rsidRPr="00F7290F">
        <w:rPr>
          <w:b/>
          <w:i/>
          <w:lang w:val="uk-UA"/>
        </w:rPr>
        <w:t>сфер</w:t>
      </w:r>
      <w:r w:rsidRPr="00F7290F">
        <w:rPr>
          <w:b/>
          <w:i/>
          <w:lang w:val="uk-UA"/>
        </w:rPr>
        <w:t>і</w:t>
      </w:r>
      <w:r w:rsidR="00DC3E3D" w:rsidRPr="00F7290F">
        <w:rPr>
          <w:b/>
          <w:i/>
          <w:lang w:val="uk-UA"/>
        </w:rPr>
        <w:t xml:space="preserve"> торгівлі:</w:t>
      </w:r>
    </w:p>
    <w:p w:rsidR="00DC3E3D" w:rsidRPr="00F7290F" w:rsidRDefault="00DC3E3D" w:rsidP="007535A1">
      <w:pPr>
        <w:keepNext/>
        <w:widowControl w:val="0"/>
        <w:numPr>
          <w:ilvl w:val="0"/>
          <w:numId w:val="9"/>
        </w:numPr>
        <w:tabs>
          <w:tab w:val="num" w:pos="900"/>
        </w:tabs>
        <w:spacing w:after="80"/>
        <w:ind w:left="0" w:firstLine="720"/>
        <w:jc w:val="both"/>
        <w:rPr>
          <w:bCs/>
          <w:lang w:val="uk-UA"/>
        </w:rPr>
      </w:pPr>
      <w:r w:rsidRPr="00F7290F">
        <w:rPr>
          <w:bCs/>
          <w:lang w:val="uk-UA"/>
        </w:rPr>
        <w:t>розширення роздрібної та оптової мережі на 261 одиниці та ресторанного господарства на 45 одиницю із забезпеченням територіальної доступності торговельних послуг для населення, для чого буде залучено 152,4 млн.грн. власних коштів підприємств;</w:t>
      </w:r>
    </w:p>
    <w:p w:rsidR="00DC3E3D" w:rsidRPr="00F7290F" w:rsidRDefault="00DC3E3D" w:rsidP="007535A1">
      <w:pPr>
        <w:keepNext/>
        <w:widowControl w:val="0"/>
        <w:numPr>
          <w:ilvl w:val="0"/>
          <w:numId w:val="9"/>
        </w:numPr>
        <w:tabs>
          <w:tab w:val="num" w:pos="900"/>
        </w:tabs>
        <w:spacing w:after="80"/>
        <w:ind w:left="0" w:firstLine="720"/>
        <w:jc w:val="both"/>
        <w:rPr>
          <w:bCs/>
          <w:lang w:val="uk-UA"/>
        </w:rPr>
      </w:pPr>
      <w:r w:rsidRPr="00F7290F">
        <w:rPr>
          <w:bCs/>
          <w:lang w:val="uk-UA"/>
        </w:rPr>
        <w:t>поліпшення якості торговельного обслуговування мешканців та гостей області, впровадження сучасних методів торгівлі, розширення додаткових послуг за рахунок впровадження прогресивних форм і методів обслуговування, на що буде використано майже 20,0 млн.грн. коштів суб’єктів господарювання, і доведення забезпеченості населення торговельною площею на 1000 жителів до 518,8 кв.м;</w:t>
      </w:r>
    </w:p>
    <w:p w:rsidR="00DC3E3D" w:rsidRPr="007535A1" w:rsidRDefault="00DC3E3D" w:rsidP="007535A1">
      <w:pPr>
        <w:keepNext/>
        <w:widowControl w:val="0"/>
        <w:numPr>
          <w:ilvl w:val="0"/>
          <w:numId w:val="9"/>
        </w:numPr>
        <w:tabs>
          <w:tab w:val="num" w:pos="900"/>
        </w:tabs>
        <w:spacing w:after="80"/>
        <w:ind w:left="0" w:firstLine="720"/>
        <w:jc w:val="both"/>
        <w:rPr>
          <w:bCs/>
          <w:spacing w:val="-6"/>
          <w:lang w:val="uk-UA"/>
        </w:rPr>
      </w:pPr>
      <w:r w:rsidRPr="007535A1">
        <w:rPr>
          <w:bCs/>
          <w:spacing w:val="-6"/>
          <w:lang w:val="uk-UA"/>
        </w:rPr>
        <w:t xml:space="preserve">стимулювання попиту на товари, що виробляються вітчизняними товаровиробниками, сприяння їх виходу на споживчий ринок області  шляхом  проведення  4200 ярмаркових заходів; відкриття 17 відділів та секцій в магазинах з продажу фірмових товарів вітчизняних виробників; </w:t>
      </w:r>
    </w:p>
    <w:p w:rsidR="00DC3E3D" w:rsidRPr="00F7290F" w:rsidRDefault="00DC3E3D" w:rsidP="007535A1">
      <w:pPr>
        <w:keepNext/>
        <w:widowControl w:val="0"/>
        <w:numPr>
          <w:ilvl w:val="0"/>
          <w:numId w:val="9"/>
        </w:numPr>
        <w:tabs>
          <w:tab w:val="num" w:pos="900"/>
        </w:tabs>
        <w:spacing w:after="80"/>
        <w:ind w:left="0" w:firstLine="720"/>
        <w:jc w:val="both"/>
        <w:rPr>
          <w:bCs/>
          <w:lang w:val="uk-UA"/>
        </w:rPr>
      </w:pPr>
      <w:r w:rsidRPr="00F7290F">
        <w:rPr>
          <w:bCs/>
          <w:lang w:val="uk-UA"/>
        </w:rPr>
        <w:t>удосконалення функціонування ринків з продажу продовольчих і непродовольчих товарів за рахунок проведення реконструкції, модернізації матеріально-технічної бази на 161 ринку та сприяння залученню на ринки з продажу сільськогосподарської продукції товаровиробників з інших областей, в рамках подальшої співпраці;</w:t>
      </w:r>
    </w:p>
    <w:p w:rsidR="00DC3E3D" w:rsidRPr="00F7290F" w:rsidRDefault="00DC3E3D" w:rsidP="00D65D2E">
      <w:pPr>
        <w:keepNext/>
        <w:widowControl w:val="0"/>
        <w:numPr>
          <w:ilvl w:val="0"/>
          <w:numId w:val="9"/>
        </w:numPr>
        <w:tabs>
          <w:tab w:val="num" w:pos="900"/>
        </w:tabs>
        <w:spacing w:after="120"/>
        <w:ind w:left="0" w:firstLine="720"/>
        <w:jc w:val="both"/>
        <w:rPr>
          <w:spacing w:val="-4"/>
          <w:lang w:val="uk-UA"/>
        </w:rPr>
      </w:pPr>
      <w:r w:rsidRPr="00F7290F">
        <w:rPr>
          <w:bCs/>
          <w:lang w:val="uk-UA"/>
        </w:rPr>
        <w:t>поліпшення кадрового забезпечення підприємств, підвищення кваліфікаційного рівня працівників сфери торгівлі та ресторанного господарства шляхом проведення масової роз’яснювальної роботи з працівниками сфери</w:t>
      </w:r>
      <w:r w:rsidRPr="00F7290F">
        <w:rPr>
          <w:bCs/>
          <w:snapToGrid w:val="0"/>
          <w:lang w:val="uk-UA"/>
        </w:rPr>
        <w:t xml:space="preserve"> обслуговування щодо отримання професійної освіти у навчальних</w:t>
      </w:r>
      <w:r w:rsidRPr="00F7290F">
        <w:rPr>
          <w:spacing w:val="-4"/>
          <w:lang w:val="uk-UA"/>
        </w:rPr>
        <w:t xml:space="preserve"> закладах та професійної підготовки на курсах. </w:t>
      </w:r>
    </w:p>
    <w:p w:rsidR="00F54BE3" w:rsidRPr="00F7290F" w:rsidRDefault="00F54BE3" w:rsidP="00D65D2E">
      <w:pPr>
        <w:keepNext/>
        <w:widowControl w:val="0"/>
        <w:tabs>
          <w:tab w:val="left" w:pos="399"/>
          <w:tab w:val="left" w:pos="851"/>
          <w:tab w:val="left" w:pos="9639"/>
        </w:tabs>
        <w:ind w:firstLine="709"/>
        <w:jc w:val="both"/>
        <w:rPr>
          <w:lang w:val="uk-UA"/>
        </w:rPr>
      </w:pPr>
      <w:r w:rsidRPr="00F7290F">
        <w:rPr>
          <w:b/>
          <w:bCs/>
          <w:noProof/>
          <w:lang w:val="uk-UA"/>
        </w:rPr>
        <w:t>Критерії досягнення</w:t>
      </w:r>
      <w:r w:rsidRPr="00F7290F">
        <w:rPr>
          <w:lang w:val="uk-UA"/>
        </w:rPr>
        <w:t xml:space="preserve"> </w:t>
      </w:r>
    </w:p>
    <w:p w:rsidR="00DC3E3D" w:rsidRPr="00F7290F" w:rsidRDefault="00DC3E3D" w:rsidP="00383B6B">
      <w:pPr>
        <w:keepNext/>
        <w:widowControl w:val="0"/>
        <w:ind w:firstLine="709"/>
        <w:jc w:val="both"/>
        <w:rPr>
          <w:b/>
          <w:lang w:val="uk-UA"/>
        </w:rPr>
      </w:pPr>
      <w:r w:rsidRPr="00F7290F">
        <w:rPr>
          <w:lang w:val="uk-UA"/>
        </w:rPr>
        <w:t>В результаті реалізації заходів Програми очікується обсяг продажу товарів у сумі                87,7 млрд.грн., що у діючих цінах на 10%  більше, ніж очікується у 2012 році.  У розрахунку на 1 мешканця області на рік  цей показник складе 19,9 тис.грн.</w:t>
      </w:r>
      <w:r w:rsidRPr="00F7290F">
        <w:rPr>
          <w:b/>
          <w:lang w:val="uk-UA"/>
        </w:rPr>
        <w:t xml:space="preserve"> </w:t>
      </w:r>
    </w:p>
    <w:p w:rsidR="00DC3E3D" w:rsidRPr="00F7290F" w:rsidRDefault="00DC3E3D" w:rsidP="00D65D2E">
      <w:pPr>
        <w:keepNext/>
        <w:widowControl w:val="0"/>
        <w:spacing w:after="120"/>
        <w:ind w:firstLine="709"/>
        <w:jc w:val="both"/>
        <w:rPr>
          <w:lang w:val="uk-UA"/>
        </w:rPr>
      </w:pPr>
      <w:r w:rsidRPr="00F7290F">
        <w:rPr>
          <w:lang w:val="uk-UA"/>
        </w:rPr>
        <w:t>Обсяг роздрібного товарообороту підприємств (юридичних осіб) складе                         40,7 млрд.грн., що більше, ніж у попередньому році, на 10,3%.</w:t>
      </w:r>
    </w:p>
    <w:p w:rsidR="00E00428" w:rsidRPr="00F7290F" w:rsidRDefault="00E00428" w:rsidP="00D65D2E">
      <w:pPr>
        <w:pStyle w:val="Style13"/>
        <w:keepNext/>
        <w:autoSpaceDE/>
        <w:autoSpaceDN/>
        <w:adjustRightInd/>
        <w:ind w:firstLine="720"/>
        <w:jc w:val="both"/>
        <w:rPr>
          <w:rStyle w:val="FontStyle17"/>
          <w:sz w:val="24"/>
          <w:szCs w:val="24"/>
          <w:lang w:val="uk-UA" w:eastAsia="uk-UA"/>
        </w:rPr>
      </w:pPr>
      <w:r w:rsidRPr="00F7290F">
        <w:rPr>
          <w:rStyle w:val="FontStyle17"/>
          <w:sz w:val="24"/>
          <w:szCs w:val="24"/>
          <w:lang w:val="uk-UA" w:eastAsia="uk-UA"/>
        </w:rPr>
        <w:t>Ресурсне забезпечення</w:t>
      </w:r>
    </w:p>
    <w:p w:rsidR="00DC3E3D" w:rsidRPr="00F7290F" w:rsidRDefault="00DC3E3D" w:rsidP="00D65D2E">
      <w:pPr>
        <w:pStyle w:val="aff2"/>
        <w:keepNext/>
        <w:widowControl w:val="0"/>
        <w:ind w:left="0" w:firstLine="709"/>
        <w:jc w:val="both"/>
        <w:rPr>
          <w:lang w:val="uk-UA"/>
        </w:rPr>
      </w:pPr>
      <w:r w:rsidRPr="00F7290F">
        <w:rPr>
          <w:lang w:val="uk-UA"/>
        </w:rPr>
        <w:t>На виконання заходів в містах та районах області передбачається спрямувати                  665,0 млн.грн., в тому числі: коштів місцевих бюджетів – 88,4 млн.грн., коштів підприємств – 575,3 млн.грн., інших коштів – 0,3 млн.грн.</w:t>
      </w:r>
    </w:p>
    <w:p w:rsidR="00DC3E3D" w:rsidRPr="00F7290F" w:rsidRDefault="00741F94" w:rsidP="00D65D2E">
      <w:pPr>
        <w:keepNext/>
        <w:widowControl w:val="0"/>
        <w:tabs>
          <w:tab w:val="left" w:pos="9354"/>
        </w:tabs>
        <w:ind w:firstLine="709"/>
        <w:jc w:val="both"/>
        <w:rPr>
          <w:b/>
          <w:i/>
          <w:lang w:val="uk-UA"/>
        </w:rPr>
      </w:pPr>
      <w:r w:rsidRPr="00F7290F">
        <w:rPr>
          <w:b/>
          <w:lang w:val="uk-UA"/>
        </w:rPr>
        <w:t>Основні завдання на 2013 рік</w:t>
      </w:r>
      <w:r w:rsidRPr="00F7290F">
        <w:rPr>
          <w:lang w:val="uk-UA"/>
        </w:rPr>
        <w:t xml:space="preserve"> </w:t>
      </w:r>
      <w:r w:rsidRPr="00F7290F">
        <w:rPr>
          <w:b/>
          <w:i/>
          <w:lang w:val="uk-UA"/>
        </w:rPr>
        <w:t>щодо</w:t>
      </w:r>
      <w:r w:rsidR="00DC3E3D" w:rsidRPr="00F7290F">
        <w:rPr>
          <w:i/>
          <w:lang w:val="uk-UA"/>
        </w:rPr>
        <w:t xml:space="preserve"> </w:t>
      </w:r>
      <w:r w:rsidR="00DC3E3D" w:rsidRPr="00F7290F">
        <w:rPr>
          <w:b/>
          <w:i/>
          <w:lang w:val="uk-UA"/>
        </w:rPr>
        <w:t>захисту прав споживачів:</w:t>
      </w:r>
    </w:p>
    <w:p w:rsidR="00DC3E3D" w:rsidRPr="00F7290F" w:rsidRDefault="00DC3E3D" w:rsidP="00D920EB">
      <w:pPr>
        <w:keepNext/>
        <w:widowControl w:val="0"/>
        <w:numPr>
          <w:ilvl w:val="0"/>
          <w:numId w:val="9"/>
        </w:numPr>
        <w:tabs>
          <w:tab w:val="num" w:pos="900"/>
        </w:tabs>
        <w:spacing w:after="60"/>
        <w:ind w:left="0" w:firstLine="720"/>
        <w:jc w:val="both"/>
        <w:rPr>
          <w:bCs/>
          <w:lang w:val="uk-UA"/>
        </w:rPr>
      </w:pPr>
      <w:r w:rsidRPr="00F7290F">
        <w:rPr>
          <w:bCs/>
          <w:lang w:val="uk-UA"/>
        </w:rPr>
        <w:t xml:space="preserve">продовження роботи, спрямованої на подальший розвиток конкуренції у сфері </w:t>
      </w:r>
      <w:r w:rsidRPr="00F7290F">
        <w:rPr>
          <w:bCs/>
          <w:lang w:val="uk-UA"/>
        </w:rPr>
        <w:lastRenderedPageBreak/>
        <w:t>торгівлі, у тому числі шляхом розвитку та вдосконалення мережі об’єктів роздрібної торгівлі в містах та районах області;</w:t>
      </w:r>
    </w:p>
    <w:p w:rsidR="00DC3E3D" w:rsidRPr="00F7290F" w:rsidRDefault="00DC3E3D" w:rsidP="00D920EB">
      <w:pPr>
        <w:keepNext/>
        <w:widowControl w:val="0"/>
        <w:numPr>
          <w:ilvl w:val="0"/>
          <w:numId w:val="9"/>
        </w:numPr>
        <w:tabs>
          <w:tab w:val="num" w:pos="900"/>
        </w:tabs>
        <w:spacing w:after="60"/>
        <w:ind w:left="0" w:firstLine="720"/>
        <w:jc w:val="both"/>
        <w:rPr>
          <w:bCs/>
          <w:lang w:val="uk-UA"/>
        </w:rPr>
      </w:pPr>
      <w:r w:rsidRPr="00F7290F">
        <w:rPr>
          <w:bCs/>
          <w:lang w:val="uk-UA"/>
        </w:rPr>
        <w:t>забезпечення дієвого контролю за якістю та безпекою сировини та харчових продуктів, непродовольчих товарів іноземного та вітчизняного виробництва в об’єктах торгівлі, ресторанного господарства, на ринках згідно з вимогами чинного законодавства;</w:t>
      </w:r>
    </w:p>
    <w:p w:rsidR="00DC3E3D" w:rsidRPr="00F7290F" w:rsidRDefault="00DC3E3D" w:rsidP="00D920EB">
      <w:pPr>
        <w:keepNext/>
        <w:widowControl w:val="0"/>
        <w:numPr>
          <w:ilvl w:val="0"/>
          <w:numId w:val="9"/>
        </w:numPr>
        <w:tabs>
          <w:tab w:val="num" w:pos="900"/>
        </w:tabs>
        <w:spacing w:after="60"/>
        <w:ind w:left="0" w:firstLine="720"/>
        <w:jc w:val="both"/>
        <w:rPr>
          <w:bCs/>
          <w:lang w:val="uk-UA"/>
        </w:rPr>
      </w:pPr>
      <w:r w:rsidRPr="00F7290F">
        <w:rPr>
          <w:bCs/>
          <w:lang w:val="uk-UA"/>
        </w:rPr>
        <w:t>популяризація питань захисту прав споживачів, підвищення рівня  активності населення області у вирішенні питань захисту своїх прав як споживачів;</w:t>
      </w:r>
    </w:p>
    <w:p w:rsidR="00DC3E3D" w:rsidRPr="00F7290F" w:rsidRDefault="00DC3E3D" w:rsidP="00D65D2E">
      <w:pPr>
        <w:keepNext/>
        <w:widowControl w:val="0"/>
        <w:numPr>
          <w:ilvl w:val="0"/>
          <w:numId w:val="9"/>
        </w:numPr>
        <w:tabs>
          <w:tab w:val="num" w:pos="900"/>
        </w:tabs>
        <w:spacing w:after="120"/>
        <w:ind w:left="0" w:firstLine="720"/>
        <w:jc w:val="both"/>
        <w:rPr>
          <w:bCs/>
          <w:lang w:val="uk-UA"/>
        </w:rPr>
      </w:pPr>
      <w:r w:rsidRPr="00F7290F">
        <w:rPr>
          <w:bCs/>
          <w:lang w:val="uk-UA"/>
        </w:rPr>
        <w:t>попередження фактів реалізації споживачам неякісної продукції, організація профілактичної роботи щодо недопущення надходження на споживчий ринок неякісної, фальсифікованої та небезпечної для життя і здоров’я людей продукції (товарів).</w:t>
      </w:r>
    </w:p>
    <w:p w:rsidR="00D4562E" w:rsidRPr="00F7290F" w:rsidRDefault="00D4562E" w:rsidP="00D65D2E">
      <w:pPr>
        <w:keepNext/>
        <w:widowControl w:val="0"/>
        <w:tabs>
          <w:tab w:val="left" w:pos="959"/>
        </w:tabs>
        <w:spacing w:after="120"/>
        <w:ind w:left="108"/>
        <w:jc w:val="center"/>
        <w:rPr>
          <w:rStyle w:val="af4"/>
          <w:b/>
          <w:color w:val="auto"/>
          <w:u w:val="none"/>
          <w:lang w:val="uk-UA"/>
        </w:rPr>
      </w:pPr>
      <w:r w:rsidRPr="00F7290F">
        <w:rPr>
          <w:b/>
          <w:lang w:val="uk-UA"/>
        </w:rPr>
        <w:t xml:space="preserve">4.5. </w:t>
      </w:r>
      <w:r w:rsidRPr="00F7290F">
        <w:rPr>
          <w:rStyle w:val="af4"/>
          <w:b/>
          <w:color w:val="auto"/>
          <w:u w:val="none"/>
          <w:lang w:val="uk-UA"/>
        </w:rPr>
        <w:t>Інвестиційна діяльність.</w:t>
      </w:r>
      <w:r w:rsidRPr="00F7290F">
        <w:rPr>
          <w:b/>
          <w:lang w:val="uk-UA"/>
        </w:rPr>
        <w:t xml:space="preserve"> Підтримка власного товаровиробника</w:t>
      </w:r>
    </w:p>
    <w:p w:rsidR="00B14E3E" w:rsidRPr="00F7290F" w:rsidRDefault="00B14E3E" w:rsidP="00B14E3E">
      <w:pPr>
        <w:keepNext/>
        <w:widowControl w:val="0"/>
        <w:ind w:firstLine="720"/>
        <w:rPr>
          <w:b/>
          <w:lang w:val="uk-UA"/>
        </w:rPr>
      </w:pPr>
      <w:r w:rsidRPr="00F7290F">
        <w:rPr>
          <w:b/>
          <w:lang w:val="uk-UA"/>
        </w:rPr>
        <w:t>Актуальні проблеми:</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наявність об’єктів довготривалого незавершеного будівництва усіх форм власності;</w:t>
      </w:r>
    </w:p>
    <w:p w:rsidR="00B14E3E" w:rsidRPr="00F7290F" w:rsidRDefault="00B14E3E" w:rsidP="00B14E3E">
      <w:pPr>
        <w:keepNext/>
        <w:widowControl w:val="0"/>
        <w:numPr>
          <w:ilvl w:val="0"/>
          <w:numId w:val="9"/>
        </w:numPr>
        <w:tabs>
          <w:tab w:val="num" w:pos="900"/>
        </w:tabs>
        <w:spacing w:after="120"/>
        <w:ind w:left="0" w:firstLine="720"/>
        <w:jc w:val="both"/>
        <w:rPr>
          <w:lang w:val="uk-UA"/>
        </w:rPr>
      </w:pPr>
      <w:r w:rsidRPr="00F7290F">
        <w:rPr>
          <w:bCs/>
          <w:lang w:val="uk-UA"/>
        </w:rPr>
        <w:t>не</w:t>
      </w:r>
      <w:r w:rsidRPr="00F7290F">
        <w:rPr>
          <w:lang w:val="uk-UA"/>
        </w:rPr>
        <w:t>достатній рівень використання продукції вітчизняного виробництва.</w:t>
      </w:r>
    </w:p>
    <w:p w:rsidR="00B14E3E" w:rsidRPr="00F7290F" w:rsidRDefault="00B14E3E" w:rsidP="00B14E3E">
      <w:pPr>
        <w:keepNext/>
        <w:widowControl w:val="0"/>
        <w:tabs>
          <w:tab w:val="left" w:pos="9354"/>
        </w:tabs>
        <w:spacing w:after="120"/>
        <w:ind w:firstLine="709"/>
        <w:jc w:val="both"/>
        <w:rPr>
          <w:lang w:val="uk-UA"/>
        </w:rPr>
      </w:pPr>
      <w:r w:rsidRPr="00F7290F">
        <w:rPr>
          <w:b/>
          <w:lang w:val="uk-UA"/>
        </w:rPr>
        <w:t>Головна  мета</w:t>
      </w:r>
      <w:r w:rsidRPr="00F7290F">
        <w:rPr>
          <w:lang w:val="uk-UA"/>
        </w:rPr>
        <w:t xml:space="preserve"> – залучення інвестицій в економіку області, стимулювання розвитку виробництва, впровадження сучасних технологій, налагоджування виробництва нових, конкурентоспроможних видів продукції, збільшення частки використання продукції вітчизняного товаровиробника. </w:t>
      </w:r>
    </w:p>
    <w:p w:rsidR="00B14E3E" w:rsidRPr="00F7290F" w:rsidRDefault="00B14E3E" w:rsidP="00B14E3E">
      <w:pPr>
        <w:keepNext/>
        <w:widowControl w:val="0"/>
        <w:tabs>
          <w:tab w:val="left" w:pos="9354"/>
        </w:tabs>
        <w:ind w:firstLine="709"/>
        <w:jc w:val="both"/>
        <w:rPr>
          <w:b/>
          <w:lang w:val="uk-UA"/>
        </w:rPr>
      </w:pPr>
      <w:r w:rsidRPr="00F7290F">
        <w:rPr>
          <w:b/>
          <w:lang w:val="uk-UA"/>
        </w:rPr>
        <w:t>Ризики:</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зростання виробничих витрат (високі ціні на енергоносії та сировину і матеріали);</w:t>
      </w:r>
    </w:p>
    <w:p w:rsidR="00B14E3E" w:rsidRPr="00F7290F" w:rsidRDefault="00B14E3E" w:rsidP="007535A1">
      <w:pPr>
        <w:keepNext/>
        <w:widowControl w:val="0"/>
        <w:numPr>
          <w:ilvl w:val="0"/>
          <w:numId w:val="9"/>
        </w:numPr>
        <w:tabs>
          <w:tab w:val="num" w:pos="900"/>
        </w:tabs>
        <w:spacing w:after="120"/>
        <w:ind w:left="0" w:firstLine="720"/>
        <w:jc w:val="both"/>
        <w:rPr>
          <w:bCs/>
          <w:lang w:val="uk-UA"/>
        </w:rPr>
      </w:pPr>
      <w:r w:rsidRPr="00F7290F">
        <w:rPr>
          <w:bCs/>
          <w:lang w:val="uk-UA"/>
        </w:rPr>
        <w:t>недостатній обсяг обігових коштів.</w:t>
      </w:r>
    </w:p>
    <w:p w:rsidR="00B14E3E" w:rsidRPr="00F7290F" w:rsidRDefault="00B14E3E" w:rsidP="00B14E3E">
      <w:pPr>
        <w:keepNext/>
        <w:widowControl w:val="0"/>
        <w:tabs>
          <w:tab w:val="left" w:pos="9354"/>
        </w:tabs>
        <w:ind w:firstLine="709"/>
        <w:jc w:val="both"/>
        <w:rPr>
          <w:b/>
          <w:lang w:val="uk-UA"/>
        </w:rPr>
      </w:pPr>
      <w:r w:rsidRPr="00F7290F">
        <w:rPr>
          <w:b/>
          <w:lang w:val="uk-UA"/>
        </w:rPr>
        <w:t>Основні завдання на 2013 рік:</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реалізація інвестиційних проектів в рамках Програми будівництва, реконструкції та модернізації об'єктів інфраструктури по Донецькій області на 2012-2015 роки;</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концентрація капітальних видатків на добудову об’єктів незавершеного будівництва;</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створення сприятливих умов для залучення приватних інвестицій в економіку області;</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забезпечення ефективного функціонування механізму державно-приватного партнерства;</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оновлення та розповсюдження єдиної інформаційної бази даних інвестиційних проектів та об’єктів нерухомості, земельних ділянок які можуть використовуватись для реалізації інвестиційних проектів;</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проведення заходів з покращення інвестиційної привабливості, нарощування інвестиційних переваг області;</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систематичне інформування громадськості, підприємств та організацій щодо реалізації інвестиційних проектів;</w:t>
      </w:r>
    </w:p>
    <w:p w:rsidR="00B14E3E" w:rsidRPr="00F7290F" w:rsidRDefault="00B14E3E" w:rsidP="00B14E3E">
      <w:pPr>
        <w:keepNext/>
        <w:widowControl w:val="0"/>
        <w:numPr>
          <w:ilvl w:val="0"/>
          <w:numId w:val="9"/>
        </w:numPr>
        <w:tabs>
          <w:tab w:val="num" w:pos="748"/>
          <w:tab w:val="num" w:pos="900"/>
        </w:tabs>
        <w:ind w:left="0" w:firstLine="720"/>
        <w:jc w:val="both"/>
        <w:rPr>
          <w:bCs/>
          <w:lang w:val="uk-UA"/>
        </w:rPr>
      </w:pPr>
      <w:r w:rsidRPr="00F7290F">
        <w:rPr>
          <w:bCs/>
          <w:lang w:val="uk-UA"/>
        </w:rPr>
        <w:t>координація роботи КП «Агентство інвестиційного розвитку Донецької області»;</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розширення співпраці з міжнародними організаціями;</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сприяння проведенню міжнародного інвестиційного саміту в м. Донецьк;</w:t>
      </w:r>
    </w:p>
    <w:p w:rsidR="00B14E3E" w:rsidRPr="00F7290F" w:rsidRDefault="00B14E3E" w:rsidP="00B14E3E">
      <w:pPr>
        <w:keepNext/>
        <w:widowControl w:val="0"/>
        <w:numPr>
          <w:ilvl w:val="0"/>
          <w:numId w:val="9"/>
        </w:numPr>
        <w:tabs>
          <w:tab w:val="num" w:pos="900"/>
        </w:tabs>
        <w:spacing w:after="120"/>
        <w:ind w:left="0" w:firstLine="720"/>
        <w:jc w:val="both"/>
        <w:rPr>
          <w:bCs/>
          <w:snapToGrid w:val="0"/>
          <w:lang w:val="uk-UA"/>
        </w:rPr>
      </w:pPr>
      <w:r w:rsidRPr="00F7290F">
        <w:rPr>
          <w:bCs/>
          <w:lang w:val="uk-UA"/>
        </w:rPr>
        <w:t>організація та проведення презентацій економічного потенціалу та інвестиційних можливостей Донецької області в Україні та за кордоном</w:t>
      </w:r>
      <w:r w:rsidRPr="00F7290F">
        <w:rPr>
          <w:bCs/>
          <w:snapToGrid w:val="0"/>
          <w:lang w:val="uk-UA"/>
        </w:rPr>
        <w:t>.</w:t>
      </w:r>
    </w:p>
    <w:p w:rsidR="00B14E3E" w:rsidRPr="00F7290F" w:rsidRDefault="00B14E3E" w:rsidP="00B14E3E">
      <w:pPr>
        <w:pStyle w:val="Style13"/>
        <w:keepNext/>
        <w:autoSpaceDE/>
        <w:autoSpaceDN/>
        <w:adjustRightInd/>
        <w:ind w:firstLine="709"/>
        <w:jc w:val="both"/>
        <w:rPr>
          <w:rStyle w:val="FontStyle17"/>
          <w:sz w:val="24"/>
          <w:szCs w:val="24"/>
          <w:lang w:val="uk-UA" w:eastAsia="uk-UA"/>
        </w:rPr>
      </w:pPr>
      <w:r w:rsidRPr="00F7290F">
        <w:rPr>
          <w:rStyle w:val="FontStyle17"/>
          <w:sz w:val="24"/>
          <w:szCs w:val="24"/>
          <w:lang w:val="uk-UA" w:eastAsia="uk-UA"/>
        </w:rPr>
        <w:t>Ресурсне забезпечення</w:t>
      </w:r>
    </w:p>
    <w:p w:rsidR="00B14E3E" w:rsidRPr="00F7290F" w:rsidRDefault="00B14E3E" w:rsidP="00B14E3E">
      <w:pPr>
        <w:keepNext/>
        <w:widowControl w:val="0"/>
        <w:tabs>
          <w:tab w:val="num" w:pos="1080"/>
        </w:tabs>
        <w:ind w:firstLine="720"/>
        <w:jc w:val="both"/>
        <w:rPr>
          <w:lang w:val="uk-UA"/>
        </w:rPr>
      </w:pPr>
      <w:r w:rsidRPr="00F7290F">
        <w:rPr>
          <w:lang w:val="uk-UA"/>
        </w:rPr>
        <w:t>Головним джерелом фінансування капітальних інвестицій залишаться власні кошти суб’єктів господарювання, які, в основному, будуть спрямовані на оновлення  виробничих фондів, модернізацію, технічне переозброєння та реконструкцію діючих підприємств, добудову розпочатих об’єктів.</w:t>
      </w:r>
    </w:p>
    <w:p w:rsidR="00B14E3E" w:rsidRPr="00F7290F" w:rsidRDefault="00B14E3E" w:rsidP="00B14E3E">
      <w:pPr>
        <w:keepNext/>
        <w:widowControl w:val="0"/>
        <w:spacing w:after="120"/>
        <w:ind w:firstLine="709"/>
        <w:jc w:val="both"/>
        <w:rPr>
          <w:b/>
          <w:spacing w:val="-10"/>
          <w:lang w:val="uk-UA"/>
        </w:rPr>
      </w:pPr>
      <w:r w:rsidRPr="00F7290F">
        <w:rPr>
          <w:lang w:val="uk-UA"/>
        </w:rPr>
        <w:t>Обсяг капітальних інвестицій за рахунок усіх джерел фінансування прогнозується на рівні 30,5 млрд.грн.</w:t>
      </w:r>
    </w:p>
    <w:p w:rsidR="00D4562E" w:rsidRPr="00F7290F" w:rsidRDefault="00D4562E" w:rsidP="00D65D2E">
      <w:pPr>
        <w:keepNext/>
        <w:widowControl w:val="0"/>
        <w:ind w:firstLine="709"/>
        <w:jc w:val="center"/>
        <w:rPr>
          <w:b/>
          <w:lang w:val="uk-UA"/>
        </w:rPr>
      </w:pPr>
      <w:r w:rsidRPr="00F7290F">
        <w:rPr>
          <w:b/>
          <w:lang w:val="uk-UA"/>
        </w:rPr>
        <w:lastRenderedPageBreak/>
        <w:t xml:space="preserve">Обсяг капітальних інвестицій </w:t>
      </w:r>
    </w:p>
    <w:p w:rsidR="00D4562E" w:rsidRPr="00F7290F" w:rsidRDefault="00D4562E" w:rsidP="00DF753D">
      <w:pPr>
        <w:keepNext/>
        <w:widowControl w:val="0"/>
        <w:jc w:val="center"/>
        <w:rPr>
          <w:b/>
          <w:lang w:val="uk-UA"/>
        </w:rPr>
      </w:pPr>
      <w:r w:rsidRPr="00F7290F">
        <w:rPr>
          <w:b/>
          <w:lang w:val="uk-UA"/>
        </w:rPr>
        <w:t>за рахунок усіх джерел фінансування у фактичних цінах, млрд.грн.</w:t>
      </w:r>
    </w:p>
    <w:p w:rsidR="00174A56" w:rsidRPr="00F7290F" w:rsidRDefault="00174A56" w:rsidP="00D65D2E">
      <w:pPr>
        <w:keepNext/>
        <w:widowControl w:val="0"/>
        <w:ind w:firstLine="709"/>
        <w:jc w:val="center"/>
        <w:rPr>
          <w:b/>
          <w:color w:val="FF0000"/>
          <w:lang w:val="uk-UA"/>
        </w:rPr>
      </w:pPr>
      <w:r w:rsidRPr="00F7290F">
        <w:rPr>
          <w:b/>
          <w:noProof/>
          <w:color w:val="FF0000"/>
        </w:rPr>
        <w:drawing>
          <wp:inline distT="0" distB="0" distL="0" distR="0">
            <wp:extent cx="5826642" cy="1913861"/>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14E3E" w:rsidRPr="00F7290F" w:rsidRDefault="00B14E3E" w:rsidP="00B14E3E">
      <w:pPr>
        <w:keepNext/>
        <w:widowControl w:val="0"/>
        <w:spacing w:before="120" w:after="120"/>
        <w:ind w:firstLine="709"/>
        <w:jc w:val="both"/>
        <w:rPr>
          <w:spacing w:val="-8"/>
          <w:lang w:val="uk-UA"/>
        </w:rPr>
      </w:pPr>
      <w:r w:rsidRPr="00F7290F">
        <w:rPr>
          <w:lang w:val="uk-UA"/>
        </w:rPr>
        <w:t xml:space="preserve">Загальний обсяг прямих іноземних інвестицій, залучених в економіку області, прогнозується в обсязі </w:t>
      </w:r>
      <w:r w:rsidR="00BF4067">
        <w:rPr>
          <w:lang w:val="uk-UA"/>
        </w:rPr>
        <w:t>3331,6</w:t>
      </w:r>
      <w:r w:rsidRPr="00F7290F">
        <w:rPr>
          <w:lang w:val="uk-UA"/>
        </w:rPr>
        <w:t xml:space="preserve"> млн.дол.США, що складає 11</w:t>
      </w:r>
      <w:r w:rsidR="00BF4067">
        <w:rPr>
          <w:lang w:val="uk-UA"/>
        </w:rPr>
        <w:t>1,7</w:t>
      </w:r>
      <w:r w:rsidRPr="00F7290F">
        <w:rPr>
          <w:lang w:val="uk-UA"/>
        </w:rPr>
        <w:t xml:space="preserve">% до рівня 2012 року, приріст </w:t>
      </w:r>
      <w:r w:rsidRPr="00F7290F">
        <w:rPr>
          <w:spacing w:val="-8"/>
          <w:lang w:val="uk-UA"/>
        </w:rPr>
        <w:t xml:space="preserve">прямих іноземних інвестицій  - в обсязі  350 млн.дол.США, що на </w:t>
      </w:r>
      <w:r w:rsidR="00BF4067">
        <w:rPr>
          <w:spacing w:val="-8"/>
          <w:lang w:val="uk-UA"/>
        </w:rPr>
        <w:t>4,6</w:t>
      </w:r>
      <w:r w:rsidRPr="00F7290F">
        <w:rPr>
          <w:spacing w:val="-8"/>
          <w:lang w:val="uk-UA"/>
        </w:rPr>
        <w:t>% більше показника 2012 року.</w:t>
      </w:r>
    </w:p>
    <w:p w:rsidR="00D4562E" w:rsidRPr="00F7290F" w:rsidRDefault="00D4562E" w:rsidP="00D65D2E">
      <w:pPr>
        <w:keepNext/>
        <w:widowControl w:val="0"/>
        <w:jc w:val="center"/>
        <w:rPr>
          <w:b/>
          <w:lang w:val="uk-UA"/>
        </w:rPr>
      </w:pPr>
      <w:r w:rsidRPr="00F7290F">
        <w:rPr>
          <w:b/>
          <w:lang w:val="uk-UA"/>
        </w:rPr>
        <w:t xml:space="preserve">Обсяг прямих іноземних інвестицій, </w:t>
      </w:r>
    </w:p>
    <w:p w:rsidR="00D4562E" w:rsidRPr="00F7290F" w:rsidRDefault="00D4562E" w:rsidP="00D65D2E">
      <w:pPr>
        <w:keepNext/>
        <w:widowControl w:val="0"/>
        <w:spacing w:after="120"/>
        <w:jc w:val="center"/>
        <w:rPr>
          <w:b/>
          <w:lang w:val="uk-UA"/>
        </w:rPr>
      </w:pPr>
      <w:r w:rsidRPr="00F7290F">
        <w:rPr>
          <w:b/>
          <w:lang w:val="uk-UA"/>
        </w:rPr>
        <w:t>залучених в економіку регіону, млн.дол.США</w:t>
      </w:r>
    </w:p>
    <w:p w:rsidR="00D4562E" w:rsidRPr="00F7290F" w:rsidRDefault="00D4562E" w:rsidP="00D65D2E">
      <w:pPr>
        <w:keepNext/>
        <w:widowControl w:val="0"/>
        <w:spacing w:after="60"/>
        <w:ind w:left="-1260" w:hanging="126"/>
        <w:jc w:val="right"/>
        <w:rPr>
          <w:color w:val="FF0000"/>
          <w:spacing w:val="-10"/>
          <w:lang w:val="uk-UA"/>
        </w:rPr>
      </w:pPr>
      <w:r w:rsidRPr="00F7290F">
        <w:rPr>
          <w:noProof/>
          <w:color w:val="FF0000"/>
        </w:rPr>
        <w:drawing>
          <wp:inline distT="0" distB="0" distL="0" distR="0">
            <wp:extent cx="7155712" cy="2062716"/>
            <wp:effectExtent l="0" t="0" r="0" b="0"/>
            <wp:docPr id="5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C55A7" w:rsidRPr="00F7290F" w:rsidRDefault="000C55A7" w:rsidP="00D65D2E">
      <w:pPr>
        <w:keepNext/>
        <w:widowControl w:val="0"/>
        <w:spacing w:before="120" w:after="120"/>
        <w:ind w:firstLine="709"/>
        <w:jc w:val="both"/>
        <w:rPr>
          <w:b/>
          <w:spacing w:val="-8"/>
          <w:lang w:val="uk-UA"/>
        </w:rPr>
      </w:pPr>
      <w:r w:rsidRPr="00F7290F">
        <w:rPr>
          <w:b/>
          <w:spacing w:val="-8"/>
          <w:lang w:val="uk-UA"/>
        </w:rPr>
        <w:t>Ресурсне забезпечення</w:t>
      </w:r>
    </w:p>
    <w:p w:rsidR="00B14E3E" w:rsidRPr="00F7290F" w:rsidRDefault="00B14E3E" w:rsidP="00B14E3E">
      <w:pPr>
        <w:keepNext/>
        <w:widowControl w:val="0"/>
        <w:spacing w:before="120" w:after="120"/>
        <w:ind w:firstLine="709"/>
        <w:jc w:val="both"/>
        <w:rPr>
          <w:spacing w:val="-8"/>
          <w:lang w:val="uk-UA"/>
        </w:rPr>
      </w:pPr>
      <w:r w:rsidRPr="00F7290F">
        <w:rPr>
          <w:spacing w:val="-8"/>
          <w:lang w:val="uk-UA"/>
        </w:rPr>
        <w:t>Головним джерелом фінансування прямих іноземних інвестицій залишаться кошти іноземних інвесторів, які в основному будуть спрямовані на збільшення їх частки капіталу в статутному капіталі підприємств області.</w:t>
      </w:r>
    </w:p>
    <w:p w:rsidR="00B14E3E" w:rsidRPr="00F7290F" w:rsidRDefault="00B14E3E" w:rsidP="00B14E3E">
      <w:pPr>
        <w:keepNext/>
        <w:widowControl w:val="0"/>
        <w:tabs>
          <w:tab w:val="left" w:pos="652"/>
          <w:tab w:val="left" w:pos="8188"/>
        </w:tabs>
        <w:spacing w:before="120" w:after="120"/>
        <w:jc w:val="center"/>
        <w:rPr>
          <w:rStyle w:val="af4"/>
          <w:b/>
          <w:color w:val="auto"/>
          <w:u w:val="none"/>
          <w:lang w:val="uk-UA"/>
        </w:rPr>
      </w:pPr>
      <w:r w:rsidRPr="00F7290F">
        <w:rPr>
          <w:b/>
          <w:lang w:val="uk-UA"/>
        </w:rPr>
        <w:t xml:space="preserve">4.6. </w:t>
      </w:r>
      <w:hyperlink r:id="rId117" w:anchor="_Toc130175746" w:history="1">
        <w:r w:rsidRPr="00F7290F">
          <w:rPr>
            <w:rStyle w:val="af4"/>
            <w:b/>
            <w:color w:val="auto"/>
            <w:u w:val="none"/>
            <w:lang w:val="uk-UA"/>
          </w:rPr>
          <w:t>Науково-технічна та інновацій</w:t>
        </w:r>
      </w:hyperlink>
      <w:r w:rsidRPr="00F7290F">
        <w:rPr>
          <w:rStyle w:val="af4"/>
          <w:b/>
          <w:color w:val="auto"/>
          <w:u w:val="none"/>
          <w:lang w:val="uk-UA"/>
        </w:rPr>
        <w:t>на діяльність</w:t>
      </w:r>
    </w:p>
    <w:p w:rsidR="008F6B81" w:rsidRPr="00F7290F" w:rsidRDefault="008F6B81" w:rsidP="008F6B81">
      <w:pPr>
        <w:pStyle w:val="23"/>
        <w:keepNext/>
        <w:widowControl w:val="0"/>
        <w:ind w:firstLine="709"/>
      </w:pPr>
      <w:r w:rsidRPr="00F7290F">
        <w:rPr>
          <w:bCs/>
        </w:rPr>
        <w:t xml:space="preserve">Головним пріоритетом розвитку регіону є перехід на інноваційну модель розвитку економіки, що забезпечить </w:t>
      </w:r>
      <w:r w:rsidRPr="00F7290F">
        <w:t>модернізацію виробничих фондів, впровадження високотехнологічного виробництва та підвищення конкурентоспроможності вітчизняної продукції на внутрішньому і зовнішніх ринках.</w:t>
      </w:r>
    </w:p>
    <w:p w:rsidR="008F6B81" w:rsidRPr="00F7290F" w:rsidRDefault="008F6B81" w:rsidP="008F6B81">
      <w:pPr>
        <w:pStyle w:val="23"/>
        <w:keepNext/>
        <w:widowControl w:val="0"/>
        <w:ind w:firstLine="709"/>
        <w:rPr>
          <w:bCs/>
        </w:rPr>
      </w:pPr>
      <w:r w:rsidRPr="00F7290F">
        <w:rPr>
          <w:rStyle w:val="hps"/>
        </w:rPr>
        <w:t>Питома вага підприємств, що займалися інноваціями, у загальній кількості промислових підприємств, в 2011 році склала лише 10,6 % (порогове значення економічної безпеки не менше 50%),  частка реалізованої інноваційної продукції в загальному обсязі реалізованої промислової продукції області – 2,1% (порогове значення не менше 5%).</w:t>
      </w:r>
      <w:r w:rsidRPr="00F7290F">
        <w:rPr>
          <w:bCs/>
        </w:rPr>
        <w:t xml:space="preserve"> </w:t>
      </w:r>
    </w:p>
    <w:p w:rsidR="008F6B81" w:rsidRPr="00F7290F" w:rsidRDefault="008F6B81" w:rsidP="008F6B81">
      <w:pPr>
        <w:keepNext/>
        <w:widowControl w:val="0"/>
        <w:spacing w:before="120"/>
        <w:ind w:firstLine="709"/>
        <w:jc w:val="both"/>
        <w:rPr>
          <w:rStyle w:val="hps"/>
          <w:lang w:val="uk-UA"/>
        </w:rPr>
      </w:pPr>
      <w:r w:rsidRPr="00F7290F">
        <w:rPr>
          <w:b/>
          <w:lang w:val="uk-UA"/>
        </w:rPr>
        <w:t>Актуальні проблеми</w:t>
      </w:r>
      <w:r w:rsidRPr="00F7290F">
        <w:rPr>
          <w:rStyle w:val="hps"/>
          <w:b/>
          <w:lang w:val="uk-UA"/>
        </w:rPr>
        <w:t>:</w:t>
      </w:r>
      <w:r w:rsidRPr="00F7290F">
        <w:rPr>
          <w:rStyle w:val="hps"/>
          <w:lang w:val="uk-UA"/>
        </w:rPr>
        <w:t xml:space="preserve"> </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недостатнє бюджетне фінансування наукової та інноваційної діяльності;</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низька сприйнятливість бізнесу до інновацій технологічного характеру;</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відсутність механізмів стимулювання розвитку малих підприємств, які впроваджують інновації;</w:t>
      </w:r>
    </w:p>
    <w:p w:rsidR="008F6B81" w:rsidRPr="00F7290F" w:rsidRDefault="008F6B81" w:rsidP="008F6B81">
      <w:pPr>
        <w:keepNext/>
        <w:widowControl w:val="0"/>
        <w:numPr>
          <w:ilvl w:val="0"/>
          <w:numId w:val="9"/>
        </w:numPr>
        <w:tabs>
          <w:tab w:val="num" w:pos="900"/>
        </w:tabs>
        <w:spacing w:after="120"/>
        <w:ind w:left="0" w:firstLine="720"/>
        <w:jc w:val="both"/>
        <w:rPr>
          <w:rStyle w:val="hps"/>
          <w:lang w:val="uk-UA"/>
        </w:rPr>
      </w:pPr>
      <w:r w:rsidRPr="00F7290F">
        <w:rPr>
          <w:bCs/>
          <w:lang w:val="uk-UA"/>
        </w:rPr>
        <w:lastRenderedPageBreak/>
        <w:t>недостатній рівень зв’язку науки</w:t>
      </w:r>
      <w:r w:rsidRPr="00F7290F">
        <w:rPr>
          <w:rStyle w:val="hps"/>
          <w:lang w:val="uk-UA"/>
        </w:rPr>
        <w:t xml:space="preserve"> з виробництвом.</w:t>
      </w:r>
    </w:p>
    <w:p w:rsidR="008F6B81" w:rsidRPr="00F7290F" w:rsidRDefault="008F6B81" w:rsidP="008F6B81">
      <w:pPr>
        <w:pStyle w:val="23"/>
        <w:keepNext/>
        <w:widowControl w:val="0"/>
        <w:spacing w:before="120" w:after="0"/>
        <w:ind w:firstLine="709"/>
        <w:rPr>
          <w:bCs/>
        </w:rPr>
      </w:pPr>
      <w:r w:rsidRPr="00F7290F">
        <w:rPr>
          <w:b/>
        </w:rPr>
        <w:t>Головна  мета</w:t>
      </w:r>
      <w:r w:rsidRPr="00F7290F">
        <w:t xml:space="preserve"> – а</w:t>
      </w:r>
      <w:r w:rsidRPr="00F7290F">
        <w:rPr>
          <w:bCs/>
        </w:rPr>
        <w:t>ктивізація інноваційних процесів в економіці області, повноцінне використання науково-технічного та виробничо-ресурсного потенціалу.</w:t>
      </w:r>
    </w:p>
    <w:p w:rsidR="008F6B81" w:rsidRPr="00F7290F" w:rsidRDefault="008F6B81" w:rsidP="008F6B81">
      <w:pPr>
        <w:pStyle w:val="23"/>
        <w:keepNext/>
        <w:widowControl w:val="0"/>
        <w:spacing w:before="120" w:after="0"/>
        <w:ind w:firstLine="709"/>
        <w:rPr>
          <w:b/>
        </w:rPr>
      </w:pPr>
      <w:r w:rsidRPr="00F7290F">
        <w:rPr>
          <w:b/>
          <w:bCs/>
        </w:rPr>
        <w:t>Основні завдання</w:t>
      </w:r>
      <w:r w:rsidRPr="00F7290F">
        <w:rPr>
          <w:b/>
        </w:rPr>
        <w:t xml:space="preserve">: </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розробка та затвердження Середньострокових пріоритетних напрямів інноваційної діяльності в Донецькій області до 2018 року;</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сприяння впровадженню науково-технічних розробок у базових галузях промисловості та соціальній сфері;</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реалізація проекту з мотивації та підтримки молодих учених області;</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сприяння подальшому формуванню та розвитку сучасної інноваційної інфраструктури (наукових і технологічних парків, центрів трансферу технологій тощо);</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сприяння розширенню сфер інноваційної освіти, співпраці між вищими навчальними закладами та науковими установами з метою спільної цільової підготовки кадрів, виконання важливих наукових програм, в тому числі міжнародних;</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підвищення рівня взаємодії органів виконавчої влади всіх рівнів щодо ефективного вирішення питань інноваційного розвитку;</w:t>
      </w:r>
    </w:p>
    <w:p w:rsidR="008F6B81" w:rsidRPr="00F7290F" w:rsidRDefault="008F6B81" w:rsidP="008F6B81">
      <w:pPr>
        <w:keepNext/>
        <w:widowControl w:val="0"/>
        <w:numPr>
          <w:ilvl w:val="0"/>
          <w:numId w:val="9"/>
        </w:numPr>
        <w:tabs>
          <w:tab w:val="num" w:pos="900"/>
        </w:tabs>
        <w:spacing w:after="120"/>
        <w:ind w:left="0" w:firstLine="720"/>
        <w:jc w:val="both"/>
        <w:rPr>
          <w:lang w:val="uk-UA"/>
        </w:rPr>
      </w:pPr>
      <w:r w:rsidRPr="00F7290F">
        <w:rPr>
          <w:bCs/>
          <w:lang w:val="uk-UA"/>
        </w:rPr>
        <w:t>сприяння активізації міжнародного та міжрегіонального співробітництва у сфері науково-технічної діяльності в рамках існуючих Уг</w:t>
      </w:r>
      <w:r w:rsidRPr="00F7290F">
        <w:rPr>
          <w:lang w:val="uk-UA"/>
        </w:rPr>
        <w:t>од.</w:t>
      </w:r>
    </w:p>
    <w:p w:rsidR="008F6B81" w:rsidRPr="00F7290F" w:rsidRDefault="008F6B81" w:rsidP="008F6B81">
      <w:pPr>
        <w:keepNext/>
        <w:widowControl w:val="0"/>
        <w:tabs>
          <w:tab w:val="left" w:pos="399"/>
          <w:tab w:val="left" w:pos="851"/>
          <w:tab w:val="left" w:pos="9639"/>
        </w:tabs>
        <w:spacing w:before="120"/>
        <w:ind w:firstLine="709"/>
        <w:jc w:val="both"/>
        <w:rPr>
          <w:lang w:val="uk-UA"/>
        </w:rPr>
      </w:pPr>
      <w:r w:rsidRPr="00F7290F">
        <w:rPr>
          <w:b/>
          <w:bCs/>
          <w:noProof/>
          <w:lang w:val="uk-UA"/>
        </w:rPr>
        <w:t>Критерії досягнення:</w:t>
      </w:r>
      <w:r w:rsidRPr="00F7290F">
        <w:rPr>
          <w:lang w:val="uk-UA"/>
        </w:rPr>
        <w:t xml:space="preserve"> </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впровадження 36 науково-технічних та інноваційних розробок в промисловості, сільському господарстві, сферах освіти та здоров’я;</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 xml:space="preserve">розробка установами НАН України, галузевими науково-дослідними інститутами </w:t>
      </w:r>
      <w:r w:rsidR="007535A1">
        <w:rPr>
          <w:bCs/>
          <w:lang w:val="uk-UA"/>
        </w:rPr>
        <w:t xml:space="preserve">                   </w:t>
      </w:r>
      <w:r w:rsidRPr="00F7290F">
        <w:rPr>
          <w:bCs/>
          <w:lang w:val="uk-UA"/>
        </w:rPr>
        <w:t>39 нових  проектів;</w:t>
      </w:r>
    </w:p>
    <w:p w:rsidR="008F6B81" w:rsidRPr="00F7290F" w:rsidRDefault="008F6B81" w:rsidP="008F6B81">
      <w:pPr>
        <w:keepNext/>
        <w:widowControl w:val="0"/>
        <w:numPr>
          <w:ilvl w:val="0"/>
          <w:numId w:val="9"/>
        </w:numPr>
        <w:tabs>
          <w:tab w:val="num" w:pos="900"/>
        </w:tabs>
        <w:spacing w:after="120"/>
        <w:ind w:left="0" w:firstLine="720"/>
        <w:jc w:val="both"/>
        <w:rPr>
          <w:bCs/>
          <w:lang w:val="uk-UA"/>
        </w:rPr>
      </w:pPr>
      <w:r w:rsidRPr="00F7290F">
        <w:rPr>
          <w:bCs/>
          <w:lang w:val="uk-UA"/>
        </w:rPr>
        <w:t>збільшення частки інноваційно-активних підприємств у загальній кількості промислових підприємств регіону до 11,5%.</w:t>
      </w:r>
    </w:p>
    <w:p w:rsidR="008F6B81" w:rsidRPr="00F7290F" w:rsidRDefault="008F6B81" w:rsidP="008F6B81">
      <w:pPr>
        <w:pStyle w:val="Style13"/>
        <w:keepNext/>
        <w:autoSpaceDE/>
        <w:autoSpaceDN/>
        <w:adjustRightInd/>
        <w:ind w:firstLine="709"/>
        <w:jc w:val="both"/>
        <w:rPr>
          <w:rStyle w:val="FontStyle17"/>
          <w:sz w:val="24"/>
          <w:szCs w:val="24"/>
          <w:lang w:val="uk-UA" w:eastAsia="uk-UA"/>
        </w:rPr>
      </w:pPr>
      <w:r w:rsidRPr="00F7290F">
        <w:rPr>
          <w:rStyle w:val="FontStyle17"/>
          <w:sz w:val="24"/>
          <w:szCs w:val="24"/>
          <w:lang w:val="uk-UA" w:eastAsia="uk-UA"/>
        </w:rPr>
        <w:t>Ресурсне забезпечення</w:t>
      </w:r>
    </w:p>
    <w:p w:rsidR="008F6B81" w:rsidRPr="007535A1" w:rsidRDefault="008F6B81" w:rsidP="008F6B81">
      <w:pPr>
        <w:keepNext/>
        <w:widowControl w:val="0"/>
        <w:spacing w:after="120"/>
        <w:ind w:firstLine="709"/>
        <w:jc w:val="both"/>
        <w:rPr>
          <w:spacing w:val="-6"/>
          <w:lang w:val="uk-UA"/>
        </w:rPr>
      </w:pPr>
      <w:r w:rsidRPr="007535A1">
        <w:rPr>
          <w:snapToGrid w:val="0"/>
          <w:spacing w:val="-6"/>
          <w:lang w:val="uk-UA"/>
        </w:rPr>
        <w:t xml:space="preserve">На фінансування заходів </w:t>
      </w:r>
      <w:r w:rsidRPr="007535A1">
        <w:rPr>
          <w:spacing w:val="-6"/>
          <w:lang w:val="uk-UA"/>
        </w:rPr>
        <w:t>щодо розвитку науково-технічної та інноваційної діяльності передбачається спрямувати 304,</w:t>
      </w:r>
      <w:r w:rsidR="00AD66AF" w:rsidRPr="007535A1">
        <w:rPr>
          <w:spacing w:val="-6"/>
          <w:lang w:val="uk-UA"/>
        </w:rPr>
        <w:t>0</w:t>
      </w:r>
      <w:r w:rsidRPr="007535A1">
        <w:rPr>
          <w:spacing w:val="-6"/>
          <w:lang w:val="uk-UA"/>
        </w:rPr>
        <w:t xml:space="preserve"> млн.грн.</w:t>
      </w:r>
      <w:r w:rsidRPr="007535A1">
        <w:rPr>
          <w:b/>
          <w:spacing w:val="-6"/>
          <w:lang w:val="uk-UA"/>
        </w:rPr>
        <w:t xml:space="preserve">, </w:t>
      </w:r>
      <w:r w:rsidRPr="007535A1">
        <w:rPr>
          <w:spacing w:val="-6"/>
          <w:lang w:val="uk-UA"/>
        </w:rPr>
        <w:t xml:space="preserve">в тому числі за рахунок коштів держбюджету – </w:t>
      </w:r>
      <w:r w:rsidR="007535A1">
        <w:rPr>
          <w:spacing w:val="-6"/>
          <w:lang w:val="uk-UA"/>
        </w:rPr>
        <w:t xml:space="preserve">                       </w:t>
      </w:r>
      <w:r w:rsidRPr="007535A1">
        <w:rPr>
          <w:spacing w:val="-6"/>
          <w:lang w:val="uk-UA"/>
        </w:rPr>
        <w:t>43,0  млн.грн.,  місцевих бюджетів –  0,</w:t>
      </w:r>
      <w:r w:rsidR="00AD66AF" w:rsidRPr="007535A1">
        <w:rPr>
          <w:spacing w:val="-6"/>
          <w:lang w:val="uk-UA"/>
        </w:rPr>
        <w:t>2</w:t>
      </w:r>
      <w:r w:rsidRPr="007535A1">
        <w:rPr>
          <w:spacing w:val="-6"/>
          <w:lang w:val="uk-UA"/>
        </w:rPr>
        <w:t xml:space="preserve"> млн.грн., підприємств –  223,2 млн.грн., інших джерел – </w:t>
      </w:r>
      <w:r w:rsidR="007535A1">
        <w:rPr>
          <w:spacing w:val="-6"/>
          <w:lang w:val="uk-UA"/>
        </w:rPr>
        <w:t xml:space="preserve">              </w:t>
      </w:r>
      <w:r w:rsidRPr="007535A1">
        <w:rPr>
          <w:spacing w:val="-6"/>
          <w:lang w:val="uk-UA"/>
        </w:rPr>
        <w:t>37,6 млн.грн.</w:t>
      </w:r>
    </w:p>
    <w:p w:rsidR="008F6B81" w:rsidRPr="00F7290F" w:rsidRDefault="008F6B81" w:rsidP="008F6B81">
      <w:pPr>
        <w:keepNext/>
        <w:widowControl w:val="0"/>
        <w:spacing w:after="120"/>
        <w:ind w:firstLine="709"/>
        <w:jc w:val="both"/>
        <w:rPr>
          <w:snapToGrid w:val="0"/>
          <w:lang w:val="uk-UA"/>
        </w:rPr>
      </w:pPr>
      <w:r w:rsidRPr="00F7290F">
        <w:rPr>
          <w:snapToGrid w:val="0"/>
          <w:lang w:val="uk-UA"/>
        </w:rPr>
        <w:t xml:space="preserve">Реалізація заходів Програми науково-технічного розвитку Донецької області на період до 2020 року. </w:t>
      </w:r>
    </w:p>
    <w:p w:rsidR="008F6B81" w:rsidRPr="00F7290F" w:rsidRDefault="008F6B81" w:rsidP="00C64762">
      <w:pPr>
        <w:keepNext/>
        <w:widowControl w:val="0"/>
        <w:spacing w:after="120"/>
        <w:jc w:val="center"/>
        <w:rPr>
          <w:rStyle w:val="af4"/>
          <w:b/>
          <w:color w:val="auto"/>
          <w:u w:val="none"/>
          <w:lang w:val="uk-UA"/>
        </w:rPr>
      </w:pPr>
      <w:r w:rsidRPr="00F7290F">
        <w:rPr>
          <w:b/>
          <w:lang w:val="uk-UA"/>
        </w:rPr>
        <w:t xml:space="preserve">4.7. </w:t>
      </w:r>
      <w:r w:rsidRPr="00F7290F">
        <w:rPr>
          <w:rStyle w:val="af4"/>
          <w:b/>
          <w:color w:val="auto"/>
          <w:u w:val="none"/>
          <w:lang w:val="uk-UA"/>
        </w:rPr>
        <w:t>Виставково-конгресна діяльність</w:t>
      </w:r>
    </w:p>
    <w:p w:rsidR="008F6B81" w:rsidRPr="00F7290F" w:rsidRDefault="008F6B81" w:rsidP="008F6B81">
      <w:pPr>
        <w:pStyle w:val="23"/>
        <w:keepNext/>
        <w:widowControl w:val="0"/>
        <w:tabs>
          <w:tab w:val="left" w:pos="709"/>
        </w:tabs>
        <w:ind w:firstLine="709"/>
      </w:pPr>
      <w:r w:rsidRPr="00F7290F">
        <w:t xml:space="preserve">Виставково-конгресна діяльність області є невід’ємною складовою частиною розвитку ринкових процесів, яка сприяє науково-технічному оновленню вітчизняного виробництва.  </w:t>
      </w:r>
    </w:p>
    <w:p w:rsidR="008F6B81" w:rsidRPr="00F7290F" w:rsidRDefault="008F6B81" w:rsidP="008F6B81">
      <w:pPr>
        <w:pStyle w:val="23"/>
        <w:keepNext/>
        <w:widowControl w:val="0"/>
        <w:tabs>
          <w:tab w:val="left" w:pos="709"/>
        </w:tabs>
        <w:spacing w:after="0"/>
        <w:ind w:firstLine="709"/>
        <w:rPr>
          <w:b/>
        </w:rPr>
      </w:pPr>
      <w:r w:rsidRPr="00F7290F">
        <w:rPr>
          <w:b/>
        </w:rPr>
        <w:t>Основні проблеми:</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 xml:space="preserve">дефіцит сучасних виставкових площ, кваліфікованого персоналу; </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недостатнє використання організаторами виставково-конгресної сфери сучасних форм та форматів проведення заходів (наприклад, хвилинний «пітчинг», event marketing), Інтерент-технологій</w:t>
      </w:r>
      <w:r w:rsidRPr="00F7290F">
        <w:rPr>
          <w:shd w:val="clear" w:color="auto" w:fill="FFFFFF"/>
          <w:lang w:val="uk-UA"/>
        </w:rPr>
        <w:t xml:space="preserve"> </w:t>
      </w:r>
      <w:r w:rsidRPr="00F7290F">
        <w:rPr>
          <w:bCs/>
          <w:lang w:val="uk-UA"/>
        </w:rPr>
        <w:t>та супутніх послуг (зокрема, різноманітних майстер-класів).</w:t>
      </w:r>
    </w:p>
    <w:p w:rsidR="008F6B81" w:rsidRPr="00F7290F" w:rsidRDefault="008F6B81" w:rsidP="008F6B81">
      <w:pPr>
        <w:pStyle w:val="23"/>
        <w:keepNext/>
        <w:widowControl w:val="0"/>
        <w:tabs>
          <w:tab w:val="left" w:pos="709"/>
        </w:tabs>
        <w:spacing w:before="120" w:after="0"/>
        <w:ind w:firstLine="709"/>
        <w:rPr>
          <w:bCs/>
        </w:rPr>
      </w:pPr>
      <w:r w:rsidRPr="00F7290F">
        <w:t xml:space="preserve"> </w:t>
      </w:r>
      <w:r w:rsidRPr="00F7290F">
        <w:rPr>
          <w:b/>
        </w:rPr>
        <w:t xml:space="preserve">Головна мета </w:t>
      </w:r>
      <w:r w:rsidRPr="00F7290F">
        <w:t>–</w:t>
      </w:r>
      <w:r w:rsidRPr="00F7290F">
        <w:rPr>
          <w:b/>
        </w:rPr>
        <w:t xml:space="preserve"> </w:t>
      </w:r>
      <w:r w:rsidRPr="00F7290F">
        <w:t xml:space="preserve">сприяння розвитку економіки області шляхом </w:t>
      </w:r>
      <w:r w:rsidRPr="00F7290F">
        <w:rPr>
          <w:bCs/>
        </w:rPr>
        <w:t>презентації пріоритетних напрямків розвитку регіону, його інвестиційної привабливості та науково-технічного потенціалу на регіональних і міжнародних виставках та ярмарках.</w:t>
      </w:r>
    </w:p>
    <w:p w:rsidR="008F6B81" w:rsidRPr="00F7290F" w:rsidRDefault="008F6B81" w:rsidP="008F6B81">
      <w:pPr>
        <w:pStyle w:val="23"/>
        <w:keepNext/>
        <w:widowControl w:val="0"/>
        <w:spacing w:before="120" w:after="0"/>
        <w:ind w:firstLine="709"/>
        <w:rPr>
          <w:b/>
        </w:rPr>
      </w:pPr>
      <w:r w:rsidRPr="00F7290F">
        <w:rPr>
          <w:b/>
          <w:bCs/>
        </w:rPr>
        <w:t>Основні завдання</w:t>
      </w:r>
      <w:r w:rsidRPr="00F7290F">
        <w:rPr>
          <w:b/>
        </w:rPr>
        <w:t xml:space="preserve">: </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 xml:space="preserve">координація виставково-конгресної діяльності органів виконавчої влади та органів </w:t>
      </w:r>
      <w:r w:rsidRPr="00F7290F">
        <w:rPr>
          <w:bCs/>
          <w:lang w:val="uk-UA"/>
        </w:rPr>
        <w:lastRenderedPageBreak/>
        <w:t>місцевого самоврядування, торгово-промислової палати, операторів виставкової діяльності;</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сприяння організації регіональних експозицій у складі національних заходів на міжнародних виставках і ярмарках;</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підвищення ефективності виставкових заходів за рахунок забезпечення якісного представлення потенціалу регіону;</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підвищення статусу виставково-конгресних заходів, які проводяться в області, в першу чергу, за рахунок насичення їх ділових програм;</w:t>
      </w:r>
    </w:p>
    <w:p w:rsidR="008F6B81" w:rsidRPr="00F7290F" w:rsidRDefault="008F6B81" w:rsidP="008F6B81">
      <w:pPr>
        <w:keepNext/>
        <w:widowControl w:val="0"/>
        <w:numPr>
          <w:ilvl w:val="0"/>
          <w:numId w:val="9"/>
        </w:numPr>
        <w:tabs>
          <w:tab w:val="num" w:pos="900"/>
        </w:tabs>
        <w:spacing w:after="120"/>
        <w:ind w:left="0" w:firstLine="720"/>
        <w:jc w:val="both"/>
        <w:rPr>
          <w:bCs/>
          <w:lang w:val="uk-UA"/>
        </w:rPr>
      </w:pPr>
      <w:r w:rsidRPr="00F7290F">
        <w:rPr>
          <w:bCs/>
          <w:lang w:val="uk-UA"/>
        </w:rPr>
        <w:t>створення сприятливих умов для активного залучення вітчизняних та іноземних компаній у регіональних виставково-конгресних заходах.</w:t>
      </w:r>
    </w:p>
    <w:p w:rsidR="008F6B81" w:rsidRPr="00F7290F" w:rsidRDefault="008F6B81" w:rsidP="008F6B81">
      <w:pPr>
        <w:keepNext/>
        <w:widowControl w:val="0"/>
        <w:spacing w:after="120"/>
        <w:ind w:firstLine="709"/>
        <w:jc w:val="both"/>
        <w:rPr>
          <w:bCs/>
          <w:noProof/>
          <w:lang w:val="uk-UA"/>
        </w:rPr>
      </w:pPr>
      <w:r w:rsidRPr="00F7290F">
        <w:rPr>
          <w:bCs/>
          <w:noProof/>
          <w:lang w:val="uk-UA"/>
        </w:rPr>
        <w:t xml:space="preserve">Календарним планом виставкових заходів на 2013 рік передбачено участь Донецької області у 44 виставкових заходах. </w:t>
      </w:r>
    </w:p>
    <w:p w:rsidR="008F6B81" w:rsidRPr="00F7290F" w:rsidRDefault="008F6B81" w:rsidP="008F6B81">
      <w:pPr>
        <w:keepNext/>
        <w:widowControl w:val="0"/>
        <w:spacing w:after="120"/>
        <w:ind w:firstLine="709"/>
        <w:jc w:val="both"/>
        <w:rPr>
          <w:bCs/>
          <w:noProof/>
          <w:lang w:val="uk-UA"/>
        </w:rPr>
      </w:pPr>
      <w:r w:rsidRPr="00F7290F">
        <w:rPr>
          <w:bCs/>
          <w:noProof/>
          <w:lang w:val="uk-UA"/>
        </w:rPr>
        <w:t>Найбільш важливими виставковими заходами будуть: організація і проведення                       в м. Донецьк VІ Міжнародного інвестиційного саміту, форумів «Індустрія інформаційних технологій 2013», «</w:t>
      </w:r>
      <w:r w:rsidRPr="00F7290F">
        <w:rPr>
          <w:lang w:val="uk-UA"/>
        </w:rPr>
        <w:t>Інструменти територіального маркетингу: подієвий туризм», «Брендинг міст–елемент нової економіки»</w:t>
      </w:r>
      <w:r w:rsidRPr="00F7290F">
        <w:rPr>
          <w:bCs/>
          <w:noProof/>
          <w:lang w:val="uk-UA"/>
        </w:rPr>
        <w:t xml:space="preserve"> та участь у Міжрегіональному універсальному оптово-роздрібному ярмарку «Курський Коренський ярмарок», загальнодержавній виставковій акції «Барвиста Україна».</w:t>
      </w:r>
    </w:p>
    <w:p w:rsidR="008F6B81" w:rsidRPr="00F7290F" w:rsidRDefault="008F6B81" w:rsidP="008F6B81">
      <w:pPr>
        <w:keepNext/>
        <w:widowControl w:val="0"/>
        <w:ind w:firstLine="709"/>
        <w:jc w:val="both"/>
        <w:rPr>
          <w:b/>
          <w:snapToGrid w:val="0"/>
          <w:lang w:val="uk-UA"/>
        </w:rPr>
      </w:pPr>
      <w:r w:rsidRPr="00F7290F">
        <w:rPr>
          <w:b/>
          <w:snapToGrid w:val="0"/>
          <w:lang w:val="uk-UA"/>
        </w:rPr>
        <w:t>Ресурсне забезпечення</w:t>
      </w:r>
    </w:p>
    <w:p w:rsidR="008F6B81" w:rsidRPr="00F7290F" w:rsidRDefault="008F6B81" w:rsidP="008F6B81">
      <w:pPr>
        <w:pStyle w:val="23"/>
        <w:keepNext/>
        <w:widowControl w:val="0"/>
        <w:tabs>
          <w:tab w:val="left" w:pos="709"/>
        </w:tabs>
        <w:ind w:firstLine="709"/>
        <w:rPr>
          <w:b/>
        </w:rPr>
      </w:pPr>
      <w:r w:rsidRPr="00F7290F">
        <w:t>Фінансування заходів щодо розвитку виставково-конгресної діяльності  здійснюва</w:t>
      </w:r>
      <w:r w:rsidRPr="00F7290F">
        <w:softHyphen/>
        <w:t>тиметься за рахунок коштів обласного бюджету (</w:t>
      </w:r>
      <w:r w:rsidR="00DB57FF" w:rsidRPr="00F7290F">
        <w:t>5,0</w:t>
      </w:r>
      <w:r w:rsidRPr="00F7290F">
        <w:t xml:space="preserve"> млн.грн.) та власних коштів організаторів і учасників виставкових заходів.</w:t>
      </w:r>
    </w:p>
    <w:p w:rsidR="000557EC" w:rsidRPr="00F7290F" w:rsidRDefault="000557EC" w:rsidP="00D65D2E">
      <w:pPr>
        <w:pStyle w:val="ab"/>
        <w:keepNext/>
        <w:widowControl w:val="0"/>
        <w:numPr>
          <w:ilvl w:val="1"/>
          <w:numId w:val="10"/>
        </w:numPr>
        <w:tabs>
          <w:tab w:val="left" w:pos="652"/>
          <w:tab w:val="left" w:pos="8188"/>
        </w:tabs>
        <w:spacing w:after="120"/>
        <w:jc w:val="center"/>
        <w:rPr>
          <w:b/>
          <w:lang w:val="uk-UA"/>
        </w:rPr>
      </w:pPr>
      <w:r w:rsidRPr="00F7290F">
        <w:rPr>
          <w:b/>
          <w:lang w:val="uk-UA"/>
        </w:rPr>
        <w:t xml:space="preserve"> Розвиток земельних відносин</w:t>
      </w:r>
    </w:p>
    <w:p w:rsidR="00106958" w:rsidRPr="00F7290F" w:rsidRDefault="00106958" w:rsidP="00106958">
      <w:pPr>
        <w:pStyle w:val="aff2"/>
        <w:keepNext/>
        <w:widowControl w:val="0"/>
        <w:tabs>
          <w:tab w:val="left" w:pos="567"/>
        </w:tabs>
        <w:autoSpaceDE w:val="0"/>
        <w:ind w:left="0" w:firstLine="567"/>
        <w:jc w:val="both"/>
        <w:rPr>
          <w:lang w:val="uk-UA"/>
        </w:rPr>
      </w:pPr>
      <w:r w:rsidRPr="00F7290F">
        <w:rPr>
          <w:lang w:val="uk-UA"/>
        </w:rPr>
        <w:t>Основними напрямками державної політики щодо розвитку земельних відносин є послідовне проведення земельної реформи, створення оптимальних умов для суттєвого збільшення соціального, інвестиційного і виробничого потенціалів землі, перетворення її у самостійне джерело економічного зростання.</w:t>
      </w:r>
    </w:p>
    <w:p w:rsidR="00106958" w:rsidRPr="00F7290F" w:rsidRDefault="00106958" w:rsidP="00106958">
      <w:pPr>
        <w:pStyle w:val="aff2"/>
        <w:keepNext/>
        <w:widowControl w:val="0"/>
        <w:tabs>
          <w:tab w:val="left" w:pos="567"/>
        </w:tabs>
        <w:autoSpaceDE w:val="0"/>
        <w:spacing w:before="120" w:after="0"/>
        <w:ind w:left="0" w:firstLine="709"/>
        <w:jc w:val="both"/>
        <w:rPr>
          <w:b/>
          <w:lang w:val="uk-UA"/>
        </w:rPr>
      </w:pPr>
      <w:r w:rsidRPr="00F7290F">
        <w:rPr>
          <w:b/>
          <w:lang w:val="uk-UA"/>
        </w:rPr>
        <w:t xml:space="preserve">Актуальні проблеми: </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незавершеність процесів реформування економічних та правових відносин власності на землю;</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неефективність державного управління у сфері використання і охорони земельних ресурсів;</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 незавершеність введення у повному обсязі в економічний обіг земельних ділянок та прав на них;</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відсутність планування використання земель, не системна забудова територій, позанормативне вилучення сільськогосподарських угідь для несільськогосподарських потреб; </w:t>
      </w:r>
    </w:p>
    <w:p w:rsidR="00106958" w:rsidRPr="00F7290F" w:rsidRDefault="00106958" w:rsidP="00106958">
      <w:pPr>
        <w:keepNext/>
        <w:widowControl w:val="0"/>
        <w:numPr>
          <w:ilvl w:val="0"/>
          <w:numId w:val="9"/>
        </w:numPr>
        <w:tabs>
          <w:tab w:val="num" w:pos="900"/>
        </w:tabs>
        <w:spacing w:after="120"/>
        <w:ind w:left="0" w:firstLine="720"/>
        <w:jc w:val="both"/>
        <w:rPr>
          <w:lang w:val="uk-UA"/>
        </w:rPr>
      </w:pPr>
      <w:r w:rsidRPr="00F7290F">
        <w:rPr>
          <w:bCs/>
          <w:lang w:val="uk-UA"/>
        </w:rPr>
        <w:t>відсутність сучасної земельної кадастрової системи</w:t>
      </w:r>
      <w:r w:rsidRPr="00F7290F">
        <w:rPr>
          <w:lang w:val="uk-UA"/>
        </w:rPr>
        <w:t>.</w:t>
      </w:r>
    </w:p>
    <w:p w:rsidR="00106958" w:rsidRPr="00F7290F" w:rsidRDefault="00106958" w:rsidP="00106958">
      <w:pPr>
        <w:pStyle w:val="aff2"/>
        <w:keepNext/>
        <w:widowControl w:val="0"/>
        <w:tabs>
          <w:tab w:val="left" w:pos="567"/>
        </w:tabs>
        <w:autoSpaceDE w:val="0"/>
        <w:spacing w:before="240" w:after="0"/>
        <w:ind w:left="0" w:firstLine="567"/>
        <w:jc w:val="both"/>
        <w:rPr>
          <w:lang w:val="uk-UA"/>
        </w:rPr>
      </w:pPr>
      <w:r w:rsidRPr="00F7290F">
        <w:rPr>
          <w:b/>
          <w:lang w:val="uk-UA"/>
        </w:rPr>
        <w:t xml:space="preserve">Головна мета - </w:t>
      </w:r>
      <w:r w:rsidRPr="00F7290F">
        <w:rPr>
          <w:lang w:val="uk-UA"/>
        </w:rPr>
        <w:t>забезпечення сталого розвитку землекористування, збереження ландшафтного і біологічного різноманіття, реалізація права держави та територіальних громад на володіння, раціональне і ефективне використання, розпорядження земельними ділянками в інтересах громадян.</w:t>
      </w:r>
    </w:p>
    <w:p w:rsidR="00106958" w:rsidRPr="00F7290F" w:rsidRDefault="00106958" w:rsidP="00106958">
      <w:pPr>
        <w:pStyle w:val="aff2"/>
        <w:keepNext/>
        <w:widowControl w:val="0"/>
        <w:tabs>
          <w:tab w:val="left" w:pos="567"/>
        </w:tabs>
        <w:autoSpaceDE w:val="0"/>
        <w:spacing w:before="240" w:after="0"/>
        <w:ind w:left="0" w:firstLine="709"/>
        <w:jc w:val="both"/>
        <w:rPr>
          <w:b/>
          <w:lang w:val="uk-UA"/>
        </w:rPr>
      </w:pPr>
      <w:r w:rsidRPr="00F7290F">
        <w:rPr>
          <w:b/>
          <w:lang w:val="uk-UA"/>
        </w:rPr>
        <w:t>Основні завдання:</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забезпечення подальшого розвитку відносин власності на землю;</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землевпорядне забезпечення проведення земельної реформи; </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розвиток ринку земель;</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забезпечення раціонального, невиснажливого, ґрунтозахисного та екологобезпечного землекористування;</w:t>
      </w:r>
    </w:p>
    <w:p w:rsidR="00106958" w:rsidRPr="00F7290F" w:rsidRDefault="00106958" w:rsidP="00106958">
      <w:pPr>
        <w:keepNext/>
        <w:widowControl w:val="0"/>
        <w:numPr>
          <w:ilvl w:val="0"/>
          <w:numId w:val="9"/>
        </w:numPr>
        <w:tabs>
          <w:tab w:val="num" w:pos="900"/>
        </w:tabs>
        <w:ind w:left="0" w:firstLine="720"/>
        <w:jc w:val="both"/>
        <w:rPr>
          <w:lang w:val="uk-UA"/>
        </w:rPr>
      </w:pPr>
      <w:r w:rsidRPr="00F7290F">
        <w:rPr>
          <w:bCs/>
          <w:lang w:val="uk-UA"/>
        </w:rPr>
        <w:lastRenderedPageBreak/>
        <w:t>формування високопродуктивних,</w:t>
      </w:r>
      <w:r w:rsidRPr="00F7290F">
        <w:rPr>
          <w:rStyle w:val="longtext"/>
          <w:lang w:val="uk-UA"/>
        </w:rPr>
        <w:t xml:space="preserve"> ерозійностійкіх та екологобезпечних агроландшафтів.</w:t>
      </w:r>
      <w:r w:rsidRPr="00F7290F">
        <w:rPr>
          <w:lang w:val="uk-UA"/>
        </w:rPr>
        <w:t> </w:t>
      </w:r>
    </w:p>
    <w:p w:rsidR="00106958" w:rsidRPr="00F7290F" w:rsidRDefault="00106958" w:rsidP="00106958">
      <w:pPr>
        <w:pStyle w:val="aff2"/>
        <w:keepNext/>
        <w:widowControl w:val="0"/>
        <w:tabs>
          <w:tab w:val="left" w:pos="567"/>
        </w:tabs>
        <w:autoSpaceDE w:val="0"/>
        <w:spacing w:before="240" w:after="0"/>
        <w:ind w:left="0" w:firstLine="709"/>
        <w:jc w:val="both"/>
        <w:rPr>
          <w:b/>
          <w:lang w:val="uk-UA"/>
        </w:rPr>
      </w:pPr>
      <w:r w:rsidRPr="00F7290F">
        <w:rPr>
          <w:b/>
          <w:lang w:val="uk-UA"/>
        </w:rPr>
        <w:t>Критерії досягнення:</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створення сприятливих умов для сталого розвитку території області та ефективного господарювання на землі;</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 включення земель у ринковий обіг;</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збільшення доходів бюджетів за рахунок надходження коштів від продажу землі, земельного податку, орендної плати за землю;</w:t>
      </w:r>
    </w:p>
    <w:p w:rsidR="00106958" w:rsidRPr="00F7290F" w:rsidRDefault="00106958" w:rsidP="00106958">
      <w:pPr>
        <w:keepNext/>
        <w:widowControl w:val="0"/>
        <w:numPr>
          <w:ilvl w:val="0"/>
          <w:numId w:val="9"/>
        </w:numPr>
        <w:tabs>
          <w:tab w:val="num" w:pos="900"/>
        </w:tabs>
        <w:spacing w:after="120"/>
        <w:ind w:left="0" w:firstLine="720"/>
        <w:jc w:val="both"/>
        <w:rPr>
          <w:lang w:val="uk-UA"/>
        </w:rPr>
      </w:pPr>
      <w:r w:rsidRPr="00F7290F">
        <w:rPr>
          <w:bCs/>
          <w:lang w:val="uk-UA"/>
        </w:rPr>
        <w:t>впорядкування структури земельних угідь, виведення з активного сільськогосподарського обігу деградованих та малопродуктивних земель, відновлення ґрунтового покриву, поліпшення</w:t>
      </w:r>
      <w:r w:rsidRPr="00F7290F">
        <w:rPr>
          <w:lang w:val="uk-UA"/>
        </w:rPr>
        <w:t xml:space="preserve"> структури рельєфу.</w:t>
      </w:r>
    </w:p>
    <w:p w:rsidR="00106958" w:rsidRPr="00F7290F" w:rsidRDefault="00106958" w:rsidP="00106958">
      <w:pPr>
        <w:pStyle w:val="aff2"/>
        <w:keepNext/>
        <w:widowControl w:val="0"/>
        <w:tabs>
          <w:tab w:val="left" w:pos="567"/>
        </w:tabs>
        <w:autoSpaceDE w:val="0"/>
        <w:spacing w:before="240" w:after="0"/>
        <w:ind w:left="0" w:firstLine="709"/>
        <w:jc w:val="both"/>
        <w:rPr>
          <w:b/>
          <w:lang w:val="uk-UA"/>
        </w:rPr>
      </w:pPr>
      <w:r w:rsidRPr="00F7290F">
        <w:rPr>
          <w:b/>
          <w:lang w:val="uk-UA"/>
        </w:rPr>
        <w:t>Ресурсне забезпечення</w:t>
      </w:r>
    </w:p>
    <w:p w:rsidR="00106958" w:rsidRPr="00F7290F" w:rsidRDefault="00106958" w:rsidP="00106958">
      <w:pPr>
        <w:pStyle w:val="23"/>
        <w:keepNext/>
        <w:widowControl w:val="0"/>
        <w:ind w:firstLine="709"/>
      </w:pPr>
      <w:r w:rsidRPr="00F7290F">
        <w:t xml:space="preserve">На фінансування заходів щодо розвитку земельних відносин у 2013 році передбачається спрямувати </w:t>
      </w:r>
      <w:r w:rsidR="00894567" w:rsidRPr="00F7290F">
        <w:t>80,6</w:t>
      </w:r>
      <w:r w:rsidRPr="00F7290F">
        <w:t xml:space="preserve"> млн.грн., в тому числі з державного бюджету – </w:t>
      </w:r>
      <w:r w:rsidR="00894567" w:rsidRPr="00F7290F">
        <w:t>2,7</w:t>
      </w:r>
      <w:r w:rsidRPr="00F7290F">
        <w:t xml:space="preserve"> млн.грн., обласного бюджету – </w:t>
      </w:r>
      <w:r w:rsidR="00894567" w:rsidRPr="00F7290F">
        <w:t>2,0</w:t>
      </w:r>
      <w:r w:rsidRPr="00F7290F">
        <w:t xml:space="preserve"> млн.грн., бюджетів міст та районів – 30,4 млн.грн., коштів підприємств –          35,4 млн.грн., з інших джерел – 10,1 млн.грн.</w:t>
      </w:r>
    </w:p>
    <w:p w:rsidR="00106958" w:rsidRPr="00F7290F" w:rsidRDefault="00106958" w:rsidP="00106958">
      <w:pPr>
        <w:pStyle w:val="23"/>
        <w:keepNext/>
        <w:widowControl w:val="0"/>
        <w:ind w:firstLine="709"/>
      </w:pPr>
      <w:r w:rsidRPr="00F7290F">
        <w:t>Реалізація Програми розвитку земельних відносин і охорони земель у Донецькій області на 2011-2015 роки.</w:t>
      </w:r>
    </w:p>
    <w:p w:rsidR="00E546AD" w:rsidRPr="00F7290F" w:rsidRDefault="00E546AD" w:rsidP="00D65D2E">
      <w:pPr>
        <w:keepNext/>
        <w:widowControl w:val="0"/>
        <w:spacing w:after="120"/>
        <w:jc w:val="center"/>
        <w:rPr>
          <w:rFonts w:eastAsia="Arial,Bold"/>
          <w:b/>
          <w:bCs/>
          <w:sz w:val="28"/>
          <w:szCs w:val="28"/>
          <w:lang w:val="uk-UA"/>
        </w:rPr>
      </w:pPr>
      <w:r w:rsidRPr="00F7290F">
        <w:rPr>
          <w:b/>
          <w:sz w:val="28"/>
          <w:szCs w:val="28"/>
          <w:lang w:val="uk-UA"/>
        </w:rPr>
        <w:t xml:space="preserve">5. </w:t>
      </w:r>
      <w:r w:rsidRPr="00F7290F">
        <w:rPr>
          <w:rFonts w:eastAsia="Arial,Bold"/>
          <w:b/>
          <w:bCs/>
          <w:sz w:val="28"/>
          <w:szCs w:val="28"/>
          <w:lang w:val="uk-UA"/>
        </w:rPr>
        <w:t>Розвиток галузей матеріального виробництва та інфраструктури</w:t>
      </w:r>
    </w:p>
    <w:p w:rsidR="00E546AD" w:rsidRPr="00F7290F" w:rsidRDefault="00E546AD" w:rsidP="00D65D2E">
      <w:pPr>
        <w:keepNext/>
        <w:widowControl w:val="0"/>
        <w:tabs>
          <w:tab w:val="left" w:pos="652"/>
          <w:tab w:val="left" w:pos="8188"/>
        </w:tabs>
        <w:spacing w:after="240"/>
        <w:contextualSpacing/>
        <w:jc w:val="center"/>
        <w:rPr>
          <w:b/>
          <w:lang w:val="uk-UA"/>
        </w:rPr>
      </w:pPr>
      <w:r w:rsidRPr="00F7290F">
        <w:rPr>
          <w:b/>
          <w:lang w:val="uk-UA"/>
        </w:rPr>
        <w:t>5.1. Енергозабезпечення</w:t>
      </w:r>
    </w:p>
    <w:p w:rsidR="000B03DE" w:rsidRPr="00F7290F" w:rsidRDefault="000B03DE" w:rsidP="00D65D2E">
      <w:pPr>
        <w:keepNext/>
        <w:widowControl w:val="0"/>
        <w:tabs>
          <w:tab w:val="left" w:pos="652"/>
          <w:tab w:val="left" w:pos="8188"/>
        </w:tabs>
        <w:spacing w:after="240"/>
        <w:contextualSpacing/>
        <w:jc w:val="center"/>
        <w:rPr>
          <w:b/>
          <w:sz w:val="10"/>
          <w:szCs w:val="10"/>
          <w:lang w:val="uk-UA"/>
        </w:rPr>
      </w:pPr>
    </w:p>
    <w:p w:rsidR="000F1758" w:rsidRPr="00F7290F" w:rsidRDefault="000F1758" w:rsidP="000F1758">
      <w:pPr>
        <w:keepNext/>
        <w:widowControl w:val="0"/>
        <w:tabs>
          <w:tab w:val="left" w:pos="652"/>
          <w:tab w:val="left" w:pos="8188"/>
        </w:tabs>
        <w:spacing w:before="120" w:after="120"/>
        <w:contextualSpacing/>
        <w:jc w:val="center"/>
        <w:rPr>
          <w:b/>
          <w:lang w:val="uk-UA"/>
        </w:rPr>
      </w:pPr>
      <w:r w:rsidRPr="00F7290F">
        <w:rPr>
          <w:b/>
          <w:lang w:val="uk-UA"/>
        </w:rPr>
        <w:t>5.1.1. Вугільна промисловість</w:t>
      </w:r>
    </w:p>
    <w:p w:rsidR="000F1758" w:rsidRPr="00F7290F" w:rsidRDefault="000F1758" w:rsidP="000F1758">
      <w:pPr>
        <w:keepNext/>
        <w:widowControl w:val="0"/>
        <w:spacing w:before="120"/>
        <w:ind w:firstLine="720"/>
        <w:jc w:val="both"/>
        <w:rPr>
          <w:lang w:val="uk-UA"/>
        </w:rPr>
      </w:pPr>
      <w:r w:rsidRPr="00F7290F">
        <w:rPr>
          <w:lang w:val="uk-UA"/>
        </w:rPr>
        <w:t>Вугільна промисловість області забезпечує половину виробленого в Україні готового вугілля. Частка галузі в обсязі реалізованої промислової продукції регіону – 13%.</w:t>
      </w:r>
    </w:p>
    <w:p w:rsidR="000F1758" w:rsidRPr="00F7290F" w:rsidRDefault="000F1758" w:rsidP="000F1758">
      <w:pPr>
        <w:keepNext/>
        <w:widowControl w:val="0"/>
        <w:spacing w:before="120"/>
        <w:ind w:firstLine="720"/>
        <w:jc w:val="both"/>
        <w:rPr>
          <w:b/>
          <w:lang w:val="uk-UA"/>
        </w:rPr>
      </w:pPr>
      <w:r w:rsidRPr="00F7290F">
        <w:rPr>
          <w:b/>
          <w:lang w:val="uk-UA"/>
        </w:rPr>
        <w:t>Актуальні проблеми:</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низька інвестиційна привабливість вугледобувних підприємств внаслідок їх значної капіталомісткості та незадовільний рівень окупності капіталовкладень;</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значні витрати на виробництво через незадовільний стан шахтного фонду (термін експлуатації кожної третьої шахти складає понад 50 років);</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 xml:space="preserve">складні гірничо-геологічні умови (кожна четверта тонна вугілля добувається на глибині понад кілометр, майже третина вуглевидобутку припадає на пласти потужністю менше </w:t>
      </w:r>
      <w:smartTag w:uri="urn:schemas-microsoft-com:office:smarttags" w:element="metricconverter">
        <w:smartTagPr>
          <w:attr w:name="ProductID" w:val="1,2 м"/>
        </w:smartTagPr>
        <w:r w:rsidRPr="00F7290F">
          <w:rPr>
            <w:bCs/>
            <w:lang w:val="uk-UA"/>
          </w:rPr>
          <w:t>1,2 м</w:t>
        </w:r>
      </w:smartTag>
      <w:r w:rsidRPr="00F7290F">
        <w:rPr>
          <w:bCs/>
          <w:lang w:val="uk-UA"/>
        </w:rPr>
        <w:t>);</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дефіцит платіжного балансу, істотне перевищення кредиторської заборгованості над дебіторською, наявність боргів до бюджету і позабюджетних фондів, а також із заробітної плати та інших соціальних виплат;</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соціально-економічні, екологічні проблеми, пов’язані з ліквідацією шахт;</w:t>
      </w:r>
    </w:p>
    <w:p w:rsidR="000F1758" w:rsidRPr="00F7290F" w:rsidRDefault="000F1758" w:rsidP="000F1758">
      <w:pPr>
        <w:keepNext/>
        <w:widowControl w:val="0"/>
        <w:numPr>
          <w:ilvl w:val="0"/>
          <w:numId w:val="9"/>
        </w:numPr>
        <w:tabs>
          <w:tab w:val="num" w:pos="900"/>
          <w:tab w:val="num" w:pos="1260"/>
        </w:tabs>
        <w:spacing w:after="120"/>
        <w:ind w:left="0" w:firstLine="720"/>
        <w:jc w:val="both"/>
        <w:rPr>
          <w:bCs/>
          <w:lang w:val="uk-UA"/>
        </w:rPr>
      </w:pPr>
      <w:r w:rsidRPr="00F7290F">
        <w:rPr>
          <w:bCs/>
          <w:lang w:val="uk-UA"/>
        </w:rPr>
        <w:t>недостатній рівень техніки безпеки та охорони праці.</w:t>
      </w:r>
    </w:p>
    <w:p w:rsidR="000F1758" w:rsidRPr="00A94828" w:rsidRDefault="000F1758" w:rsidP="000F1758">
      <w:pPr>
        <w:keepNext/>
        <w:widowControl w:val="0"/>
        <w:ind w:firstLine="709"/>
        <w:jc w:val="both"/>
        <w:rPr>
          <w:spacing w:val="-8"/>
          <w:lang w:val="uk-UA"/>
        </w:rPr>
      </w:pPr>
      <w:r w:rsidRPr="00A94828">
        <w:rPr>
          <w:b/>
          <w:bCs/>
          <w:spacing w:val="-8"/>
          <w:lang w:val="uk-UA"/>
        </w:rPr>
        <w:t xml:space="preserve">Головна  мета </w:t>
      </w:r>
      <w:r w:rsidRPr="00A94828">
        <w:rPr>
          <w:spacing w:val="-8"/>
          <w:lang w:val="uk-UA"/>
        </w:rPr>
        <w:t>–</w:t>
      </w:r>
      <w:r w:rsidRPr="00A94828">
        <w:rPr>
          <w:bCs/>
          <w:spacing w:val="-8"/>
          <w:lang w:val="uk-UA"/>
        </w:rPr>
        <w:t xml:space="preserve"> п</w:t>
      </w:r>
      <w:r w:rsidRPr="00A94828">
        <w:rPr>
          <w:spacing w:val="-8"/>
          <w:lang w:val="uk-UA"/>
        </w:rPr>
        <w:t>ідвищення ефективності  функціонування галузі шляхом створення дієвого конкурентного середовища та забезпечення на цій основі виробництва конкурентоспроможної вугільної продукції в обсягах, необхідних для енергетичної безпеки країни.</w:t>
      </w:r>
    </w:p>
    <w:p w:rsidR="000F1758" w:rsidRPr="00F7290F" w:rsidRDefault="000F1758" w:rsidP="000F1758">
      <w:pPr>
        <w:pStyle w:val="23"/>
        <w:keepNext/>
        <w:widowControl w:val="0"/>
        <w:spacing w:before="120" w:after="0"/>
        <w:ind w:firstLine="709"/>
        <w:rPr>
          <w:b/>
        </w:rPr>
      </w:pPr>
      <w:r w:rsidRPr="00F7290F">
        <w:rPr>
          <w:b/>
          <w:bCs/>
        </w:rPr>
        <w:t>Основні завдання</w:t>
      </w:r>
      <w:r w:rsidRPr="00F7290F">
        <w:rPr>
          <w:b/>
        </w:rPr>
        <w:t xml:space="preserve">: </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 xml:space="preserve">продовження модернізації та технічного переоснащення шахт з впровадженням нових технологій; </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створення умов для залучення інвестицій у розвиток вугільної галузі;</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нарощування видобутку і використання газу метану вугільних родовищ, як альтернативного палива, з метою скорочення закупівлі імпортного газу;</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посилення вимог щодо забезпечення високого рівня охорони праці на підприємствах галузі;</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lastRenderedPageBreak/>
        <w:t>завершення виконання робіт, передбачених проектами ліквідації вугледобувних підприємств, здійснення ліквідації вугільних підприємств з урахуванням оцінок екологічних наслідків, дотриманням вимог природоохоронного законодавства, вирішенням комплексу соціальних питань;</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активізація процесу передачі об’єктів соціальної інфраструктури з балансу вугледобувних підприємств до комунальної власності шляхом удосконалення на державному рівні механізму передачі;</w:t>
      </w:r>
    </w:p>
    <w:p w:rsidR="000F1758" w:rsidRPr="00F7290F" w:rsidRDefault="000F1758" w:rsidP="000F1758">
      <w:pPr>
        <w:keepNext/>
        <w:widowControl w:val="0"/>
        <w:numPr>
          <w:ilvl w:val="0"/>
          <w:numId w:val="9"/>
        </w:numPr>
        <w:tabs>
          <w:tab w:val="num" w:pos="900"/>
          <w:tab w:val="num" w:pos="1260"/>
        </w:tabs>
        <w:spacing w:after="120"/>
        <w:ind w:left="0" w:firstLine="720"/>
        <w:jc w:val="both"/>
        <w:rPr>
          <w:lang w:val="uk-UA"/>
        </w:rPr>
      </w:pPr>
      <w:r w:rsidRPr="00F7290F">
        <w:rPr>
          <w:bCs/>
          <w:lang w:val="uk-UA"/>
        </w:rPr>
        <w:t>внесення змін до законодавчих та нормативно-правових актів з метою посилення ефективності роботи та припинення несанкціонованого вуглевидобутку</w:t>
      </w:r>
      <w:r w:rsidRPr="00F7290F">
        <w:rPr>
          <w:lang w:val="uk-UA"/>
        </w:rPr>
        <w:t>.</w:t>
      </w:r>
    </w:p>
    <w:p w:rsidR="000F1758" w:rsidRPr="00F7290F" w:rsidRDefault="000F1758" w:rsidP="000F1758">
      <w:pPr>
        <w:keepNext/>
        <w:widowControl w:val="0"/>
        <w:ind w:firstLine="709"/>
        <w:jc w:val="both"/>
        <w:rPr>
          <w:b/>
          <w:bCs/>
          <w:noProof/>
          <w:lang w:val="uk-UA"/>
        </w:rPr>
      </w:pPr>
      <w:r w:rsidRPr="00F7290F">
        <w:rPr>
          <w:b/>
          <w:bCs/>
          <w:noProof/>
          <w:lang w:val="uk-UA"/>
        </w:rPr>
        <w:t>Критерії досягнення:</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збільшення видобутку вугілля на 3,8%;</w:t>
      </w:r>
    </w:p>
    <w:p w:rsidR="000F1758" w:rsidRPr="00F7290F" w:rsidRDefault="000F1758" w:rsidP="000F1758">
      <w:pPr>
        <w:keepNext/>
        <w:widowControl w:val="0"/>
        <w:numPr>
          <w:ilvl w:val="0"/>
          <w:numId w:val="9"/>
        </w:numPr>
        <w:tabs>
          <w:tab w:val="num" w:pos="900"/>
          <w:tab w:val="num" w:pos="1260"/>
        </w:tabs>
        <w:ind w:left="0" w:firstLine="720"/>
        <w:jc w:val="both"/>
        <w:rPr>
          <w:spacing w:val="-2"/>
          <w:lang w:val="uk-UA"/>
        </w:rPr>
      </w:pPr>
      <w:r w:rsidRPr="00F7290F">
        <w:rPr>
          <w:bCs/>
          <w:lang w:val="uk-UA"/>
        </w:rPr>
        <w:t>зростання виробництва готового</w:t>
      </w:r>
      <w:r w:rsidRPr="00F7290F">
        <w:rPr>
          <w:spacing w:val="-2"/>
          <w:lang w:val="uk-UA"/>
        </w:rPr>
        <w:t xml:space="preserve"> вугілля  на 4,1%. </w:t>
      </w:r>
    </w:p>
    <w:p w:rsidR="000F1758" w:rsidRPr="00F7290F" w:rsidRDefault="000F1758" w:rsidP="000F1758">
      <w:pPr>
        <w:keepNext/>
        <w:widowControl w:val="0"/>
        <w:tabs>
          <w:tab w:val="num" w:pos="1260"/>
        </w:tabs>
        <w:ind w:left="720"/>
        <w:jc w:val="both"/>
        <w:rPr>
          <w:spacing w:val="-2"/>
          <w:lang w:val="uk-UA"/>
        </w:rPr>
      </w:pPr>
    </w:p>
    <w:p w:rsidR="00E546AD" w:rsidRPr="00F7290F" w:rsidRDefault="00E546AD" w:rsidP="000F1758">
      <w:pPr>
        <w:keepNext/>
        <w:widowControl w:val="0"/>
        <w:spacing w:after="120"/>
        <w:ind w:firstLine="709"/>
        <w:jc w:val="center"/>
        <w:rPr>
          <w:b/>
          <w:bCs/>
          <w:noProof/>
          <w:color w:val="FF0000"/>
          <w:lang w:val="uk-UA"/>
        </w:rPr>
      </w:pPr>
      <w:r w:rsidRPr="00F7290F">
        <w:rPr>
          <w:b/>
          <w:color w:val="000000" w:themeColor="text1"/>
          <w:spacing w:val="-2"/>
          <w:lang w:val="uk-UA"/>
        </w:rPr>
        <w:t>Динаміка обсягів видобутку та виробництва вугілля, млн.т</w:t>
      </w:r>
      <w:r w:rsidRPr="00F7290F">
        <w:rPr>
          <w:noProof/>
          <w:color w:val="FF0000"/>
        </w:rPr>
        <w:drawing>
          <wp:inline distT="0" distB="0" distL="0" distR="0">
            <wp:extent cx="6113721" cy="1711842"/>
            <wp:effectExtent l="0" t="0" r="0" b="0"/>
            <wp:docPr id="2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215D0E" w:rsidRPr="00F7290F" w:rsidRDefault="00215D0E" w:rsidP="00215D0E">
      <w:pPr>
        <w:pStyle w:val="23"/>
        <w:keepNext/>
        <w:widowControl w:val="0"/>
        <w:tabs>
          <w:tab w:val="left" w:pos="720"/>
          <w:tab w:val="num" w:pos="1083"/>
        </w:tabs>
        <w:ind w:firstLine="709"/>
        <w:rPr>
          <w:noProof/>
        </w:rPr>
      </w:pPr>
      <w:r w:rsidRPr="00F7290F">
        <w:rPr>
          <w:noProof/>
        </w:rPr>
        <w:t xml:space="preserve">Протяом року на шахтах області здійснюватиметься розкриття та підготовка горизонтів, введення в дію нових очисних вибоїв, на які передбачається спрямувати 1484,1 млн.грн. власних коштів підприємств. </w:t>
      </w:r>
    </w:p>
    <w:p w:rsidR="00215D0E" w:rsidRPr="00F7290F" w:rsidRDefault="00215D0E" w:rsidP="00215D0E">
      <w:pPr>
        <w:pStyle w:val="23"/>
        <w:keepNext/>
        <w:widowControl w:val="0"/>
        <w:tabs>
          <w:tab w:val="left" w:pos="720"/>
          <w:tab w:val="num" w:pos="1083"/>
        </w:tabs>
        <w:ind w:firstLine="709"/>
        <w:rPr>
          <w:noProof/>
        </w:rPr>
      </w:pPr>
      <w:r w:rsidRPr="00F7290F">
        <w:rPr>
          <w:noProof/>
        </w:rPr>
        <w:t>Продовжиться будівництво ІІ черги  шахти «Південнодонбаська №3» і ПАТ «Шахтоуправління «Покровське», реконструкція комплексу  вуглевидачі на шахті «1/3 «Новогродівська» ДП «Селидіввугілля», вертикального скіпового стволу на шахті «Ольховатська» ДП «Орджонікідзевугілля», здійснюватимуться роботи з поліпшення провітрювання на шахтах «Калинівська-Східна» і ім.С.М.Кірова ДП «Макіїввугілля», «Прогрес» ДП «Торезантрацит».</w:t>
      </w:r>
    </w:p>
    <w:p w:rsidR="00215D0E" w:rsidRPr="00F7290F" w:rsidRDefault="00215D0E" w:rsidP="00215D0E">
      <w:pPr>
        <w:keepNext/>
        <w:widowControl w:val="0"/>
        <w:ind w:firstLine="709"/>
        <w:jc w:val="both"/>
        <w:rPr>
          <w:b/>
          <w:snapToGrid w:val="0"/>
          <w:lang w:val="uk-UA"/>
        </w:rPr>
      </w:pPr>
      <w:r w:rsidRPr="00F7290F">
        <w:rPr>
          <w:b/>
          <w:snapToGrid w:val="0"/>
          <w:lang w:val="uk-UA"/>
        </w:rPr>
        <w:t>Ресурсне забезпечення</w:t>
      </w:r>
    </w:p>
    <w:p w:rsidR="00215D0E" w:rsidRPr="00F7290F" w:rsidRDefault="00215D0E" w:rsidP="00215D0E">
      <w:pPr>
        <w:keepNext/>
        <w:widowControl w:val="0"/>
        <w:tabs>
          <w:tab w:val="left" w:pos="399"/>
          <w:tab w:val="left" w:pos="851"/>
          <w:tab w:val="left" w:pos="9639"/>
        </w:tabs>
        <w:spacing w:after="120"/>
        <w:ind w:firstLine="709"/>
        <w:jc w:val="both"/>
        <w:rPr>
          <w:lang w:val="uk-UA"/>
        </w:rPr>
      </w:pPr>
      <w:r w:rsidRPr="00F7290F">
        <w:rPr>
          <w:lang w:val="uk-UA"/>
        </w:rPr>
        <w:t xml:space="preserve">Витрати на реалізацію заходів щодо розвитку вугільної галузі складуть </w:t>
      </w:r>
      <w:r w:rsidR="00665175">
        <w:rPr>
          <w:lang w:val="uk-UA"/>
        </w:rPr>
        <w:t xml:space="preserve">                        </w:t>
      </w:r>
      <w:r w:rsidRPr="00F7290F">
        <w:rPr>
          <w:lang w:val="uk-UA"/>
        </w:rPr>
        <w:t xml:space="preserve">1789,9 млн.грн., в тому числі 1577,8 млн.грн. – власних коштів підприємств, 212,1 млн.грн. – з </w:t>
      </w:r>
      <w:r w:rsidRPr="00F7290F">
        <w:rPr>
          <w:iCs/>
          <w:lang w:val="uk-UA"/>
        </w:rPr>
        <w:t>інших джерел.</w:t>
      </w:r>
      <w:r w:rsidRPr="00F7290F">
        <w:rPr>
          <w:lang w:val="uk-UA"/>
        </w:rPr>
        <w:t xml:space="preserve"> </w:t>
      </w:r>
    </w:p>
    <w:p w:rsidR="00215D0E" w:rsidRPr="00F7290F" w:rsidRDefault="00215D0E" w:rsidP="00215D0E">
      <w:pPr>
        <w:pStyle w:val="23"/>
        <w:keepNext/>
        <w:widowControl w:val="0"/>
        <w:spacing w:before="240"/>
        <w:ind w:firstLine="709"/>
        <w:jc w:val="center"/>
        <w:rPr>
          <w:b/>
        </w:rPr>
      </w:pPr>
      <w:r w:rsidRPr="00F7290F">
        <w:rPr>
          <w:b/>
        </w:rPr>
        <w:t>5.1.2. Електроенергетика</w:t>
      </w:r>
    </w:p>
    <w:p w:rsidR="00215D0E" w:rsidRPr="00F7290F" w:rsidRDefault="00215D0E" w:rsidP="00215D0E">
      <w:pPr>
        <w:pStyle w:val="23"/>
        <w:keepNext/>
        <w:widowControl w:val="0"/>
        <w:spacing w:before="120"/>
        <w:ind w:firstLine="709"/>
      </w:pPr>
      <w:r w:rsidRPr="00F7290F">
        <w:t>Електроенергетична галузь області забезпечує 15% виробленої в країні електроенергії. Встановлена потужність теплових електростанцій складає 10 млн.кВт.</w:t>
      </w:r>
    </w:p>
    <w:p w:rsidR="00215D0E" w:rsidRPr="00F7290F" w:rsidRDefault="00215D0E" w:rsidP="00215D0E">
      <w:pPr>
        <w:pStyle w:val="23"/>
        <w:keepNext/>
        <w:widowControl w:val="0"/>
        <w:spacing w:before="120" w:after="0"/>
        <w:ind w:firstLine="709"/>
      </w:pPr>
      <w:r w:rsidRPr="00F7290F">
        <w:rPr>
          <w:b/>
        </w:rPr>
        <w:t>Актуальні проблеми:</w:t>
      </w:r>
      <w:r w:rsidRPr="00F7290F">
        <w:t xml:space="preserve"> </w:t>
      </w:r>
    </w:p>
    <w:p w:rsidR="00215D0E" w:rsidRPr="00F7290F" w:rsidRDefault="00215D0E" w:rsidP="00215D0E">
      <w:pPr>
        <w:keepNext/>
        <w:widowControl w:val="0"/>
        <w:numPr>
          <w:ilvl w:val="0"/>
          <w:numId w:val="9"/>
        </w:numPr>
        <w:tabs>
          <w:tab w:val="num" w:pos="900"/>
          <w:tab w:val="num" w:pos="1260"/>
        </w:tabs>
        <w:ind w:left="0" w:firstLine="720"/>
        <w:jc w:val="both"/>
        <w:rPr>
          <w:bCs/>
          <w:lang w:val="uk-UA"/>
        </w:rPr>
      </w:pPr>
      <w:r w:rsidRPr="00F7290F">
        <w:rPr>
          <w:bCs/>
          <w:lang w:val="uk-UA"/>
        </w:rPr>
        <w:t>значна зношеність технологічного обладнання теплоелектростанцій (більшість з яких вже відпрацювало парковий ресурс), ліній електропередачі та підстанцій (понад 40% підлягають відновленню);</w:t>
      </w:r>
    </w:p>
    <w:p w:rsidR="00215D0E" w:rsidRPr="00F7290F" w:rsidRDefault="00215D0E" w:rsidP="00215D0E">
      <w:pPr>
        <w:keepNext/>
        <w:widowControl w:val="0"/>
        <w:numPr>
          <w:ilvl w:val="0"/>
          <w:numId w:val="9"/>
        </w:numPr>
        <w:tabs>
          <w:tab w:val="num" w:pos="900"/>
          <w:tab w:val="num" w:pos="1260"/>
        </w:tabs>
        <w:ind w:left="0" w:firstLine="720"/>
        <w:jc w:val="both"/>
        <w:rPr>
          <w:bCs/>
          <w:lang w:val="uk-UA"/>
        </w:rPr>
      </w:pPr>
      <w:r w:rsidRPr="00F7290F">
        <w:rPr>
          <w:bCs/>
          <w:lang w:val="uk-UA"/>
        </w:rPr>
        <w:t>низький рівень використання генеруючих потужностей;</w:t>
      </w:r>
    </w:p>
    <w:p w:rsidR="00215D0E" w:rsidRPr="00F7290F" w:rsidRDefault="00215D0E" w:rsidP="00215D0E">
      <w:pPr>
        <w:keepNext/>
        <w:widowControl w:val="0"/>
        <w:numPr>
          <w:ilvl w:val="0"/>
          <w:numId w:val="9"/>
        </w:numPr>
        <w:tabs>
          <w:tab w:val="num" w:pos="900"/>
          <w:tab w:val="num" w:pos="1260"/>
        </w:tabs>
        <w:spacing w:after="120"/>
        <w:ind w:left="0" w:firstLine="720"/>
        <w:jc w:val="both"/>
        <w:rPr>
          <w:bCs/>
          <w:lang w:val="uk-UA"/>
        </w:rPr>
      </w:pPr>
      <w:r w:rsidRPr="00F7290F">
        <w:rPr>
          <w:bCs/>
          <w:lang w:val="uk-UA"/>
        </w:rPr>
        <w:t>неповні розрахунки споживачів за використану електроенергію, зокрема, підприємств вугільної промисловості.</w:t>
      </w:r>
    </w:p>
    <w:p w:rsidR="00215D0E" w:rsidRPr="00F7290F" w:rsidRDefault="00215D0E" w:rsidP="00215D0E">
      <w:pPr>
        <w:pStyle w:val="af9"/>
        <w:keepNext/>
        <w:widowControl w:val="0"/>
        <w:spacing w:before="120" w:after="0"/>
        <w:ind w:firstLine="720"/>
        <w:jc w:val="both"/>
        <w:rPr>
          <w:lang w:val="uk-UA"/>
        </w:rPr>
      </w:pPr>
      <w:r w:rsidRPr="00F7290F">
        <w:rPr>
          <w:b/>
          <w:bCs/>
          <w:lang w:val="uk-UA"/>
        </w:rPr>
        <w:t xml:space="preserve">Головна  мета </w:t>
      </w:r>
      <w:r w:rsidRPr="00F7290F">
        <w:rPr>
          <w:lang w:val="uk-UA"/>
        </w:rPr>
        <w:t>–</w:t>
      </w:r>
      <w:r w:rsidRPr="00F7290F">
        <w:rPr>
          <w:bCs/>
          <w:lang w:val="uk-UA"/>
        </w:rPr>
        <w:t xml:space="preserve"> з</w:t>
      </w:r>
      <w:r w:rsidRPr="00F7290F">
        <w:rPr>
          <w:lang w:val="uk-UA"/>
        </w:rPr>
        <w:t xml:space="preserve">адоволення потреб в електроенергії економіки області та підтримка </w:t>
      </w:r>
      <w:r w:rsidRPr="00F7290F">
        <w:rPr>
          <w:lang w:val="uk-UA"/>
        </w:rPr>
        <w:lastRenderedPageBreak/>
        <w:t>стійкого електропостачання споживачів усіх категорій.</w:t>
      </w:r>
    </w:p>
    <w:p w:rsidR="00215D0E" w:rsidRPr="00F7290F" w:rsidRDefault="00215D0E" w:rsidP="00215D0E">
      <w:pPr>
        <w:pStyle w:val="23"/>
        <w:keepNext/>
        <w:widowControl w:val="0"/>
        <w:spacing w:before="120" w:after="0"/>
        <w:ind w:firstLine="709"/>
        <w:rPr>
          <w:b/>
        </w:rPr>
      </w:pPr>
      <w:r w:rsidRPr="00F7290F">
        <w:rPr>
          <w:b/>
          <w:bCs/>
        </w:rPr>
        <w:t>Основні завдання</w:t>
      </w:r>
      <w:r w:rsidRPr="00F7290F">
        <w:rPr>
          <w:b/>
        </w:rPr>
        <w:t xml:space="preserve">: </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реконструкція енергоблоків на базі енергозберігаючих та екологічно безпечних  технологій;</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 xml:space="preserve">будівництво та модернізація електричних мереж,  трансформаторних підстанцій, розподільчих пунктів;  </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забезпечення повноти і своєчасності розрахунків за спожиту електроенергію усіма категоріями споживачів;</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продовження приватизації енергопостачальних і теплових енергогенеруючих компаній з метою залучення інвестицій для модернізації їх потужностей;</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реалізація нової схеми теплопостачання міста Зугрес від потужностей Зуївської ТЕС ТОВ «ДТЕК Східенерго» шляхом будівництва теплової мережі до ДП “Зуївська експериментальна теплоелектроцентраль”.</w:t>
      </w:r>
    </w:p>
    <w:p w:rsidR="00215D0E" w:rsidRPr="00F7290F" w:rsidRDefault="00215D0E" w:rsidP="00215D0E">
      <w:pPr>
        <w:keepNext/>
        <w:widowControl w:val="0"/>
        <w:spacing w:before="120"/>
        <w:ind w:firstLine="709"/>
        <w:jc w:val="both"/>
        <w:rPr>
          <w:b/>
          <w:bCs/>
          <w:noProof/>
          <w:lang w:val="uk-UA"/>
        </w:rPr>
      </w:pPr>
      <w:r w:rsidRPr="00F7290F">
        <w:rPr>
          <w:b/>
          <w:bCs/>
          <w:noProof/>
          <w:lang w:val="uk-UA"/>
        </w:rPr>
        <w:t>Критерії досягнення:</w:t>
      </w:r>
    </w:p>
    <w:p w:rsidR="00215D0E" w:rsidRPr="00F7290F" w:rsidRDefault="00215D0E" w:rsidP="00215D0E">
      <w:pPr>
        <w:keepNext/>
        <w:widowControl w:val="0"/>
        <w:numPr>
          <w:ilvl w:val="0"/>
          <w:numId w:val="9"/>
        </w:numPr>
        <w:tabs>
          <w:tab w:val="num" w:pos="0"/>
          <w:tab w:val="num" w:pos="900"/>
          <w:tab w:val="num" w:pos="1260"/>
        </w:tabs>
        <w:spacing w:after="120"/>
        <w:ind w:left="0" w:firstLine="720"/>
        <w:jc w:val="both"/>
        <w:rPr>
          <w:lang w:val="uk-UA"/>
        </w:rPr>
      </w:pPr>
      <w:r w:rsidRPr="00F7290F">
        <w:rPr>
          <w:bCs/>
          <w:lang w:val="uk-UA"/>
        </w:rPr>
        <w:t>збільшення виробництва електроенергії на 5,0%</w:t>
      </w:r>
      <w:r w:rsidRPr="00F7290F">
        <w:rPr>
          <w:lang w:val="uk-UA"/>
        </w:rPr>
        <w:t xml:space="preserve">. </w:t>
      </w:r>
    </w:p>
    <w:tbl>
      <w:tblPr>
        <w:tblStyle w:val="af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6"/>
        <w:gridCol w:w="4721"/>
      </w:tblGrid>
      <w:tr w:rsidR="000B03DE" w:rsidRPr="008E4FA0" w:rsidTr="00531C8B">
        <w:trPr>
          <w:trHeight w:val="419"/>
        </w:trPr>
        <w:tc>
          <w:tcPr>
            <w:tcW w:w="5076" w:type="dxa"/>
          </w:tcPr>
          <w:p w:rsidR="000B03DE" w:rsidRPr="00F7290F" w:rsidRDefault="000B03DE" w:rsidP="00D65D2E">
            <w:pPr>
              <w:pStyle w:val="23"/>
              <w:keepNext/>
              <w:widowControl w:val="0"/>
              <w:spacing w:after="0"/>
              <w:ind w:firstLine="0"/>
              <w:jc w:val="center"/>
              <w:rPr>
                <w:b/>
                <w:noProof/>
                <w:color w:val="000000" w:themeColor="text1"/>
                <w:spacing w:val="-2"/>
              </w:rPr>
            </w:pPr>
            <w:r w:rsidRPr="00F7290F">
              <w:rPr>
                <w:b/>
                <w:color w:val="000000" w:themeColor="text1"/>
                <w:spacing w:val="-2"/>
              </w:rPr>
              <w:t>Динаміка виробництва електроенергії, млрд.кВт.год</w:t>
            </w:r>
          </w:p>
        </w:tc>
        <w:tc>
          <w:tcPr>
            <w:tcW w:w="5004" w:type="dxa"/>
            <w:vMerge w:val="restart"/>
          </w:tcPr>
          <w:p w:rsidR="00215D0E" w:rsidRPr="00F7290F" w:rsidRDefault="00215D0E" w:rsidP="00215D0E">
            <w:pPr>
              <w:keepNext/>
              <w:widowControl w:val="0"/>
              <w:spacing w:after="120"/>
              <w:ind w:firstLine="708"/>
              <w:jc w:val="both"/>
              <w:rPr>
                <w:noProof/>
                <w:spacing w:val="-2"/>
                <w:lang w:val="uk-UA"/>
              </w:rPr>
            </w:pPr>
            <w:r w:rsidRPr="00F7290F">
              <w:rPr>
                <w:noProof/>
                <w:spacing w:val="-2"/>
                <w:lang w:val="uk-UA"/>
              </w:rPr>
              <w:t>З метою збільшення встановленої потужності, економії палива та зменшення викидів шкідливих речовин передбачається технічне переоснащення енергоблоків №12 і №13 на Старобешівській ТЕС і енергоблоку №7 на Слов</w:t>
            </w:r>
            <w:r w:rsidRPr="00F7290F">
              <w:rPr>
                <w:lang w:val="uk-UA"/>
              </w:rPr>
              <w:t>'</w:t>
            </w:r>
            <w:r w:rsidRPr="00F7290F">
              <w:rPr>
                <w:noProof/>
                <w:spacing w:val="-2"/>
                <w:lang w:val="uk-UA"/>
              </w:rPr>
              <w:t>янській ТЕС ПАТ «Донбасенерго», реконструкція енергоблоків №3 на Зуївській ТЕС і енергоблоку №9 на Курахівській ТЕС ТОВ «ДТЕК Східенерго».</w:t>
            </w:r>
          </w:p>
          <w:p w:rsidR="000B03DE" w:rsidRPr="00F7290F" w:rsidRDefault="00215D0E" w:rsidP="00215D0E">
            <w:pPr>
              <w:keepNext/>
              <w:widowControl w:val="0"/>
              <w:spacing w:after="120"/>
              <w:ind w:firstLine="708"/>
              <w:jc w:val="both"/>
              <w:rPr>
                <w:noProof/>
                <w:color w:val="FF0000"/>
                <w:spacing w:val="-2"/>
                <w:lang w:val="uk-UA"/>
              </w:rPr>
            </w:pPr>
            <w:r w:rsidRPr="00F7290F">
              <w:rPr>
                <w:bCs/>
                <w:noProof/>
                <w:lang w:val="uk-UA"/>
              </w:rPr>
              <w:t>Продовжиться будівництво, реконструкція та модернізація ліній електропередачі, трансформаторних підстанцій, розподільчих пунктів.</w:t>
            </w:r>
          </w:p>
        </w:tc>
      </w:tr>
      <w:tr w:rsidR="000B03DE" w:rsidRPr="00F7290F" w:rsidTr="00E03BF2">
        <w:trPr>
          <w:trHeight w:val="3240"/>
        </w:trPr>
        <w:tc>
          <w:tcPr>
            <w:tcW w:w="5076" w:type="dxa"/>
          </w:tcPr>
          <w:p w:rsidR="000B03DE" w:rsidRPr="00F7290F" w:rsidRDefault="000B03DE" w:rsidP="00D65D2E">
            <w:pPr>
              <w:pStyle w:val="23"/>
              <w:keepNext/>
              <w:widowControl w:val="0"/>
              <w:ind w:firstLine="0"/>
              <w:jc w:val="center"/>
              <w:rPr>
                <w:b/>
                <w:color w:val="FF0000"/>
                <w:spacing w:val="-2"/>
              </w:rPr>
            </w:pPr>
            <w:r w:rsidRPr="00F7290F">
              <w:rPr>
                <w:b/>
                <w:noProof/>
                <w:color w:val="FF0000"/>
                <w:spacing w:val="-2"/>
                <w:lang w:val="ru-RU"/>
              </w:rPr>
              <w:drawing>
                <wp:inline distT="0" distB="0" distL="0" distR="0">
                  <wp:extent cx="3083442" cy="1828800"/>
                  <wp:effectExtent l="0" t="0" r="0" b="0"/>
                  <wp:docPr id="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c>
          <w:tcPr>
            <w:tcW w:w="5004" w:type="dxa"/>
            <w:vMerge/>
          </w:tcPr>
          <w:p w:rsidR="000B03DE" w:rsidRPr="00F7290F" w:rsidRDefault="000B03DE" w:rsidP="00D65D2E">
            <w:pPr>
              <w:keepNext/>
              <w:widowControl w:val="0"/>
              <w:spacing w:after="120"/>
              <w:ind w:firstLine="708"/>
              <w:jc w:val="both"/>
              <w:rPr>
                <w:b/>
                <w:color w:val="FF0000"/>
                <w:spacing w:val="-2"/>
                <w:lang w:val="uk-UA"/>
              </w:rPr>
            </w:pPr>
          </w:p>
        </w:tc>
      </w:tr>
    </w:tbl>
    <w:p w:rsidR="00215D0E" w:rsidRPr="00F7290F" w:rsidRDefault="00215D0E" w:rsidP="00215D0E">
      <w:pPr>
        <w:keepNext/>
        <w:widowControl w:val="0"/>
        <w:ind w:firstLine="709"/>
        <w:jc w:val="both"/>
        <w:rPr>
          <w:b/>
          <w:snapToGrid w:val="0"/>
          <w:lang w:val="uk-UA"/>
        </w:rPr>
      </w:pPr>
      <w:r w:rsidRPr="00F7290F">
        <w:rPr>
          <w:b/>
          <w:snapToGrid w:val="0"/>
          <w:lang w:val="uk-UA"/>
        </w:rPr>
        <w:t>Ресурсне забезпечення</w:t>
      </w:r>
    </w:p>
    <w:p w:rsidR="00215D0E" w:rsidRPr="00F7290F" w:rsidRDefault="00215D0E" w:rsidP="00215D0E">
      <w:pPr>
        <w:keepNext/>
        <w:widowControl w:val="0"/>
        <w:spacing w:after="120"/>
        <w:ind w:firstLine="709"/>
        <w:jc w:val="both"/>
        <w:rPr>
          <w:spacing w:val="-4"/>
          <w:lang w:val="uk-UA"/>
        </w:rPr>
      </w:pPr>
      <w:r w:rsidRPr="00F7290F">
        <w:rPr>
          <w:spacing w:val="-4"/>
          <w:lang w:val="uk-UA"/>
        </w:rPr>
        <w:t xml:space="preserve">Загальні витрати на реалізацію заходів щодо розвитку галузі складуть  2714,6 млн.грн., в тому числі: за рахунок власних коштів підприємств – 1368,1 млн.грн., кредитних ресурсів –          1336,5 млн.грн., коштів місцевого бюджету – 10,0 млн.грн. </w:t>
      </w:r>
    </w:p>
    <w:p w:rsidR="00215D0E" w:rsidRPr="00F7290F" w:rsidRDefault="00215D0E" w:rsidP="00215D0E">
      <w:pPr>
        <w:keepNext/>
        <w:widowControl w:val="0"/>
        <w:spacing w:after="120"/>
        <w:ind w:firstLine="709"/>
        <w:jc w:val="both"/>
        <w:rPr>
          <w:lang w:val="uk-UA"/>
        </w:rPr>
      </w:pPr>
      <w:r w:rsidRPr="00F7290F">
        <w:rPr>
          <w:lang w:val="uk-UA"/>
        </w:rPr>
        <w:t xml:space="preserve">Реалізація вимог розпорядження Кабінету Міністрів України від 18.06.2008 </w:t>
      </w:r>
      <w:r w:rsidRPr="00F7290F">
        <w:rPr>
          <w:spacing w:val="-8"/>
          <w:lang w:val="uk-UA"/>
        </w:rPr>
        <w:t>№850-р щодо реконструкції та модернізації теплових електростанцій України на період до 2020 року.</w:t>
      </w:r>
    </w:p>
    <w:p w:rsidR="00215D0E" w:rsidRPr="00F7290F" w:rsidRDefault="00215D0E" w:rsidP="00215D0E">
      <w:pPr>
        <w:keepNext/>
        <w:widowControl w:val="0"/>
        <w:spacing w:before="240" w:after="120"/>
        <w:ind w:firstLine="709"/>
        <w:jc w:val="center"/>
        <w:rPr>
          <w:b/>
          <w:spacing w:val="-4"/>
          <w:lang w:val="uk-UA"/>
        </w:rPr>
      </w:pPr>
      <w:r w:rsidRPr="00F7290F">
        <w:rPr>
          <w:b/>
          <w:spacing w:val="-4"/>
          <w:lang w:val="uk-UA"/>
        </w:rPr>
        <w:t>5.1.3. Енергозбереження</w:t>
      </w:r>
    </w:p>
    <w:p w:rsidR="002C7CA6" w:rsidRPr="00F7290F" w:rsidRDefault="002C7CA6" w:rsidP="002C7CA6">
      <w:pPr>
        <w:keepNext/>
        <w:widowControl w:val="0"/>
        <w:spacing w:before="120"/>
        <w:ind w:firstLine="709"/>
        <w:jc w:val="both"/>
        <w:rPr>
          <w:lang w:val="uk-UA"/>
        </w:rPr>
      </w:pPr>
      <w:r w:rsidRPr="00F7290F">
        <w:rPr>
          <w:lang w:val="uk-UA"/>
        </w:rPr>
        <w:t xml:space="preserve">Промисловість області є головним споживачем паливно-енергетичних ресурсів, що споживає 98% природного газу, 99,5% –  вугілля, 87% –  електроенергії. </w:t>
      </w:r>
    </w:p>
    <w:p w:rsidR="002C7CA6" w:rsidRPr="00F7290F" w:rsidRDefault="002C7CA6" w:rsidP="002C7CA6">
      <w:pPr>
        <w:keepNext/>
        <w:widowControl w:val="0"/>
        <w:spacing w:before="120"/>
        <w:ind w:firstLine="709"/>
        <w:jc w:val="both"/>
        <w:rPr>
          <w:b/>
          <w:lang w:val="uk-UA"/>
        </w:rPr>
      </w:pPr>
      <w:r w:rsidRPr="00F7290F">
        <w:rPr>
          <w:b/>
          <w:lang w:val="uk-UA"/>
        </w:rPr>
        <w:t>Актуальні проблеми:</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значна частка застарілих енерговитратних технологій;</w:t>
      </w:r>
    </w:p>
    <w:p w:rsidR="002C7CA6" w:rsidRPr="00F7290F" w:rsidRDefault="002C7CA6" w:rsidP="002C7CA6">
      <w:pPr>
        <w:keepNext/>
        <w:widowControl w:val="0"/>
        <w:numPr>
          <w:ilvl w:val="0"/>
          <w:numId w:val="9"/>
        </w:numPr>
        <w:tabs>
          <w:tab w:val="num" w:pos="0"/>
          <w:tab w:val="num" w:pos="900"/>
          <w:tab w:val="num" w:pos="1080"/>
          <w:tab w:val="num" w:pos="1260"/>
        </w:tabs>
        <w:ind w:left="0" w:firstLine="720"/>
        <w:jc w:val="both"/>
        <w:rPr>
          <w:bCs/>
          <w:lang w:val="uk-UA"/>
        </w:rPr>
      </w:pPr>
      <w:r w:rsidRPr="00F7290F">
        <w:rPr>
          <w:bCs/>
          <w:lang w:val="uk-UA"/>
        </w:rPr>
        <w:t>високий фізичний та моральний знос машин та обладнання;</w:t>
      </w:r>
    </w:p>
    <w:p w:rsidR="002C7CA6" w:rsidRPr="00F7290F" w:rsidRDefault="002C7CA6" w:rsidP="002C7CA6">
      <w:pPr>
        <w:keepNext/>
        <w:widowControl w:val="0"/>
        <w:numPr>
          <w:ilvl w:val="0"/>
          <w:numId w:val="9"/>
        </w:numPr>
        <w:tabs>
          <w:tab w:val="num" w:pos="0"/>
          <w:tab w:val="num" w:pos="900"/>
          <w:tab w:val="num" w:pos="1080"/>
          <w:tab w:val="num" w:pos="1260"/>
        </w:tabs>
        <w:spacing w:after="120"/>
        <w:ind w:left="0" w:firstLine="720"/>
        <w:jc w:val="both"/>
        <w:rPr>
          <w:lang w:val="uk-UA"/>
        </w:rPr>
      </w:pPr>
      <w:r w:rsidRPr="00F7290F">
        <w:rPr>
          <w:bCs/>
          <w:lang w:val="uk-UA"/>
        </w:rPr>
        <w:t>низький</w:t>
      </w:r>
      <w:r w:rsidRPr="00F7290F">
        <w:rPr>
          <w:lang w:val="uk-UA"/>
        </w:rPr>
        <w:t xml:space="preserve"> рівень впровадження енергоефективних енергозберігаючих технологій.</w:t>
      </w:r>
    </w:p>
    <w:p w:rsidR="002C7CA6" w:rsidRPr="00F7290F" w:rsidRDefault="002C7CA6" w:rsidP="002C7CA6">
      <w:pPr>
        <w:keepNext/>
        <w:widowControl w:val="0"/>
        <w:spacing w:before="120"/>
        <w:ind w:firstLine="709"/>
        <w:jc w:val="both"/>
        <w:rPr>
          <w:lang w:val="uk-UA"/>
        </w:rPr>
      </w:pPr>
      <w:r w:rsidRPr="00F7290F">
        <w:rPr>
          <w:b/>
          <w:bCs/>
          <w:lang w:val="uk-UA"/>
        </w:rPr>
        <w:t xml:space="preserve">Головна  мета </w:t>
      </w:r>
      <w:r w:rsidRPr="00F7290F">
        <w:rPr>
          <w:lang w:val="uk-UA"/>
        </w:rPr>
        <w:t>–</w:t>
      </w:r>
      <w:r w:rsidRPr="00F7290F">
        <w:rPr>
          <w:bCs/>
          <w:lang w:val="uk-UA"/>
        </w:rPr>
        <w:t xml:space="preserve"> д</w:t>
      </w:r>
      <w:r w:rsidRPr="00F7290F">
        <w:rPr>
          <w:lang w:val="uk-UA"/>
        </w:rPr>
        <w:t>осягнення максимальної ефективності використання паливно-енергетичних ресурсів в галузях економіки, скорочення споживання імпортованих енергоносіїв, зменшення шкідливого впливу на довкілля.</w:t>
      </w:r>
    </w:p>
    <w:p w:rsidR="002C7CA6" w:rsidRPr="00F7290F" w:rsidRDefault="002C7CA6" w:rsidP="002C7CA6">
      <w:pPr>
        <w:keepNext/>
        <w:widowControl w:val="0"/>
        <w:spacing w:before="120"/>
        <w:ind w:firstLine="709"/>
        <w:jc w:val="both"/>
        <w:rPr>
          <w:lang w:val="uk-UA"/>
        </w:rPr>
      </w:pPr>
      <w:r w:rsidRPr="00F7290F">
        <w:rPr>
          <w:b/>
          <w:bCs/>
          <w:lang w:val="uk-UA"/>
        </w:rPr>
        <w:t>Основні напрямки:</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впровадження енергозберігаючих, екологічно чистих технологій, більш ефективного </w:t>
      </w:r>
      <w:r w:rsidRPr="00F7290F">
        <w:rPr>
          <w:bCs/>
          <w:lang w:val="uk-UA"/>
        </w:rPr>
        <w:lastRenderedPageBreak/>
        <w:t>обладнання і приладів та удосконалення існуючих;</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використання нетрадиційних та відновлювальних джерел енергії, в тому числі шахтного метану, енергії вітру;</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впровадження технологій електроопалення, модернізація систем теплопостачання;</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реконструкція зовнішнього освітлення з використанням енергозберігаючих освітлювальних приладів та автоматизованих систем управління;</w:t>
      </w:r>
    </w:p>
    <w:p w:rsidR="002C7CA6" w:rsidRPr="00F7290F" w:rsidRDefault="002C7CA6" w:rsidP="002C7CA6">
      <w:pPr>
        <w:keepNext/>
        <w:widowControl w:val="0"/>
        <w:numPr>
          <w:ilvl w:val="0"/>
          <w:numId w:val="9"/>
        </w:numPr>
        <w:tabs>
          <w:tab w:val="num" w:pos="0"/>
          <w:tab w:val="num" w:pos="720"/>
          <w:tab w:val="num" w:pos="900"/>
          <w:tab w:val="num" w:pos="1260"/>
        </w:tabs>
        <w:spacing w:after="120"/>
        <w:ind w:left="0" w:firstLine="720"/>
        <w:jc w:val="both"/>
        <w:rPr>
          <w:bCs/>
          <w:lang w:val="uk-UA"/>
        </w:rPr>
      </w:pPr>
      <w:r w:rsidRPr="00F7290F">
        <w:rPr>
          <w:bCs/>
          <w:lang w:val="uk-UA"/>
        </w:rPr>
        <w:t>залучення інвестицій на розробку і впровадження енергозберігаючих проектів.</w:t>
      </w:r>
    </w:p>
    <w:p w:rsidR="002C7CA6" w:rsidRPr="00F7290F" w:rsidRDefault="002C7CA6" w:rsidP="002C7CA6">
      <w:pPr>
        <w:keepNext/>
        <w:widowControl w:val="0"/>
        <w:tabs>
          <w:tab w:val="num" w:pos="900"/>
          <w:tab w:val="num" w:pos="928"/>
          <w:tab w:val="num" w:pos="1260"/>
        </w:tabs>
        <w:ind w:firstLine="709"/>
        <w:jc w:val="both"/>
        <w:rPr>
          <w:b/>
          <w:bCs/>
          <w:lang w:val="uk-UA"/>
        </w:rPr>
      </w:pPr>
      <w:r w:rsidRPr="00F7290F">
        <w:rPr>
          <w:b/>
          <w:bCs/>
          <w:lang w:val="uk-UA"/>
        </w:rPr>
        <w:t>Критерії досягнення:</w:t>
      </w:r>
    </w:p>
    <w:p w:rsidR="002C7CA6" w:rsidRPr="00F7290F" w:rsidRDefault="002C7CA6" w:rsidP="002C7CA6">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економія паливно-енергетичних ресурсів в обсязі 573,75 тис. тонн умовного палива,  у тому числі природного газу – 176,45 млн.куб.м, електроенергії – 372,96 млн.кВт.год, теплоенергії – 37,13 тис.Гкал;</w:t>
      </w:r>
    </w:p>
    <w:p w:rsidR="002C7CA6" w:rsidRPr="00F7290F" w:rsidRDefault="002C7CA6" w:rsidP="002C7CA6">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Pr>
          <w:bCs/>
          <w:lang w:val="uk-UA"/>
        </w:rPr>
        <w:t>очікувана вартість зекономлених паливно-енергетичних ресурсів складе 729,8 млн.грн.</w:t>
      </w:r>
    </w:p>
    <w:p w:rsidR="002C7CA6" w:rsidRPr="00F7290F" w:rsidRDefault="002C7CA6" w:rsidP="002C7CA6">
      <w:pPr>
        <w:pStyle w:val="23"/>
        <w:keepNext/>
        <w:widowControl w:val="0"/>
        <w:tabs>
          <w:tab w:val="left" w:pos="720"/>
        </w:tabs>
        <w:rPr>
          <w:noProof/>
        </w:rPr>
      </w:pPr>
      <w:r w:rsidRPr="00F7290F">
        <w:rPr>
          <w:noProof/>
        </w:rPr>
        <w:t>З метою утилізації газу метану продовжиться будівництво когенераційної газової електростанції у ПАТ «Шахта ім. О.Ф.Засядька», ПАТ «Шахтоуправління «Покровське».</w:t>
      </w:r>
    </w:p>
    <w:p w:rsidR="002C7CA6" w:rsidRPr="00F7290F" w:rsidRDefault="002C7CA6" w:rsidP="002C7CA6">
      <w:pPr>
        <w:pStyle w:val="23"/>
        <w:keepNext/>
        <w:widowControl w:val="0"/>
        <w:tabs>
          <w:tab w:val="left" w:pos="720"/>
        </w:tabs>
        <w:rPr>
          <w:noProof/>
        </w:rPr>
      </w:pPr>
      <w:r w:rsidRPr="00F7290F">
        <w:rPr>
          <w:noProof/>
        </w:rPr>
        <w:t xml:space="preserve"> Передбачається реконструкція котельні ЖМК-16 з будівництвом когенераційної установки в м. Маріуполь, впровадження на об</w:t>
      </w:r>
      <w:r w:rsidRPr="00F7290F">
        <w:t>'</w:t>
      </w:r>
      <w:r w:rsidRPr="00F7290F">
        <w:rPr>
          <w:noProof/>
        </w:rPr>
        <w:t>єктах бюджетної сфери теплових насосів для забезпечення гарячого водопостачання в м. Донецьк, електричного теплоакумуляцій</w:t>
      </w:r>
      <w:r w:rsidRPr="00F7290F">
        <w:rPr>
          <w:noProof/>
        </w:rPr>
        <w:softHyphen/>
        <w:t>ного обігріву та гарячого водопостачання в Новоазовському районі тощо.</w:t>
      </w:r>
    </w:p>
    <w:p w:rsidR="002C7CA6" w:rsidRPr="00F7290F" w:rsidRDefault="002C7CA6" w:rsidP="002C7CA6">
      <w:pPr>
        <w:keepNext/>
        <w:widowControl w:val="0"/>
        <w:tabs>
          <w:tab w:val="left" w:pos="720"/>
        </w:tabs>
        <w:spacing w:before="120"/>
        <w:ind w:firstLine="709"/>
        <w:jc w:val="both"/>
        <w:rPr>
          <w:b/>
          <w:snapToGrid w:val="0"/>
          <w:lang w:val="uk-UA"/>
        </w:rPr>
      </w:pPr>
      <w:r w:rsidRPr="00F7290F">
        <w:rPr>
          <w:b/>
          <w:snapToGrid w:val="0"/>
          <w:lang w:val="uk-UA"/>
        </w:rPr>
        <w:t>Ресурсне забезпечення</w:t>
      </w:r>
    </w:p>
    <w:p w:rsidR="002C7CA6" w:rsidRPr="00F70067" w:rsidRDefault="002C7CA6" w:rsidP="002C7CA6">
      <w:pPr>
        <w:keepNext/>
        <w:widowControl w:val="0"/>
        <w:ind w:firstLine="709"/>
        <w:jc w:val="both"/>
        <w:rPr>
          <w:lang w:val="uk-UA"/>
        </w:rPr>
      </w:pPr>
      <w:r>
        <w:rPr>
          <w:lang w:val="uk-UA"/>
        </w:rPr>
        <w:t>Заходи здійснюються в межах обсягів, передбачених на утримання бюджетної сфери області, та в межах наявних коштів підприємств житлово-комунального господарства і реального сектору економіки в рамках реалізації</w:t>
      </w:r>
      <w:r w:rsidRPr="00F70067">
        <w:rPr>
          <w:lang w:val="uk-UA"/>
        </w:rPr>
        <w:t xml:space="preserve"> Програми енергоефективності Донецької області на 2010-2015 роки.</w:t>
      </w:r>
    </w:p>
    <w:p w:rsidR="00215D0E" w:rsidRPr="00F7290F" w:rsidRDefault="00215D0E" w:rsidP="00215D0E">
      <w:pPr>
        <w:keepNext/>
        <w:widowControl w:val="0"/>
        <w:ind w:firstLine="709"/>
        <w:jc w:val="both"/>
        <w:rPr>
          <w:b/>
          <w:lang w:val="uk-UA"/>
        </w:rPr>
      </w:pPr>
    </w:p>
    <w:p w:rsidR="00215D0E" w:rsidRPr="00F7290F" w:rsidRDefault="00215D0E" w:rsidP="00215D0E">
      <w:pPr>
        <w:keepNext/>
        <w:widowControl w:val="0"/>
        <w:tabs>
          <w:tab w:val="left" w:pos="652"/>
          <w:tab w:val="left" w:pos="8188"/>
        </w:tabs>
        <w:spacing w:before="240" w:after="120"/>
        <w:contextualSpacing/>
        <w:jc w:val="center"/>
        <w:rPr>
          <w:b/>
          <w:lang w:val="uk-UA"/>
        </w:rPr>
      </w:pPr>
      <w:r w:rsidRPr="00F7290F">
        <w:rPr>
          <w:b/>
          <w:lang w:val="uk-UA"/>
        </w:rPr>
        <w:t>5.2. Промисловий комплекс</w:t>
      </w:r>
    </w:p>
    <w:p w:rsidR="00215D0E" w:rsidRPr="00F7290F" w:rsidRDefault="00215D0E" w:rsidP="00215D0E">
      <w:pPr>
        <w:pStyle w:val="aff2"/>
        <w:keepNext/>
        <w:widowControl w:val="0"/>
        <w:ind w:left="0" w:firstLine="720"/>
        <w:rPr>
          <w:lang w:val="uk-UA"/>
        </w:rPr>
      </w:pPr>
      <w:r w:rsidRPr="00F7290F">
        <w:rPr>
          <w:lang w:val="uk-UA"/>
        </w:rPr>
        <w:t>Промисловість області забезпечує майже половину валової доданої вартості області та п’яту частину загальнодержавного обсягу реалізованої промислової продукції.</w:t>
      </w:r>
    </w:p>
    <w:p w:rsidR="00215D0E" w:rsidRPr="00665175" w:rsidRDefault="00215D0E" w:rsidP="00215D0E">
      <w:pPr>
        <w:pStyle w:val="aff2"/>
        <w:keepNext/>
        <w:widowControl w:val="0"/>
        <w:ind w:left="0" w:firstLine="720"/>
        <w:jc w:val="both"/>
        <w:rPr>
          <w:spacing w:val="-8"/>
          <w:lang w:val="uk-UA"/>
        </w:rPr>
      </w:pPr>
      <w:r w:rsidRPr="00665175">
        <w:rPr>
          <w:spacing w:val="-8"/>
          <w:lang w:val="uk-UA"/>
        </w:rPr>
        <w:t>Динаміка промислового виробництва регіону в значній мірі залежить від роботи металургійної галузі, частка якої в структурі промисловості становить 35% (у 2011 році – 43%).</w:t>
      </w:r>
    </w:p>
    <w:p w:rsidR="00215D0E" w:rsidRPr="00F7290F" w:rsidRDefault="00215D0E" w:rsidP="00215D0E">
      <w:pPr>
        <w:pStyle w:val="aff2"/>
        <w:keepNext/>
        <w:widowControl w:val="0"/>
        <w:spacing w:after="0"/>
        <w:ind w:right="-2" w:firstLine="437"/>
        <w:rPr>
          <w:lang w:val="uk-UA"/>
        </w:rPr>
      </w:pPr>
      <w:r w:rsidRPr="00F7290F">
        <w:rPr>
          <w:b/>
          <w:lang w:val="uk-UA"/>
        </w:rPr>
        <w:t>Основні проблеми</w:t>
      </w:r>
      <w:r w:rsidRPr="00F7290F">
        <w:rPr>
          <w:lang w:val="uk-UA"/>
        </w:rPr>
        <w:t>:</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висока залежність металургійної галузі від кон’юнктури зовнішніх ринків;</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недостатній розвиток внутрішнього ринку металоспоживання в регіоні та Україні;</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високий фізичний і моральний знос основних виробничих фондів (від 60% до 80%);</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неефективне використання паливно-енергетичних ресурсів;</w:t>
      </w:r>
    </w:p>
    <w:p w:rsidR="00215D0E" w:rsidRPr="00F7290F" w:rsidRDefault="00215D0E" w:rsidP="00215D0E">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значна частка продукції з низькою доданою вартістю у структурі виробництва металопродукції, низька</w:t>
      </w:r>
      <w:r w:rsidRPr="00F7290F">
        <w:rPr>
          <w:lang w:val="uk-UA"/>
        </w:rPr>
        <w:t xml:space="preserve"> інтелектуальна складова машинобудівної продукції.</w:t>
      </w:r>
    </w:p>
    <w:p w:rsidR="00215D0E" w:rsidRPr="00F7290F" w:rsidRDefault="00215D0E" w:rsidP="00215D0E">
      <w:pPr>
        <w:pStyle w:val="aff2"/>
        <w:keepNext/>
        <w:widowControl w:val="0"/>
        <w:spacing w:before="120"/>
        <w:ind w:left="284" w:firstLine="437"/>
        <w:jc w:val="both"/>
        <w:rPr>
          <w:lang w:val="uk-UA"/>
        </w:rPr>
      </w:pPr>
      <w:r w:rsidRPr="00F7290F">
        <w:rPr>
          <w:b/>
          <w:lang w:val="uk-UA"/>
        </w:rPr>
        <w:t xml:space="preserve">Головна  мета </w:t>
      </w:r>
      <w:r w:rsidRPr="00F7290F">
        <w:rPr>
          <w:lang w:val="uk-UA"/>
        </w:rPr>
        <w:t>– відновлення економічного зростання по всіх видах промислової діяльності, поліпшення фінансового стану підприємств, зміцнення конкурентних позицій виробників на внутрішньому і зовнішніх ринках.</w:t>
      </w:r>
    </w:p>
    <w:p w:rsidR="00215D0E" w:rsidRPr="00F7290F" w:rsidRDefault="00215D0E" w:rsidP="00215D0E">
      <w:pPr>
        <w:pStyle w:val="23"/>
        <w:keepNext/>
        <w:widowControl w:val="0"/>
        <w:spacing w:after="0"/>
        <w:ind w:firstLine="709"/>
        <w:rPr>
          <w:b/>
        </w:rPr>
      </w:pPr>
      <w:r w:rsidRPr="00F7290F">
        <w:rPr>
          <w:b/>
        </w:rPr>
        <w:t xml:space="preserve">Ризики: </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підвищення цін на природний газ та інші енергоносії;</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підвищення залізничних тарифів;</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інтенсивне нарощування металургійних потужностей у світі (особливо на традиційних ринках збуту української металопродукції);</w:t>
      </w:r>
    </w:p>
    <w:p w:rsidR="00215D0E" w:rsidRPr="00F7290F" w:rsidRDefault="00215D0E" w:rsidP="00215D0E">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 xml:space="preserve"> введення обмежень</w:t>
      </w:r>
      <w:r w:rsidRPr="00F7290F">
        <w:rPr>
          <w:lang w:val="uk-UA"/>
        </w:rPr>
        <w:t xml:space="preserve"> щодо постачання продукції з України.</w:t>
      </w:r>
    </w:p>
    <w:p w:rsidR="00215D0E" w:rsidRPr="00F7290F" w:rsidRDefault="00215D0E" w:rsidP="00215D0E">
      <w:pPr>
        <w:pStyle w:val="23"/>
        <w:keepNext/>
        <w:widowControl w:val="0"/>
        <w:spacing w:before="120" w:after="0"/>
        <w:ind w:firstLine="709"/>
      </w:pPr>
      <w:r w:rsidRPr="00F7290F">
        <w:rPr>
          <w:b/>
          <w:bCs/>
        </w:rPr>
        <w:lastRenderedPageBreak/>
        <w:t xml:space="preserve">Основні завдання: </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продовження технічного переозброєння та реконструкції виробництв з  впровадженням енергоефективних та ресурсозберігаючих технологій;</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створення машин та обладнання нового покоління за рахунок реалізації інноваційних та інвестиційних проектів;</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впровадження  імпортозамінних високотехнологічних виробництв;</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збільшення у структурі виробництва металопродукції частки готової продукції з високим ступенем обробки;</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підвищення якості та конкурентоспроможності продукції;</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сертифікація систем управління якістю і систем управління виробництвом на відповідність міжнародним стандартам;</w:t>
      </w:r>
    </w:p>
    <w:p w:rsidR="00215D0E" w:rsidRPr="00F7290F" w:rsidRDefault="00215D0E" w:rsidP="00215D0E">
      <w:pPr>
        <w:keepNext/>
        <w:widowControl w:val="0"/>
        <w:numPr>
          <w:ilvl w:val="0"/>
          <w:numId w:val="9"/>
        </w:numPr>
        <w:tabs>
          <w:tab w:val="num" w:pos="0"/>
          <w:tab w:val="num" w:pos="720"/>
          <w:tab w:val="num" w:pos="900"/>
          <w:tab w:val="num" w:pos="1260"/>
        </w:tabs>
        <w:spacing w:after="120"/>
        <w:ind w:left="0" w:firstLine="720"/>
        <w:jc w:val="both"/>
        <w:rPr>
          <w:spacing w:val="-4"/>
          <w:lang w:val="uk-UA"/>
        </w:rPr>
      </w:pPr>
      <w:r w:rsidRPr="00F7290F">
        <w:rPr>
          <w:bCs/>
          <w:lang w:val="uk-UA"/>
        </w:rPr>
        <w:t>пошук нових перспективних</w:t>
      </w:r>
      <w:r w:rsidRPr="00F7290F">
        <w:rPr>
          <w:bCs/>
          <w:snapToGrid w:val="0"/>
          <w:lang w:val="uk-UA"/>
        </w:rPr>
        <w:t xml:space="preserve"> ринків збуту і споживачів.</w:t>
      </w:r>
    </w:p>
    <w:p w:rsidR="00215D0E" w:rsidRPr="00F7290F" w:rsidRDefault="00215D0E" w:rsidP="00215D0E">
      <w:pPr>
        <w:keepNext/>
        <w:widowControl w:val="0"/>
        <w:tabs>
          <w:tab w:val="left" w:pos="399"/>
          <w:tab w:val="left" w:pos="851"/>
          <w:tab w:val="left" w:pos="9639"/>
        </w:tabs>
        <w:ind w:firstLine="709"/>
        <w:jc w:val="both"/>
        <w:rPr>
          <w:lang w:val="uk-UA"/>
        </w:rPr>
      </w:pPr>
      <w:r w:rsidRPr="00F7290F">
        <w:rPr>
          <w:b/>
          <w:bCs/>
          <w:noProof/>
          <w:lang w:val="uk-UA"/>
        </w:rPr>
        <w:t>Критерії досягнення:</w:t>
      </w:r>
      <w:r w:rsidRPr="00F7290F">
        <w:rPr>
          <w:lang w:val="uk-UA"/>
        </w:rPr>
        <w:t xml:space="preserve"> </w:t>
      </w:r>
    </w:p>
    <w:p w:rsidR="00215D0E" w:rsidRPr="00F7290F" w:rsidRDefault="00215D0E" w:rsidP="00215D0E">
      <w:pPr>
        <w:keepNext/>
        <w:widowControl w:val="0"/>
        <w:numPr>
          <w:ilvl w:val="0"/>
          <w:numId w:val="9"/>
        </w:numPr>
        <w:tabs>
          <w:tab w:val="num" w:pos="0"/>
          <w:tab w:val="num" w:pos="720"/>
          <w:tab w:val="num" w:pos="900"/>
          <w:tab w:val="num" w:pos="1260"/>
        </w:tabs>
        <w:spacing w:after="120"/>
        <w:ind w:left="0" w:firstLine="720"/>
        <w:jc w:val="both"/>
        <w:rPr>
          <w:b/>
          <w:lang w:val="uk-UA"/>
        </w:rPr>
      </w:pPr>
      <w:r w:rsidRPr="00F7290F">
        <w:rPr>
          <w:lang w:val="uk-UA"/>
        </w:rPr>
        <w:t>збільшення обсягу промислового виробництва у порівнянних цінах  на 2,7%, у тому числі в металургії – на 2,2%, виробництві коксу – на 1,6%, машинобудуванні – на 2,0%, в хімічній промисловості – на 2,5%, в легкій промисловості – на 1,0%;</w:t>
      </w:r>
    </w:p>
    <w:p w:rsidR="00E546AD" w:rsidRPr="00F7290F" w:rsidRDefault="00E546AD" w:rsidP="00D65D2E">
      <w:pPr>
        <w:pStyle w:val="23"/>
        <w:keepNext/>
        <w:widowControl w:val="0"/>
        <w:tabs>
          <w:tab w:val="num" w:pos="1083"/>
        </w:tabs>
        <w:spacing w:after="80"/>
        <w:ind w:firstLine="0"/>
        <w:jc w:val="center"/>
        <w:rPr>
          <w:b/>
          <w:color w:val="000000" w:themeColor="text1"/>
        </w:rPr>
      </w:pPr>
      <w:r w:rsidRPr="00F7290F">
        <w:rPr>
          <w:b/>
          <w:color w:val="000000" w:themeColor="text1"/>
        </w:rPr>
        <w:t>Динаміка розвитку промисловості</w:t>
      </w:r>
    </w:p>
    <w:p w:rsidR="007518B4" w:rsidRPr="00F7290F" w:rsidRDefault="007518B4" w:rsidP="00D65D2E">
      <w:pPr>
        <w:pStyle w:val="23"/>
        <w:keepNext/>
        <w:widowControl w:val="0"/>
        <w:tabs>
          <w:tab w:val="num" w:pos="1083"/>
        </w:tabs>
        <w:spacing w:after="80"/>
        <w:ind w:firstLine="0"/>
        <w:jc w:val="center"/>
        <w:rPr>
          <w:b/>
          <w:color w:val="FF0000"/>
        </w:rPr>
      </w:pPr>
      <w:r w:rsidRPr="00F7290F">
        <w:rPr>
          <w:b/>
          <w:noProof/>
          <w:color w:val="FF0000"/>
          <w:lang w:val="ru-RU"/>
        </w:rPr>
        <w:drawing>
          <wp:inline distT="0" distB="0" distL="0" distR="0">
            <wp:extent cx="5486400" cy="1754372"/>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45386" w:rsidRPr="00F7290F" w:rsidRDefault="00345386" w:rsidP="00345386">
      <w:pPr>
        <w:keepNext/>
        <w:widowControl w:val="0"/>
        <w:numPr>
          <w:ilvl w:val="0"/>
          <w:numId w:val="9"/>
        </w:numPr>
        <w:tabs>
          <w:tab w:val="num" w:pos="0"/>
          <w:tab w:val="num" w:pos="720"/>
          <w:tab w:val="num" w:pos="900"/>
          <w:tab w:val="num" w:pos="1080"/>
          <w:tab w:val="num" w:pos="1260"/>
        </w:tabs>
        <w:spacing w:after="120"/>
        <w:ind w:left="0" w:firstLine="720"/>
        <w:jc w:val="both"/>
        <w:rPr>
          <w:snapToGrid w:val="0"/>
          <w:lang w:val="uk-UA"/>
        </w:rPr>
      </w:pPr>
      <w:r w:rsidRPr="00F7290F">
        <w:rPr>
          <w:snapToGrid w:val="0"/>
          <w:lang w:val="uk-UA"/>
        </w:rPr>
        <w:t>зростання виробництва чавуну  на 1,1%, сталі на – 3,1%, готового прокату чорних металів – на 2,5%, труб металевих – на 9,8%, коксу – на 1,6%, аміаку синтетичного – на 4,0%, мінеральних добрив – на 1,0%.</w:t>
      </w:r>
    </w:p>
    <w:p w:rsidR="00E546AD" w:rsidRPr="00F7290F" w:rsidRDefault="00E546AD" w:rsidP="00973C70">
      <w:pPr>
        <w:keepNext/>
        <w:widowControl w:val="0"/>
        <w:tabs>
          <w:tab w:val="left" w:pos="399"/>
          <w:tab w:val="left" w:pos="851"/>
          <w:tab w:val="left" w:pos="9639"/>
        </w:tabs>
        <w:spacing w:before="120" w:after="120"/>
        <w:jc w:val="center"/>
        <w:rPr>
          <w:b/>
          <w:color w:val="000000" w:themeColor="text1"/>
          <w:lang w:val="uk-UA"/>
        </w:rPr>
      </w:pPr>
      <w:r w:rsidRPr="00F7290F">
        <w:rPr>
          <w:b/>
          <w:color w:val="000000" w:themeColor="text1"/>
          <w:lang w:val="uk-UA"/>
        </w:rPr>
        <w:t>Динаміка виробництва основних видів металургійної продукції, млн.т</w:t>
      </w:r>
    </w:p>
    <w:p w:rsidR="00E546AD" w:rsidRPr="00F7290F" w:rsidRDefault="00E546AD" w:rsidP="00973C70">
      <w:pPr>
        <w:keepNext/>
        <w:widowControl w:val="0"/>
        <w:spacing w:before="120" w:after="120"/>
        <w:jc w:val="center"/>
        <w:rPr>
          <w:b/>
          <w:snapToGrid w:val="0"/>
          <w:color w:val="FF0000"/>
          <w:lang w:val="uk-UA"/>
        </w:rPr>
      </w:pPr>
      <w:r w:rsidRPr="00F7290F">
        <w:rPr>
          <w:noProof/>
          <w:color w:val="FF0000"/>
        </w:rPr>
        <w:drawing>
          <wp:inline distT="0" distB="0" distL="0" distR="0">
            <wp:extent cx="6039293" cy="2286000"/>
            <wp:effectExtent l="19050" t="0" r="0" b="0"/>
            <wp:docPr id="1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973C70" w:rsidRPr="00F7290F" w:rsidRDefault="00973C70" w:rsidP="00973C70">
      <w:pPr>
        <w:keepNext/>
        <w:widowControl w:val="0"/>
        <w:spacing w:after="120"/>
        <w:ind w:firstLine="709"/>
        <w:jc w:val="both"/>
        <w:rPr>
          <w:lang w:val="uk-UA"/>
        </w:rPr>
      </w:pPr>
      <w:r w:rsidRPr="00F7290F">
        <w:rPr>
          <w:lang w:val="uk-UA"/>
        </w:rPr>
        <w:t>В</w:t>
      </w:r>
      <w:r w:rsidRPr="00F7290F">
        <w:rPr>
          <w:i/>
          <w:lang w:val="uk-UA"/>
        </w:rPr>
        <w:t xml:space="preserve"> металургійній  промисловості</w:t>
      </w:r>
      <w:r w:rsidRPr="00F7290F">
        <w:rPr>
          <w:lang w:val="uk-UA"/>
        </w:rPr>
        <w:t xml:space="preserve"> передбачається завершення будівництва електросталеплавильної печі, кисневого блоку та реконструкції відділення компресії у ПрАТ «Донецьксталь» -  металургійний завод», будівництва резервної турбоповітродувки для доменних печей у ПАТ «Єнакієвський металургійний завод», технічного переоснащення печі </w:t>
      </w:r>
      <w:r w:rsidRPr="00F7290F">
        <w:rPr>
          <w:lang w:val="uk-UA"/>
        </w:rPr>
        <w:lastRenderedPageBreak/>
        <w:t>№1 прокатного стану 2300 у ПАТ «Донецький металургійний завод».</w:t>
      </w:r>
    </w:p>
    <w:p w:rsidR="00973C70" w:rsidRPr="00F7290F" w:rsidRDefault="00973C70" w:rsidP="00973C70">
      <w:pPr>
        <w:keepNext/>
        <w:widowControl w:val="0"/>
        <w:spacing w:after="120"/>
        <w:ind w:firstLine="709"/>
        <w:jc w:val="both"/>
        <w:rPr>
          <w:lang w:val="uk-UA"/>
        </w:rPr>
      </w:pPr>
      <w:r w:rsidRPr="00F7290F">
        <w:rPr>
          <w:lang w:val="uk-UA"/>
        </w:rPr>
        <w:t xml:space="preserve">З метою економії енергоресурсів планується введення до експлуатації установки вдування пиловугільного палива у горн доменних печей у ПАТ «Маріупольський металургійний комбінат ім.Ілліча», продовжаться роботи з будівництва аналогічної установки у ПАТ «Єнакієвський металургійний завод». </w:t>
      </w:r>
    </w:p>
    <w:p w:rsidR="00973C70" w:rsidRPr="00F7290F" w:rsidRDefault="00973C70" w:rsidP="00973C70">
      <w:pPr>
        <w:keepNext/>
        <w:widowControl w:val="0"/>
        <w:spacing w:after="120"/>
        <w:ind w:firstLine="709"/>
        <w:jc w:val="both"/>
        <w:rPr>
          <w:bCs/>
          <w:lang w:val="uk-UA"/>
        </w:rPr>
      </w:pPr>
      <w:r w:rsidRPr="00F7290F">
        <w:rPr>
          <w:bCs/>
          <w:i/>
          <w:lang w:val="uk-UA"/>
        </w:rPr>
        <w:t>На коксохімічних підприємствах</w:t>
      </w:r>
      <w:r w:rsidRPr="00F7290F">
        <w:rPr>
          <w:bCs/>
          <w:lang w:val="uk-UA"/>
        </w:rPr>
        <w:t xml:space="preserve"> впроваджуватимуться заходи щодо збільшення виробництва продукції (будівництво комплексу коксової батареї №4 у ПАТ «Ясинівський коксохімічний завод») та зменшення техногенного навантаження на довкілля (ПрАТ «Макіївкокс», ПрАТ «Єнакієвський коксохімпром»). </w:t>
      </w:r>
    </w:p>
    <w:p w:rsidR="00973C70" w:rsidRPr="00F7290F" w:rsidRDefault="00973C70" w:rsidP="00973C70">
      <w:pPr>
        <w:keepNext/>
        <w:widowControl w:val="0"/>
        <w:spacing w:after="120"/>
        <w:ind w:firstLine="709"/>
        <w:jc w:val="both"/>
        <w:rPr>
          <w:lang w:val="uk-UA"/>
        </w:rPr>
      </w:pPr>
      <w:r w:rsidRPr="00F7290F">
        <w:rPr>
          <w:bCs/>
          <w:lang w:val="uk-UA"/>
        </w:rPr>
        <w:t>В</w:t>
      </w:r>
      <w:r w:rsidRPr="00F7290F">
        <w:rPr>
          <w:bCs/>
          <w:i/>
          <w:lang w:val="uk-UA"/>
        </w:rPr>
        <w:t xml:space="preserve"> машинобудуванні</w:t>
      </w:r>
      <w:r w:rsidRPr="00F7290F">
        <w:rPr>
          <w:bCs/>
          <w:lang w:val="uk-UA"/>
        </w:rPr>
        <w:t xml:space="preserve"> </w:t>
      </w:r>
      <w:r w:rsidRPr="00F7290F">
        <w:rPr>
          <w:lang w:val="uk-UA"/>
        </w:rPr>
        <w:t>передбачається продовження реконструкції електросталеплавиль</w:t>
      </w:r>
      <w:r w:rsidRPr="00F7290F">
        <w:rPr>
          <w:lang w:val="uk-UA"/>
        </w:rPr>
        <w:softHyphen/>
        <w:t>ного цеха у ПАТ «Енергомашспецсталь», будівництво термічної печі №23 і №31 у ПАТ «Новокраматорський машзавод», впровадження новітніх технологій у ПАТ «Краматорський завод важкого верстатобудування», ПАТ «Старокраматорський машзавод», ПАТ «Словваж</w:t>
      </w:r>
      <w:r w:rsidRPr="00F7290F">
        <w:rPr>
          <w:lang w:val="uk-UA"/>
        </w:rPr>
        <w:softHyphen/>
        <w:t xml:space="preserve">маш», ПАТ «Грета». </w:t>
      </w:r>
    </w:p>
    <w:p w:rsidR="00973C70" w:rsidRPr="00F7290F" w:rsidRDefault="00973C70" w:rsidP="00973C70">
      <w:pPr>
        <w:keepNext/>
        <w:widowControl w:val="0"/>
        <w:spacing w:after="120"/>
        <w:ind w:firstLine="709"/>
        <w:jc w:val="both"/>
        <w:rPr>
          <w:lang w:val="uk-UA"/>
        </w:rPr>
      </w:pPr>
      <w:r w:rsidRPr="00F7290F">
        <w:rPr>
          <w:lang w:val="uk-UA"/>
        </w:rPr>
        <w:t xml:space="preserve">На підприємствах галузі продовжиться освоєння  випуску нових видів продукції (ПАТ «Краматорський завод важкого верстатобудування», ПрАТ «ТЕТЗ-Інвест» та ін.). </w:t>
      </w:r>
    </w:p>
    <w:p w:rsidR="00973C70" w:rsidRPr="00F7290F" w:rsidRDefault="00973C70" w:rsidP="00973C70">
      <w:pPr>
        <w:keepNext/>
        <w:widowControl w:val="0"/>
        <w:spacing w:after="120"/>
        <w:ind w:firstLine="709"/>
        <w:jc w:val="both"/>
        <w:rPr>
          <w:bCs/>
          <w:noProof/>
          <w:lang w:val="uk-UA"/>
        </w:rPr>
      </w:pPr>
      <w:r w:rsidRPr="00F7290F">
        <w:rPr>
          <w:bCs/>
          <w:noProof/>
          <w:lang w:val="uk-UA"/>
        </w:rPr>
        <w:t>В</w:t>
      </w:r>
      <w:r w:rsidRPr="00F7290F">
        <w:rPr>
          <w:b/>
          <w:bCs/>
          <w:i/>
          <w:noProof/>
          <w:lang w:val="uk-UA"/>
        </w:rPr>
        <w:t xml:space="preserve"> </w:t>
      </w:r>
      <w:r w:rsidRPr="00F7290F">
        <w:rPr>
          <w:bCs/>
          <w:i/>
          <w:noProof/>
          <w:lang w:val="uk-UA"/>
        </w:rPr>
        <w:t>легкій промисловості</w:t>
      </w:r>
      <w:r w:rsidRPr="00F7290F">
        <w:rPr>
          <w:bCs/>
          <w:noProof/>
          <w:lang w:val="uk-UA"/>
        </w:rPr>
        <w:t xml:space="preserve"> передбачається модернізація виробництв у ПРАТ «Золоте Руно-Донецьк», ПАТ «Швея» (м.Краматорськ), придбання та впровадження в експлуатацію устаткування для пошиття модельного взуття у ВП «Аспект» (м.Макіївка).</w:t>
      </w:r>
    </w:p>
    <w:p w:rsidR="00973C70" w:rsidRPr="00F7290F" w:rsidRDefault="00973C70" w:rsidP="00973C70">
      <w:pPr>
        <w:keepNext/>
        <w:widowControl w:val="0"/>
        <w:spacing w:before="120"/>
        <w:ind w:firstLine="709"/>
        <w:jc w:val="both"/>
        <w:rPr>
          <w:b/>
          <w:snapToGrid w:val="0"/>
          <w:lang w:val="uk-UA"/>
        </w:rPr>
      </w:pPr>
      <w:r w:rsidRPr="00F7290F">
        <w:rPr>
          <w:b/>
          <w:snapToGrid w:val="0"/>
          <w:lang w:val="uk-UA"/>
        </w:rPr>
        <w:t>Ресурсне забезпечення</w:t>
      </w:r>
    </w:p>
    <w:p w:rsidR="00973C70" w:rsidRPr="00F7290F" w:rsidRDefault="00973C70" w:rsidP="00973C70">
      <w:pPr>
        <w:keepNext/>
        <w:widowControl w:val="0"/>
        <w:tabs>
          <w:tab w:val="left" w:pos="399"/>
          <w:tab w:val="left" w:pos="851"/>
          <w:tab w:val="left" w:pos="9639"/>
        </w:tabs>
        <w:spacing w:after="120"/>
        <w:ind w:firstLine="709"/>
        <w:jc w:val="both"/>
        <w:rPr>
          <w:lang w:val="uk-UA"/>
        </w:rPr>
      </w:pPr>
      <w:r w:rsidRPr="00F7290F">
        <w:rPr>
          <w:lang w:val="uk-UA"/>
        </w:rPr>
        <w:t>На фінансування заходів щодо розвитку металургійної і коксохімічної галузей планується спрямувати 2698,6 млн.грн., машинобудування – 256,2 млн.грн., легкої промисловості – 2,7 млн.грн. власних коштів підприємств.</w:t>
      </w:r>
    </w:p>
    <w:p w:rsidR="004F4108" w:rsidRPr="00F7290F" w:rsidRDefault="004F4108" w:rsidP="004F4108">
      <w:pPr>
        <w:keepNext/>
        <w:widowControl w:val="0"/>
        <w:tabs>
          <w:tab w:val="left" w:pos="959"/>
        </w:tabs>
        <w:spacing w:after="120"/>
        <w:ind w:left="108"/>
        <w:jc w:val="center"/>
        <w:rPr>
          <w:b/>
          <w:bCs/>
          <w:lang w:val="uk-UA" w:eastAsia="en-US"/>
        </w:rPr>
      </w:pPr>
      <w:r w:rsidRPr="00F7290F">
        <w:rPr>
          <w:b/>
          <w:lang w:val="uk-UA"/>
        </w:rPr>
        <w:t xml:space="preserve">5.3. </w:t>
      </w:r>
      <w:hyperlink w:anchor="_Toc130175752" w:history="1">
        <w:r w:rsidRPr="00F7290F">
          <w:rPr>
            <w:rStyle w:val="af4"/>
            <w:b/>
            <w:color w:val="auto"/>
            <w:u w:val="none"/>
            <w:lang w:val="uk-UA"/>
          </w:rPr>
          <w:t>Агропромисловий комплекс</w:t>
        </w:r>
      </w:hyperlink>
    </w:p>
    <w:p w:rsidR="004F4108" w:rsidRPr="00F7290F" w:rsidRDefault="004F4108" w:rsidP="004F4108">
      <w:pPr>
        <w:keepNext/>
        <w:widowControl w:val="0"/>
        <w:tabs>
          <w:tab w:val="num" w:pos="0"/>
        </w:tabs>
        <w:spacing w:after="120"/>
        <w:ind w:firstLine="720"/>
        <w:jc w:val="both"/>
        <w:rPr>
          <w:lang w:val="uk-UA"/>
        </w:rPr>
      </w:pPr>
      <w:r w:rsidRPr="00F7290F">
        <w:rPr>
          <w:b/>
          <w:lang w:val="uk-UA"/>
        </w:rPr>
        <w:t>Основним завданням</w:t>
      </w:r>
      <w:r w:rsidRPr="00F7290F">
        <w:rPr>
          <w:lang w:val="uk-UA"/>
        </w:rPr>
        <w:t xml:space="preserve"> аграрної політики є підвищення ефективності та конкурентоспроможності агропромислового виробництва, забезпечення потреб населення в продовольстві, створення сприятливих умов для життя і праці на селі.</w:t>
      </w:r>
    </w:p>
    <w:p w:rsidR="004F4108" w:rsidRPr="00F7290F" w:rsidRDefault="004F4108" w:rsidP="004F4108">
      <w:pPr>
        <w:keepNext/>
        <w:widowControl w:val="0"/>
        <w:tabs>
          <w:tab w:val="num" w:pos="0"/>
        </w:tabs>
        <w:spacing w:after="120"/>
        <w:jc w:val="center"/>
        <w:rPr>
          <w:b/>
          <w:lang w:val="uk-UA"/>
        </w:rPr>
      </w:pPr>
      <w:r w:rsidRPr="00F7290F">
        <w:rPr>
          <w:b/>
          <w:lang w:val="uk-UA"/>
        </w:rPr>
        <w:t>5.3.1. Сільське господарство</w:t>
      </w:r>
    </w:p>
    <w:p w:rsidR="004F4108" w:rsidRPr="00F7290F" w:rsidRDefault="004F4108" w:rsidP="004F4108">
      <w:pPr>
        <w:pStyle w:val="aff2"/>
        <w:keepNext/>
        <w:widowControl w:val="0"/>
        <w:tabs>
          <w:tab w:val="left" w:pos="567"/>
        </w:tabs>
        <w:autoSpaceDE w:val="0"/>
        <w:spacing w:before="120" w:after="0"/>
        <w:ind w:left="0" w:firstLine="567"/>
        <w:jc w:val="both"/>
        <w:rPr>
          <w:b/>
          <w:lang w:val="uk-UA"/>
        </w:rPr>
      </w:pPr>
      <w:r w:rsidRPr="00F7290F">
        <w:rPr>
          <w:b/>
          <w:lang w:val="uk-UA"/>
        </w:rPr>
        <w:t xml:space="preserve">Актуальні проблеми: </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нераціональне використання земель сільськогосподарського призначення, зниження родючості земель внаслідок недостатніх природоохоронних, меліоративних та агротехнічних заходів в землекористуванні;</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стійке скорочення поголів’я великої рогатої худоби, в тому числі корів;</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недостатність інвестицій та інновацій, фізичне і технологічне старіння основних фондів;</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нестабільна цінова політика та відсутність ефективного фінансово-економічного механізму державної підтримки аграрного виробництва;</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зростання безробіття в сільській місцевості;</w:t>
      </w:r>
    </w:p>
    <w:p w:rsidR="004F4108" w:rsidRPr="00F7290F" w:rsidRDefault="004F4108" w:rsidP="004F4108">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руйнація соціальної сфери</w:t>
      </w:r>
      <w:r w:rsidRPr="00F7290F">
        <w:rPr>
          <w:lang w:val="uk-UA"/>
        </w:rPr>
        <w:t xml:space="preserve"> на селі, відсутність фінансування на її утримання та розвиток.</w:t>
      </w:r>
    </w:p>
    <w:p w:rsidR="004F4108" w:rsidRPr="00F7290F" w:rsidRDefault="004F4108" w:rsidP="004F4108">
      <w:pPr>
        <w:pStyle w:val="aff2"/>
        <w:keepNext/>
        <w:widowControl w:val="0"/>
        <w:tabs>
          <w:tab w:val="left" w:pos="567"/>
        </w:tabs>
        <w:spacing w:before="120" w:after="0"/>
        <w:ind w:left="0" w:firstLine="709"/>
        <w:jc w:val="both"/>
        <w:rPr>
          <w:lang w:val="uk-UA"/>
        </w:rPr>
      </w:pPr>
      <w:r w:rsidRPr="00F7290F">
        <w:rPr>
          <w:b/>
          <w:lang w:val="uk-UA"/>
        </w:rPr>
        <w:t xml:space="preserve">Головна мета </w:t>
      </w:r>
      <w:r w:rsidRPr="00F7290F">
        <w:rPr>
          <w:lang w:val="uk-UA"/>
        </w:rPr>
        <w:t xml:space="preserve">- збереження та відтворення ресурсного потенціалу, збільшення виробництва конкурентоспроможної сільськогосподарської продукції, подальший розвиток інфраструктури аграрного ринку. </w:t>
      </w:r>
    </w:p>
    <w:p w:rsidR="004F4108" w:rsidRPr="00F7290F" w:rsidRDefault="004F4108" w:rsidP="004F4108">
      <w:pPr>
        <w:keepNext/>
        <w:widowControl w:val="0"/>
        <w:ind w:firstLine="720"/>
        <w:jc w:val="both"/>
        <w:rPr>
          <w:b/>
          <w:lang w:val="uk-UA"/>
        </w:rPr>
      </w:pPr>
      <w:r w:rsidRPr="00F7290F">
        <w:rPr>
          <w:b/>
          <w:lang w:val="uk-UA"/>
        </w:rPr>
        <w:t>Ризики:</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вплив природно-кліматичних умов на результати сільськогосподарського виробництва;</w:t>
      </w:r>
    </w:p>
    <w:p w:rsidR="004F4108" w:rsidRPr="00F7290F" w:rsidRDefault="004F4108" w:rsidP="004F4108">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нестабільність цін на</w:t>
      </w:r>
      <w:r w:rsidRPr="00F7290F">
        <w:rPr>
          <w:lang w:val="uk-UA"/>
        </w:rPr>
        <w:t xml:space="preserve"> продукцію сільського господарства.</w:t>
      </w:r>
    </w:p>
    <w:p w:rsidR="004F4108" w:rsidRPr="00F7290F" w:rsidRDefault="004F4108" w:rsidP="004F4108">
      <w:pPr>
        <w:pStyle w:val="aff2"/>
        <w:keepNext/>
        <w:widowControl w:val="0"/>
        <w:tabs>
          <w:tab w:val="left" w:pos="567"/>
        </w:tabs>
        <w:autoSpaceDE w:val="0"/>
        <w:spacing w:before="120" w:after="0"/>
        <w:ind w:left="0" w:firstLine="567"/>
        <w:jc w:val="both"/>
        <w:rPr>
          <w:b/>
          <w:lang w:val="uk-UA"/>
        </w:rPr>
      </w:pPr>
      <w:r w:rsidRPr="00F7290F">
        <w:rPr>
          <w:lang w:val="uk-UA"/>
        </w:rPr>
        <w:lastRenderedPageBreak/>
        <w:t xml:space="preserve"> </w:t>
      </w:r>
      <w:r w:rsidRPr="00F7290F">
        <w:rPr>
          <w:b/>
          <w:lang w:val="uk-UA"/>
        </w:rPr>
        <w:t>Основні завдання:</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удосконалення структури посівних площ та впровадження у виробництво елементів науково - обґрунтованої системи землеробства, впровадження передової техніки та технологій вирощування сільськогосподарських культур;</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відновлення, реконструкція, модернізація меліорованих об’єктів і систем, подальше застосування систем крапельного зрошення; </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створення та впровадження високоефективних сортів та гібридів сільськогосподарських культур, нових високопродуктивних порід тварин;</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будівництво нових і реконструкція існуючих тваринницьких комплексів, придбання сучасних машин та обладнання для тваринництва;</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 підвищення продуктивності худоби та птиці на основі зміцнення кормової бази та поліпшення якісного складу поголів’я;</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сприяння подальшому розвитку великотоварного виробництва на інтеграційній основі;</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подальше оновлення машинно-тракторного парку;</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формування та удосконалення функціонування інфраструктури аграрного ринку; </w:t>
      </w:r>
    </w:p>
    <w:p w:rsidR="004F4108" w:rsidRPr="00F7290F" w:rsidRDefault="004F4108" w:rsidP="004F4108">
      <w:pPr>
        <w:keepNext/>
        <w:widowControl w:val="0"/>
        <w:numPr>
          <w:ilvl w:val="0"/>
          <w:numId w:val="9"/>
        </w:numPr>
        <w:tabs>
          <w:tab w:val="num" w:pos="0"/>
          <w:tab w:val="num" w:pos="720"/>
          <w:tab w:val="num" w:pos="900"/>
          <w:tab w:val="num" w:pos="1260"/>
        </w:tabs>
        <w:spacing w:after="120"/>
        <w:ind w:left="0" w:firstLine="720"/>
        <w:jc w:val="both"/>
        <w:rPr>
          <w:bCs/>
          <w:lang w:val="uk-UA"/>
        </w:rPr>
      </w:pPr>
      <w:r w:rsidRPr="00F7290F">
        <w:rPr>
          <w:bCs/>
          <w:lang w:val="uk-UA"/>
        </w:rPr>
        <w:t>підвищення рівня життя сільського населення, зростання ефективності зайнятості селян.</w:t>
      </w:r>
    </w:p>
    <w:p w:rsidR="004F4108" w:rsidRPr="00F7290F" w:rsidRDefault="004F4108" w:rsidP="004F4108">
      <w:pPr>
        <w:pStyle w:val="aff2"/>
        <w:keepNext/>
        <w:widowControl w:val="0"/>
        <w:tabs>
          <w:tab w:val="left" w:pos="567"/>
        </w:tabs>
        <w:spacing w:before="120" w:after="0"/>
        <w:ind w:left="0" w:firstLine="709"/>
        <w:jc w:val="both"/>
        <w:rPr>
          <w:b/>
          <w:lang w:val="uk-UA"/>
        </w:rPr>
      </w:pPr>
      <w:r w:rsidRPr="00F7290F">
        <w:rPr>
          <w:b/>
          <w:lang w:val="uk-UA"/>
        </w:rPr>
        <w:t>Критерії досягнення:</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lang w:val="uk-UA"/>
        </w:rPr>
      </w:pPr>
      <w:r w:rsidRPr="00F7290F">
        <w:rPr>
          <w:lang w:val="uk-UA"/>
        </w:rPr>
        <w:t>виробництво валової продукції сільського господарства зросте на 7,4%;</w:t>
      </w:r>
    </w:p>
    <w:p w:rsidR="007518B4" w:rsidRPr="00F7290F" w:rsidRDefault="007518B4" w:rsidP="00D65D2E">
      <w:pPr>
        <w:pStyle w:val="23"/>
        <w:keepNext/>
        <w:widowControl w:val="0"/>
        <w:tabs>
          <w:tab w:val="num" w:pos="1080"/>
        </w:tabs>
        <w:spacing w:before="120" w:after="0"/>
        <w:ind w:firstLine="0"/>
        <w:jc w:val="center"/>
        <w:rPr>
          <w:b/>
        </w:rPr>
      </w:pPr>
      <w:r w:rsidRPr="00F7290F">
        <w:rPr>
          <w:b/>
        </w:rPr>
        <w:t xml:space="preserve">Валова продукція сільського господарства по всіх категоріях </w:t>
      </w:r>
    </w:p>
    <w:p w:rsidR="007518B4" w:rsidRPr="00F7290F" w:rsidRDefault="007518B4" w:rsidP="00D65D2E">
      <w:pPr>
        <w:pStyle w:val="23"/>
        <w:keepNext/>
        <w:widowControl w:val="0"/>
        <w:tabs>
          <w:tab w:val="num" w:pos="1080"/>
        </w:tabs>
        <w:ind w:firstLine="0"/>
        <w:jc w:val="center"/>
        <w:rPr>
          <w:b/>
        </w:rPr>
      </w:pPr>
      <w:r w:rsidRPr="00F7290F">
        <w:rPr>
          <w:b/>
        </w:rPr>
        <w:t>господарств в постійних цінах 2010 року, млн.грн.</w:t>
      </w:r>
    </w:p>
    <w:p w:rsidR="00F92894" w:rsidRPr="00F7290F" w:rsidRDefault="00F92894" w:rsidP="00D65D2E">
      <w:pPr>
        <w:pStyle w:val="23"/>
        <w:keepNext/>
        <w:widowControl w:val="0"/>
        <w:tabs>
          <w:tab w:val="num" w:pos="1080"/>
        </w:tabs>
        <w:spacing w:after="0"/>
        <w:ind w:firstLine="0"/>
        <w:jc w:val="center"/>
        <w:rPr>
          <w:b/>
          <w:color w:val="FF0000"/>
        </w:rPr>
      </w:pPr>
      <w:r w:rsidRPr="00F7290F">
        <w:rPr>
          <w:b/>
          <w:noProof/>
          <w:color w:val="FF0000"/>
          <w:lang w:val="ru-RU"/>
        </w:rPr>
        <w:drawing>
          <wp:inline distT="0" distB="0" distL="0" distR="0">
            <wp:extent cx="4352925" cy="1133475"/>
            <wp:effectExtent l="0" t="0" r="0" b="0"/>
            <wp:docPr id="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7518B4" w:rsidRPr="00F7290F" w:rsidRDefault="007518B4" w:rsidP="00D65D2E">
      <w:pPr>
        <w:pStyle w:val="23"/>
        <w:keepNext/>
        <w:widowControl w:val="0"/>
        <w:tabs>
          <w:tab w:val="num" w:pos="0"/>
        </w:tabs>
        <w:ind w:left="510" w:firstLine="0"/>
        <w:jc w:val="center"/>
        <w:rPr>
          <w:color w:val="FF0000"/>
          <w:sz w:val="2"/>
          <w:szCs w:val="2"/>
        </w:rPr>
      </w:pP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lang w:val="uk-UA"/>
        </w:rPr>
      </w:pPr>
      <w:r w:rsidRPr="00F7290F">
        <w:rPr>
          <w:lang w:val="uk-UA"/>
        </w:rPr>
        <w:t>збільшиться виробництво зернових культур на 33,9%, овочів – на 1,8%, врожайність зросте, відповідно, на 23,3% та 0,1%;</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lang w:val="uk-UA"/>
        </w:rPr>
      </w:pPr>
      <w:r w:rsidRPr="00F7290F">
        <w:rPr>
          <w:lang w:val="uk-UA"/>
        </w:rPr>
        <w:t xml:space="preserve">виробництво соняшника зменшиться на 21,7%, врожайність зросте на 8%; </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lang w:val="uk-UA"/>
        </w:rPr>
      </w:pPr>
      <w:r w:rsidRPr="00F7290F">
        <w:rPr>
          <w:lang w:val="uk-UA"/>
        </w:rPr>
        <w:t>збільшиться вирощування худоби та птиці на 8,3%, виробництво молока – на 6,6%,       яєць – на 3,7%. Продуктивність корів збільшиться на 8,2%, несучість однієї курки-несучки – на 2%. Відбудеться нарощування поголів’я худоби та птиці.</w:t>
      </w:r>
    </w:p>
    <w:p w:rsidR="004F4108" w:rsidRPr="00F7290F" w:rsidRDefault="004F4108" w:rsidP="005A1B63">
      <w:pPr>
        <w:pStyle w:val="23"/>
        <w:keepNext/>
        <w:widowControl w:val="0"/>
        <w:ind w:left="928" w:firstLine="0"/>
        <w:jc w:val="center"/>
        <w:rPr>
          <w:b/>
        </w:rPr>
      </w:pPr>
      <w:r w:rsidRPr="00F7290F">
        <w:rPr>
          <w:b/>
        </w:rPr>
        <w:t>Поголів'я худоби та птиці, тис.</w:t>
      </w:r>
      <w:r w:rsidRPr="00F7290F">
        <w:rPr>
          <w:b/>
          <w:noProof/>
        </w:rPr>
        <w:t xml:space="preserve"> </w:t>
      </w:r>
      <w:r w:rsidRPr="00F7290F">
        <w:rPr>
          <w:b/>
        </w:rPr>
        <w:t xml:space="preserve"> голів</w:t>
      </w:r>
    </w:p>
    <w:p w:rsidR="00783186" w:rsidRPr="00F7290F" w:rsidRDefault="00783186" w:rsidP="00D65D2E">
      <w:pPr>
        <w:pStyle w:val="23"/>
        <w:keepNext/>
        <w:widowControl w:val="0"/>
        <w:tabs>
          <w:tab w:val="num" w:pos="1080"/>
        </w:tabs>
        <w:jc w:val="center"/>
        <w:rPr>
          <w:b/>
          <w:color w:val="FF0000"/>
        </w:rPr>
      </w:pPr>
      <w:r w:rsidRPr="00F7290F">
        <w:rPr>
          <w:b/>
          <w:noProof/>
          <w:color w:val="FF0000"/>
          <w:lang w:val="ru-RU"/>
        </w:rPr>
        <w:drawing>
          <wp:inline distT="0" distB="0" distL="0" distR="0">
            <wp:extent cx="6134986" cy="1754372"/>
            <wp:effectExtent l="0" t="0" r="0" b="0"/>
            <wp:docPr id="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7518B4" w:rsidRPr="00F7290F" w:rsidRDefault="007518B4" w:rsidP="00D65D2E">
      <w:pPr>
        <w:pStyle w:val="aff2"/>
        <w:keepNext/>
        <w:widowControl w:val="0"/>
        <w:tabs>
          <w:tab w:val="left" w:pos="567"/>
        </w:tabs>
        <w:spacing w:before="120" w:after="0"/>
        <w:ind w:left="0" w:firstLine="709"/>
        <w:jc w:val="both"/>
        <w:rPr>
          <w:b/>
          <w:lang w:val="uk-UA"/>
        </w:rPr>
      </w:pPr>
      <w:r w:rsidRPr="00F7290F">
        <w:rPr>
          <w:b/>
          <w:lang w:val="uk-UA"/>
        </w:rPr>
        <w:t>Ресурсне забезпечення</w:t>
      </w:r>
    </w:p>
    <w:p w:rsidR="007518B4" w:rsidRPr="00F7290F" w:rsidRDefault="007518B4" w:rsidP="00D65D2E">
      <w:pPr>
        <w:pStyle w:val="23"/>
        <w:keepNext/>
        <w:widowControl w:val="0"/>
        <w:tabs>
          <w:tab w:val="num" w:pos="1080"/>
        </w:tabs>
      </w:pPr>
      <w:r w:rsidRPr="00F7290F">
        <w:t xml:space="preserve">Всього на фінансування заходів щодо розвитку сільського господарства передбачається спрямувати </w:t>
      </w:r>
      <w:r w:rsidR="00037E9C" w:rsidRPr="00F7290F">
        <w:t>1718,</w:t>
      </w:r>
      <w:r w:rsidR="00A927B2" w:rsidRPr="00F7290F">
        <w:t>5</w:t>
      </w:r>
      <w:r w:rsidRPr="00F7290F">
        <w:t xml:space="preserve"> млн.грн., в тому числі з державного бюджету – </w:t>
      </w:r>
      <w:r w:rsidR="00037E9C" w:rsidRPr="00F7290F">
        <w:t>53</w:t>
      </w:r>
      <w:r w:rsidR="00A927B2" w:rsidRPr="00F7290F">
        <w:t>4</w:t>
      </w:r>
      <w:r w:rsidR="00037E9C" w:rsidRPr="00F7290F">
        <w:t>,</w:t>
      </w:r>
      <w:r w:rsidR="00A927B2" w:rsidRPr="00F7290F">
        <w:t>6</w:t>
      </w:r>
      <w:r w:rsidR="00037E9C" w:rsidRPr="00F7290F">
        <w:t xml:space="preserve"> </w:t>
      </w:r>
      <w:r w:rsidRPr="00F7290F">
        <w:t xml:space="preserve">млн.грн., обласного – </w:t>
      </w:r>
      <w:r w:rsidR="00A927B2" w:rsidRPr="00F7290F">
        <w:t>0,3</w:t>
      </w:r>
      <w:r w:rsidRPr="00F7290F">
        <w:t xml:space="preserve"> млн.грн., бюджетів міст і районів – 8,</w:t>
      </w:r>
      <w:r w:rsidR="00A927B2" w:rsidRPr="00F7290F">
        <w:t>5</w:t>
      </w:r>
      <w:r w:rsidRPr="00F7290F">
        <w:t xml:space="preserve"> млн.грн., коштів </w:t>
      </w:r>
      <w:r w:rsidRPr="00F7290F">
        <w:lastRenderedPageBreak/>
        <w:t>підприємств – 107</w:t>
      </w:r>
      <w:r w:rsidR="00A50052" w:rsidRPr="00F7290F">
        <w:t>5</w:t>
      </w:r>
      <w:r w:rsidRPr="00F7290F">
        <w:t>,1 млн.грн., з інших джерел – 10</w:t>
      </w:r>
      <w:r w:rsidR="00A348F7" w:rsidRPr="00F7290F">
        <w:t>0,0</w:t>
      </w:r>
      <w:r w:rsidRPr="00F7290F">
        <w:t xml:space="preserve"> млн.грн. </w:t>
      </w:r>
    </w:p>
    <w:p w:rsidR="005A1B63" w:rsidRPr="00F7290F" w:rsidRDefault="005A1B63" w:rsidP="005A1B63">
      <w:pPr>
        <w:pStyle w:val="23"/>
        <w:keepNext/>
        <w:widowControl w:val="0"/>
        <w:tabs>
          <w:tab w:val="num" w:pos="1080"/>
        </w:tabs>
      </w:pPr>
      <w:r w:rsidRPr="00F7290F">
        <w:t>Реалізація Комплексної програми розвитку села та агропромислового комплексу в Донецькій області на 2010-2015 роки.</w:t>
      </w:r>
    </w:p>
    <w:p w:rsidR="005A1B63" w:rsidRPr="00F7290F" w:rsidRDefault="005A1B63" w:rsidP="005A1B63">
      <w:pPr>
        <w:keepNext/>
        <w:widowControl w:val="0"/>
        <w:tabs>
          <w:tab w:val="num" w:pos="0"/>
        </w:tabs>
        <w:spacing w:after="120"/>
        <w:jc w:val="center"/>
        <w:rPr>
          <w:b/>
          <w:lang w:val="uk-UA"/>
        </w:rPr>
      </w:pPr>
      <w:r w:rsidRPr="00F7290F">
        <w:rPr>
          <w:b/>
          <w:lang w:val="uk-UA"/>
        </w:rPr>
        <w:t>5.3.2. Харчова промисловість</w:t>
      </w:r>
    </w:p>
    <w:p w:rsidR="005A1B63" w:rsidRPr="00F7290F" w:rsidRDefault="005A1B63" w:rsidP="005A1B63">
      <w:pPr>
        <w:pStyle w:val="aff2"/>
        <w:keepNext/>
        <w:widowControl w:val="0"/>
        <w:tabs>
          <w:tab w:val="left" w:pos="567"/>
        </w:tabs>
        <w:autoSpaceDE w:val="0"/>
        <w:spacing w:before="120" w:after="0"/>
        <w:ind w:left="0" w:firstLine="567"/>
        <w:jc w:val="both"/>
        <w:rPr>
          <w:b/>
          <w:lang w:val="uk-UA"/>
        </w:rPr>
      </w:pPr>
      <w:r w:rsidRPr="00F7290F">
        <w:rPr>
          <w:b/>
          <w:lang w:val="uk-UA"/>
        </w:rPr>
        <w:t xml:space="preserve">Актуальні проблеми: </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старіння активної частини виробничих фондів, недостатній рівень використання виробничих потужностей;</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нерозвиненість власної сировинної бази;</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низький рівень розвитку вітчизняного харчового машинобудування;</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велика кількість посередників від виробника продукції до кінцевого споживача;</w:t>
      </w:r>
    </w:p>
    <w:p w:rsidR="005A1B63" w:rsidRPr="00F7290F" w:rsidRDefault="005A1B63" w:rsidP="005A1B63">
      <w:pPr>
        <w:keepNext/>
        <w:widowControl w:val="0"/>
        <w:numPr>
          <w:ilvl w:val="0"/>
          <w:numId w:val="9"/>
        </w:numPr>
        <w:tabs>
          <w:tab w:val="num" w:pos="0"/>
          <w:tab w:val="num" w:pos="720"/>
          <w:tab w:val="num" w:pos="900"/>
          <w:tab w:val="num" w:pos="1260"/>
        </w:tabs>
        <w:spacing w:after="120"/>
        <w:ind w:left="0" w:firstLine="720"/>
        <w:jc w:val="both"/>
        <w:rPr>
          <w:b/>
          <w:bCs/>
          <w:lang w:val="uk-UA"/>
        </w:rPr>
      </w:pPr>
      <w:r w:rsidRPr="00F7290F">
        <w:rPr>
          <w:bCs/>
          <w:lang w:val="uk-UA"/>
        </w:rPr>
        <w:t>низький платоспроможний</w:t>
      </w:r>
      <w:r w:rsidRPr="00F7290F">
        <w:rPr>
          <w:snapToGrid w:val="0"/>
          <w:lang w:val="uk-UA"/>
        </w:rPr>
        <w:t xml:space="preserve"> попит на продукцію.</w:t>
      </w:r>
    </w:p>
    <w:p w:rsidR="005A1B63" w:rsidRPr="00F7290F" w:rsidRDefault="005A1B63" w:rsidP="005A1B63">
      <w:pPr>
        <w:pStyle w:val="aff2"/>
        <w:keepNext/>
        <w:widowControl w:val="0"/>
        <w:tabs>
          <w:tab w:val="left" w:pos="567"/>
        </w:tabs>
        <w:autoSpaceDE w:val="0"/>
        <w:spacing w:before="120" w:after="0"/>
        <w:ind w:left="0" w:firstLine="567"/>
        <w:jc w:val="both"/>
        <w:rPr>
          <w:lang w:val="uk-UA"/>
        </w:rPr>
      </w:pPr>
      <w:r w:rsidRPr="00F7290F">
        <w:rPr>
          <w:b/>
          <w:lang w:val="uk-UA"/>
        </w:rPr>
        <w:t xml:space="preserve">Головна мета </w:t>
      </w:r>
      <w:r w:rsidRPr="00F7290F">
        <w:rPr>
          <w:lang w:val="uk-UA"/>
        </w:rPr>
        <w:t>- забезпечення населення області високоякісними продуктами харчування за доступними цінами.</w:t>
      </w:r>
    </w:p>
    <w:p w:rsidR="005A1B63" w:rsidRPr="00F7290F" w:rsidRDefault="005A1B63" w:rsidP="005A1B63">
      <w:pPr>
        <w:pStyle w:val="aff2"/>
        <w:keepNext/>
        <w:widowControl w:val="0"/>
        <w:tabs>
          <w:tab w:val="left" w:pos="567"/>
        </w:tabs>
        <w:autoSpaceDE w:val="0"/>
        <w:spacing w:before="120" w:after="0"/>
        <w:ind w:left="0" w:firstLine="567"/>
        <w:jc w:val="both"/>
        <w:rPr>
          <w:b/>
          <w:lang w:val="uk-UA"/>
        </w:rPr>
      </w:pPr>
      <w:r w:rsidRPr="00F7290F">
        <w:rPr>
          <w:b/>
          <w:lang w:val="uk-UA"/>
        </w:rPr>
        <w:t>Основні завдання:</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модернізація та  технічне переоснащення підприємств;</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збільшення обсягу виробництва високоякісних продуктів харчування, розширення асортименту; </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впровадження новітніх технологій виробництва продукції;</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подальший розвиток інтеграції та кооперації;</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залучення вітчизняних та іноземних інвестицій;</w:t>
      </w:r>
    </w:p>
    <w:p w:rsidR="005A1B63" w:rsidRPr="00F7290F" w:rsidRDefault="005A1B63" w:rsidP="005A1B63">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поновлення традиційних і освоєння нових зовнішніх ринків збуту продукції</w:t>
      </w:r>
      <w:r w:rsidRPr="00F7290F">
        <w:rPr>
          <w:snapToGrid w:val="0"/>
          <w:lang w:val="uk-UA"/>
        </w:rPr>
        <w:t>.</w:t>
      </w:r>
    </w:p>
    <w:p w:rsidR="005A1B63" w:rsidRPr="00F7290F" w:rsidRDefault="005A1B63" w:rsidP="005A1B63">
      <w:pPr>
        <w:pStyle w:val="aff2"/>
        <w:keepNext/>
        <w:widowControl w:val="0"/>
        <w:tabs>
          <w:tab w:val="left" w:pos="567"/>
        </w:tabs>
        <w:spacing w:before="120" w:after="0"/>
        <w:ind w:left="0" w:firstLine="709"/>
        <w:jc w:val="both"/>
        <w:rPr>
          <w:b/>
          <w:lang w:val="uk-UA"/>
        </w:rPr>
      </w:pPr>
      <w:r w:rsidRPr="00F7290F">
        <w:rPr>
          <w:b/>
          <w:lang w:val="uk-UA"/>
        </w:rPr>
        <w:t>Критерії досягнення</w:t>
      </w:r>
    </w:p>
    <w:p w:rsidR="005A1B63" w:rsidRPr="00F7290F" w:rsidRDefault="005A1B63" w:rsidP="005A1B63">
      <w:pPr>
        <w:pStyle w:val="23"/>
        <w:keepNext/>
        <w:widowControl w:val="0"/>
        <w:tabs>
          <w:tab w:val="num" w:pos="1080"/>
        </w:tabs>
        <w:ind w:firstLine="709"/>
      </w:pPr>
      <w:r w:rsidRPr="00F7290F">
        <w:t>Обсяг виробництва харчової продукції зросте на 2%.</w:t>
      </w:r>
    </w:p>
    <w:p w:rsidR="005A1B63" w:rsidRPr="00F7290F" w:rsidRDefault="005A1B63" w:rsidP="005A1B63">
      <w:pPr>
        <w:pStyle w:val="23"/>
        <w:keepNext/>
        <w:widowControl w:val="0"/>
        <w:tabs>
          <w:tab w:val="num" w:pos="1080"/>
        </w:tabs>
        <w:ind w:firstLine="709"/>
      </w:pPr>
      <w:r w:rsidRPr="00F7290F">
        <w:t>Збільшиться випуск ковбасних виробів на 2,2%, борошна – на 1,1%, олії соняшникової нерафінованої – на 20,5%, пива – на 3,2%. Також, зросте виробництво м’ясних напівфабрикатів, макаронних виробів, шоколаду та інших продуктів з какао, шампанського.</w:t>
      </w:r>
    </w:p>
    <w:p w:rsidR="005A1B63" w:rsidRPr="00F7290F" w:rsidRDefault="005A1B63" w:rsidP="005A1B63">
      <w:pPr>
        <w:pStyle w:val="23"/>
        <w:keepNext/>
        <w:widowControl w:val="0"/>
        <w:tabs>
          <w:tab w:val="num" w:pos="1080"/>
        </w:tabs>
        <w:ind w:firstLine="709"/>
      </w:pPr>
      <w:r w:rsidRPr="00F7290F">
        <w:t>На рівні 2012 року залишиться виробництво молочної продукції та хлібобулочних виробів.</w:t>
      </w:r>
    </w:p>
    <w:p w:rsidR="005A1B63" w:rsidRPr="00F7290F" w:rsidRDefault="005A1B63" w:rsidP="005A1B63">
      <w:pPr>
        <w:pStyle w:val="23"/>
        <w:keepNext/>
        <w:widowControl w:val="0"/>
        <w:tabs>
          <w:tab w:val="num" w:pos="1080"/>
        </w:tabs>
        <w:ind w:firstLine="709"/>
      </w:pPr>
      <w:r w:rsidRPr="00F7290F">
        <w:t xml:space="preserve">З метою збільшення випуску конкурентоспроможної продукції на окремих підприємствах ТОВ «ТД «Золотий Урожай», у ПрАТ «Горлівський м’ясокомбінат» (м.Горлівка), ТОВ «НАК» (м.Костянтинівка), ПрАТ «Дзержинський хлібокомбінат» (м.Дзержинськ), ПрАТ «Хліб» (м.Слов’янськ), ТОВ «Екоілліч-продукт» (м.Маріуполь) та інших передбачається проведення реконструкції та введення в дію нового обладнання.  </w:t>
      </w:r>
    </w:p>
    <w:p w:rsidR="005A1B63" w:rsidRPr="00F7290F" w:rsidRDefault="005A1B63" w:rsidP="005A1B63">
      <w:pPr>
        <w:pStyle w:val="23"/>
        <w:keepNext/>
        <w:widowControl w:val="0"/>
        <w:tabs>
          <w:tab w:val="num" w:pos="1080"/>
        </w:tabs>
        <w:ind w:firstLine="709"/>
      </w:pPr>
      <w:r w:rsidRPr="00F7290F">
        <w:t>У ТОВ «Сателіт» (м.Маріуполь) буде продовжено модернізацію заводу по переробці насіння соняшника з впровадженням сучасної системи автоматизації виробничих процесів та удосконалення системи охорони навколишнього середовища.</w:t>
      </w:r>
    </w:p>
    <w:p w:rsidR="005A1B63" w:rsidRPr="00F7290F" w:rsidRDefault="005A1B63" w:rsidP="005A1B63">
      <w:pPr>
        <w:pStyle w:val="23"/>
        <w:keepNext/>
        <w:widowControl w:val="0"/>
        <w:tabs>
          <w:tab w:val="num" w:pos="1080"/>
        </w:tabs>
        <w:ind w:firstLine="709"/>
      </w:pPr>
      <w:r w:rsidRPr="00F7290F">
        <w:t xml:space="preserve">У ТОВ «Комбінат «Каргілл» (м. Донецьк) буде продовжено впровадження технології отримання лецитину з фосфатидних концентратів соняшникової олії. </w:t>
      </w:r>
    </w:p>
    <w:p w:rsidR="005A1B63" w:rsidRPr="00F7290F" w:rsidRDefault="005A1B63" w:rsidP="005A1B63">
      <w:pPr>
        <w:pStyle w:val="23"/>
        <w:keepNext/>
        <w:widowControl w:val="0"/>
        <w:tabs>
          <w:tab w:val="num" w:pos="1080"/>
        </w:tabs>
        <w:ind w:firstLine="709"/>
      </w:pPr>
      <w:r w:rsidRPr="00F7290F">
        <w:t xml:space="preserve">У ТОВ «Совєтський хлібокомбінат» (м.Макіївка), ТОВ «Кондитерська фабрика» (м.Красноармійськ), ПрАТ «Міллер Брендз Україна» (м.Донецьк) буде впроваджено у виробництво нові види продукції. </w:t>
      </w:r>
    </w:p>
    <w:p w:rsidR="005A1B63" w:rsidRPr="00F7290F" w:rsidRDefault="005A1B63" w:rsidP="005A1B63">
      <w:pPr>
        <w:pStyle w:val="aff2"/>
        <w:keepNext/>
        <w:widowControl w:val="0"/>
        <w:tabs>
          <w:tab w:val="left" w:pos="567"/>
        </w:tabs>
        <w:autoSpaceDE w:val="0"/>
        <w:spacing w:before="120" w:after="0"/>
        <w:ind w:left="0" w:firstLine="567"/>
        <w:jc w:val="both"/>
        <w:rPr>
          <w:b/>
          <w:lang w:val="uk-UA"/>
        </w:rPr>
      </w:pPr>
      <w:r w:rsidRPr="00F7290F">
        <w:rPr>
          <w:b/>
          <w:lang w:val="uk-UA"/>
        </w:rPr>
        <w:t>Ресурсне забезпечення</w:t>
      </w:r>
    </w:p>
    <w:p w:rsidR="005A1B63" w:rsidRPr="00F7290F" w:rsidRDefault="005A1B63" w:rsidP="005A1B63">
      <w:pPr>
        <w:pStyle w:val="23"/>
        <w:keepNext/>
        <w:widowControl w:val="0"/>
        <w:tabs>
          <w:tab w:val="num" w:pos="1080"/>
        </w:tabs>
        <w:ind w:firstLine="709"/>
      </w:pPr>
      <w:r w:rsidRPr="00F7290F">
        <w:t>На фінансування заходів щодо розвитку харчової промисловості за рахунок коштів підприємств передбачається спрямувати 179,7 млн.грн.</w:t>
      </w:r>
    </w:p>
    <w:p w:rsidR="00665175" w:rsidRDefault="00665175">
      <w:pPr>
        <w:rPr>
          <w:b/>
          <w:lang w:val="uk-UA"/>
        </w:rPr>
      </w:pPr>
      <w:r>
        <w:rPr>
          <w:b/>
          <w:lang w:val="uk-UA"/>
        </w:rPr>
        <w:br w:type="page"/>
      </w:r>
    </w:p>
    <w:p w:rsidR="00666373" w:rsidRPr="00F7290F" w:rsidRDefault="00666373" w:rsidP="00666373">
      <w:pPr>
        <w:keepNext/>
        <w:widowControl w:val="0"/>
        <w:tabs>
          <w:tab w:val="left" w:pos="652"/>
          <w:tab w:val="left" w:pos="8188"/>
        </w:tabs>
        <w:spacing w:after="120"/>
        <w:jc w:val="center"/>
        <w:rPr>
          <w:rStyle w:val="af4"/>
          <w:b/>
          <w:color w:val="auto"/>
          <w:u w:val="none"/>
          <w:lang w:val="uk-UA"/>
        </w:rPr>
      </w:pPr>
      <w:r w:rsidRPr="00F7290F">
        <w:rPr>
          <w:b/>
          <w:lang w:val="uk-UA"/>
        </w:rPr>
        <w:lastRenderedPageBreak/>
        <w:t xml:space="preserve">5.4. </w:t>
      </w:r>
      <w:r w:rsidRPr="00F7290F">
        <w:rPr>
          <w:rStyle w:val="af4"/>
          <w:b/>
          <w:color w:val="auto"/>
          <w:u w:val="none"/>
          <w:lang w:val="uk-UA"/>
        </w:rPr>
        <w:t>Розвиток сфери послуг</w:t>
      </w:r>
    </w:p>
    <w:p w:rsidR="00666373" w:rsidRPr="00F7290F" w:rsidRDefault="00666373" w:rsidP="00666373">
      <w:pPr>
        <w:pStyle w:val="23"/>
        <w:keepNext/>
        <w:widowControl w:val="0"/>
        <w:tabs>
          <w:tab w:val="num" w:pos="720"/>
        </w:tabs>
        <w:spacing w:after="60"/>
        <w:ind w:firstLine="709"/>
      </w:pPr>
      <w:r w:rsidRPr="00F7290F">
        <w:t>Сфера послуг є соціально значимою галуззю, важливим елементом ринкової економіки. В структурі послуг найбільшу частку займають послуги транспорту (27%), пошти та зв’язку (11%), операції з нерухомим майном (16%).</w:t>
      </w:r>
    </w:p>
    <w:p w:rsidR="00666373" w:rsidRPr="00F7290F" w:rsidRDefault="00666373" w:rsidP="00666373">
      <w:pPr>
        <w:pStyle w:val="23"/>
        <w:keepNext/>
        <w:widowControl w:val="0"/>
        <w:tabs>
          <w:tab w:val="num" w:pos="720"/>
        </w:tabs>
        <w:spacing w:after="0"/>
        <w:ind w:firstLine="709"/>
        <w:rPr>
          <w:b/>
        </w:rPr>
      </w:pPr>
      <w:r w:rsidRPr="00F7290F">
        <w:rPr>
          <w:b/>
        </w:rPr>
        <w:t>Актуальні проблеми:</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низький технічний рівень оснащення більшості підприємств галузі;</w:t>
      </w:r>
    </w:p>
    <w:p w:rsidR="00666373" w:rsidRPr="00F7290F" w:rsidRDefault="00666373" w:rsidP="00666373">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недостатня</w:t>
      </w:r>
      <w:r w:rsidRPr="00F7290F">
        <w:rPr>
          <w:lang w:val="uk-UA"/>
        </w:rPr>
        <w:t xml:space="preserve"> кваліфікація значної частини фахівців для роботи в ринкових умовах.</w:t>
      </w:r>
    </w:p>
    <w:p w:rsidR="00666373" w:rsidRPr="00F7290F" w:rsidRDefault="00666373" w:rsidP="00666373">
      <w:pPr>
        <w:pStyle w:val="23"/>
        <w:keepNext/>
        <w:widowControl w:val="0"/>
        <w:tabs>
          <w:tab w:val="num" w:pos="720"/>
        </w:tabs>
        <w:ind w:firstLine="709"/>
      </w:pPr>
      <w:r w:rsidRPr="00F7290F">
        <w:rPr>
          <w:b/>
        </w:rPr>
        <w:t xml:space="preserve">Головна  мета </w:t>
      </w:r>
      <w:r w:rsidRPr="00F7290F">
        <w:t>– забезпечення споживачів області різноманітними та високоякісними послугами, підвищення ефективної діяльності підприємств галузі.</w:t>
      </w:r>
    </w:p>
    <w:p w:rsidR="00666373" w:rsidRPr="00F7290F" w:rsidRDefault="00666373" w:rsidP="005C0947">
      <w:pPr>
        <w:pStyle w:val="23"/>
        <w:keepNext/>
        <w:widowControl w:val="0"/>
        <w:tabs>
          <w:tab w:val="num" w:pos="720"/>
        </w:tabs>
        <w:spacing w:after="0"/>
        <w:ind w:firstLine="709"/>
        <w:rPr>
          <w:b/>
        </w:rPr>
      </w:pPr>
      <w:r w:rsidRPr="00F7290F">
        <w:t xml:space="preserve"> </w:t>
      </w:r>
      <w:r w:rsidRPr="00F7290F">
        <w:rPr>
          <w:b/>
        </w:rPr>
        <w:t>Основні завдання:</w:t>
      </w:r>
    </w:p>
    <w:p w:rsidR="00666373" w:rsidRPr="00F7290F" w:rsidRDefault="00666373" w:rsidP="00666373">
      <w:pPr>
        <w:pStyle w:val="23"/>
        <w:keepNext/>
        <w:widowControl w:val="0"/>
        <w:tabs>
          <w:tab w:val="num" w:pos="720"/>
        </w:tabs>
        <w:spacing w:after="0"/>
        <w:ind w:firstLine="709"/>
        <w:rPr>
          <w:i/>
        </w:rPr>
      </w:pPr>
      <w:r w:rsidRPr="00F7290F">
        <w:rPr>
          <w:i/>
        </w:rPr>
        <w:t>в сфері побутового обслуговування населення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реконструкція діючих та створення нових об’єктів побутового обслуговування населення;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застосування новітніх технологій та впровадження нових видів послуг;</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підвищення рівня якості послуг та культури обслуговування споживачів послуг;</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забезпечення доступності побутових послуг, в тому числі за рахунок виїзного обслуговування;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noProof/>
          <w:lang w:val="uk-UA"/>
        </w:rPr>
      </w:pPr>
      <w:r w:rsidRPr="00F7290F">
        <w:rPr>
          <w:bCs/>
          <w:lang w:val="uk-UA"/>
        </w:rPr>
        <w:t>вдосконалення професійної майстерності, сприяння участі робітників сфери послуг у чемпіонатах, фестивалях</w:t>
      </w:r>
      <w:r w:rsidRPr="00F7290F">
        <w:rPr>
          <w:bCs/>
          <w:snapToGrid w:val="0"/>
          <w:lang w:val="uk-UA"/>
        </w:rPr>
        <w:t xml:space="preserve">,  майстер-класах </w:t>
      </w:r>
      <w:r w:rsidRPr="00F7290F">
        <w:rPr>
          <w:lang w:val="uk-UA"/>
        </w:rPr>
        <w:t xml:space="preserve"> з метою підвищення їх кваліфікації.</w:t>
      </w:r>
    </w:p>
    <w:p w:rsidR="00666373" w:rsidRPr="00F7290F" w:rsidRDefault="00666373" w:rsidP="00666373">
      <w:pPr>
        <w:pStyle w:val="23"/>
        <w:keepNext/>
        <w:widowControl w:val="0"/>
        <w:tabs>
          <w:tab w:val="num" w:pos="1200"/>
        </w:tabs>
        <w:spacing w:before="120" w:after="0"/>
        <w:ind w:left="720" w:firstLine="0"/>
        <w:rPr>
          <w:i/>
        </w:rPr>
      </w:pPr>
      <w:r w:rsidRPr="00F7290F">
        <w:rPr>
          <w:i/>
        </w:rPr>
        <w:t xml:space="preserve">в сфері пошти та зв’язку </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розвиток традиційних та впровадження нових сучасних інформаційно-телекомунікаційних послуг зв'язку (розбудова мережі мобільного зв'язку четвертого покоління);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продовження переходу з ефірного аналогового на цифрове телебачення;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подальший розвиток  мереж  передачі інформації з використанням волоконно-оптичних  ліній зв’язку, нових технологій безпроводового  та супутникового доступу;</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впровадження нових технологій оброблення та перевезення пошти на основі комплексної механізації та автоматизації виробничих процесів, використання швидкісних видів транспорту;  </w:t>
      </w:r>
    </w:p>
    <w:p w:rsidR="00666373" w:rsidRPr="00F7290F" w:rsidRDefault="00666373" w:rsidP="00666373">
      <w:pPr>
        <w:keepNext/>
        <w:widowControl w:val="0"/>
        <w:numPr>
          <w:ilvl w:val="0"/>
          <w:numId w:val="9"/>
        </w:numPr>
        <w:tabs>
          <w:tab w:val="num" w:pos="0"/>
          <w:tab w:val="num" w:pos="720"/>
          <w:tab w:val="num" w:pos="900"/>
          <w:tab w:val="num" w:pos="1260"/>
        </w:tabs>
        <w:spacing w:after="120"/>
        <w:ind w:left="0" w:firstLine="720"/>
        <w:jc w:val="both"/>
        <w:rPr>
          <w:bCs/>
          <w:lang w:val="uk-UA"/>
        </w:rPr>
      </w:pPr>
      <w:r w:rsidRPr="00F7290F">
        <w:rPr>
          <w:bCs/>
          <w:lang w:val="uk-UA"/>
        </w:rPr>
        <w:t xml:space="preserve">забезпечення доступності споживачів до універсальних послуг поштового зв’язку, поліпшення їх якості та розширення спектру нових послуг. </w:t>
      </w:r>
    </w:p>
    <w:p w:rsidR="00666373" w:rsidRPr="00F7290F" w:rsidRDefault="00666373" w:rsidP="00666373">
      <w:pPr>
        <w:keepNext/>
        <w:widowControl w:val="0"/>
        <w:tabs>
          <w:tab w:val="left" w:pos="399"/>
          <w:tab w:val="left" w:pos="851"/>
          <w:tab w:val="left" w:pos="9639"/>
        </w:tabs>
        <w:spacing w:before="120"/>
        <w:ind w:firstLine="709"/>
        <w:jc w:val="both"/>
        <w:rPr>
          <w:lang w:val="uk-UA"/>
        </w:rPr>
      </w:pPr>
      <w:r w:rsidRPr="00F7290F">
        <w:rPr>
          <w:lang w:val="uk-UA"/>
        </w:rPr>
        <w:t xml:space="preserve"> </w:t>
      </w:r>
      <w:r w:rsidRPr="00F7290F">
        <w:rPr>
          <w:b/>
          <w:bCs/>
          <w:noProof/>
          <w:lang w:val="uk-UA"/>
        </w:rPr>
        <w:t>Критерії досягнення:</w:t>
      </w:r>
      <w:r w:rsidRPr="00F7290F">
        <w:rPr>
          <w:lang w:val="uk-UA"/>
        </w:rPr>
        <w:t xml:space="preserve"> </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збільшення  обсягу реалізованих послуг для всіх споживачів в діючих цінах на 5,1%,     з них побутових послуг населенню – на 1,0%;</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зростання доходів від послуг зв’язку на 5,0%, з них поштового зв’язку – на 1,5%;</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розширення мережі підприємств побутового обслуговування населення на 112 од., створення 340 нових робочих місць;</w:t>
      </w:r>
    </w:p>
    <w:p w:rsidR="00666373" w:rsidRPr="00F7290F" w:rsidRDefault="00666373" w:rsidP="00666373">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впровадження нових</w:t>
      </w:r>
      <w:r w:rsidRPr="00F7290F">
        <w:rPr>
          <w:lang w:val="uk-UA"/>
        </w:rPr>
        <w:t xml:space="preserve"> видів послуг на 29 підприємствах сфери побуту.</w:t>
      </w:r>
    </w:p>
    <w:p w:rsidR="00BC67B1" w:rsidRPr="00F7290F" w:rsidRDefault="00BC67B1" w:rsidP="007112FB">
      <w:pPr>
        <w:keepNext/>
        <w:widowControl w:val="0"/>
        <w:jc w:val="center"/>
        <w:rPr>
          <w:b/>
          <w:color w:val="000000" w:themeColor="text1"/>
          <w:lang w:val="uk-UA"/>
        </w:rPr>
      </w:pPr>
      <w:r w:rsidRPr="00F7290F">
        <w:rPr>
          <w:b/>
          <w:color w:val="000000" w:themeColor="text1"/>
          <w:lang w:val="uk-UA"/>
        </w:rPr>
        <w:t>Динаміка обсягу реалізованих послуг</w:t>
      </w:r>
    </w:p>
    <w:p w:rsidR="00BC67B1" w:rsidRPr="00F7290F" w:rsidRDefault="00BC67B1" w:rsidP="007112FB">
      <w:pPr>
        <w:pStyle w:val="23"/>
        <w:keepNext/>
        <w:widowControl w:val="0"/>
        <w:spacing w:after="80"/>
        <w:ind w:firstLine="0"/>
        <w:jc w:val="center"/>
        <w:rPr>
          <w:b/>
          <w:color w:val="000000" w:themeColor="text1"/>
        </w:rPr>
      </w:pPr>
      <w:r w:rsidRPr="00F7290F">
        <w:rPr>
          <w:b/>
          <w:color w:val="000000" w:themeColor="text1"/>
        </w:rPr>
        <w:t>у діючих цінах, млрд.грн.</w:t>
      </w:r>
    </w:p>
    <w:p w:rsidR="00631A11" w:rsidRPr="00F7290F" w:rsidRDefault="00631A11" w:rsidP="007112FB">
      <w:pPr>
        <w:pStyle w:val="23"/>
        <w:keepNext/>
        <w:widowControl w:val="0"/>
        <w:spacing w:after="80"/>
        <w:ind w:firstLine="0"/>
        <w:jc w:val="center"/>
        <w:rPr>
          <w:color w:val="000000" w:themeColor="text1"/>
        </w:rPr>
      </w:pPr>
      <w:r w:rsidRPr="00F7290F">
        <w:rPr>
          <w:noProof/>
          <w:color w:val="000000" w:themeColor="text1"/>
          <w:lang w:val="ru-RU"/>
        </w:rPr>
        <w:drawing>
          <wp:inline distT="0" distB="0" distL="0" distR="0">
            <wp:extent cx="5720316" cy="1605516"/>
            <wp:effectExtent l="0" t="0" r="0" b="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1545EB" w:rsidRPr="00F7290F" w:rsidRDefault="001545EB" w:rsidP="007112FB">
      <w:pPr>
        <w:keepNext/>
        <w:widowControl w:val="0"/>
        <w:spacing w:before="120"/>
        <w:jc w:val="both"/>
        <w:rPr>
          <w:b/>
          <w:snapToGrid w:val="0"/>
          <w:lang w:val="uk-UA"/>
        </w:rPr>
      </w:pPr>
      <w:r w:rsidRPr="00F7290F">
        <w:rPr>
          <w:b/>
          <w:snapToGrid w:val="0"/>
          <w:lang w:val="uk-UA"/>
        </w:rPr>
        <w:lastRenderedPageBreak/>
        <w:t>Ресурсне забезпечення</w:t>
      </w:r>
    </w:p>
    <w:p w:rsidR="001545EB" w:rsidRPr="00F7290F" w:rsidRDefault="001545EB" w:rsidP="001545EB">
      <w:pPr>
        <w:pStyle w:val="23"/>
        <w:keepNext/>
        <w:widowControl w:val="0"/>
        <w:spacing w:after="60"/>
        <w:ind w:firstLine="709"/>
      </w:pPr>
      <w:r w:rsidRPr="00F7290F">
        <w:rPr>
          <w:snapToGrid w:val="0"/>
        </w:rPr>
        <w:t xml:space="preserve">На фінансування заходів </w:t>
      </w:r>
      <w:r w:rsidRPr="00F7290F">
        <w:t>щодо розвитку сфери побутового обслуговування населення передбачається спрямувати 48,5 млн.грн., розвитку поштового зв’язку – 3,2 млн.грн. власних коштів підприємств.</w:t>
      </w:r>
    </w:p>
    <w:p w:rsidR="00B632E5" w:rsidRPr="00F7290F" w:rsidRDefault="00B632E5" w:rsidP="00B632E5">
      <w:pPr>
        <w:pStyle w:val="23"/>
        <w:keepNext/>
        <w:widowControl w:val="0"/>
        <w:spacing w:before="120"/>
        <w:ind w:firstLine="709"/>
        <w:jc w:val="center"/>
        <w:rPr>
          <w:b/>
        </w:rPr>
      </w:pPr>
      <w:r w:rsidRPr="00F7290F">
        <w:rPr>
          <w:b/>
        </w:rPr>
        <w:t>5.5. Транспортно-дорожній комплекс</w:t>
      </w:r>
    </w:p>
    <w:p w:rsidR="00B632E5" w:rsidRPr="00F7290F" w:rsidRDefault="00B632E5" w:rsidP="00B632E5">
      <w:pPr>
        <w:pStyle w:val="23"/>
        <w:keepNext/>
        <w:widowControl w:val="0"/>
        <w:spacing w:after="60"/>
        <w:ind w:firstLine="709"/>
      </w:pPr>
      <w:r w:rsidRPr="00F7290F">
        <w:t>Транспортно-дорожній комплекс є важливою складовою у галузевій структурі економіки регіону.</w:t>
      </w:r>
    </w:p>
    <w:p w:rsidR="00B632E5" w:rsidRPr="00F7290F" w:rsidRDefault="00B632E5" w:rsidP="00B632E5">
      <w:pPr>
        <w:pStyle w:val="23"/>
        <w:keepNext/>
        <w:widowControl w:val="0"/>
        <w:spacing w:after="0"/>
        <w:ind w:firstLine="709"/>
        <w:rPr>
          <w:b/>
        </w:rPr>
      </w:pPr>
      <w:r w:rsidRPr="00F7290F">
        <w:rPr>
          <w:b/>
        </w:rPr>
        <w:t>Актуальні проблеми:</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високий ступінь зносу основних виробничих фондів, перш за все, рухомого складу;</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незадовільний фінансовий стан підприємств через зростання собівартості перевезень та нестачу бюджетних коштів на відшкодування втрат від перевезень пільгових категорій пасажирів;</w:t>
      </w:r>
    </w:p>
    <w:p w:rsidR="00B632E5" w:rsidRPr="00F7290F" w:rsidRDefault="00B632E5" w:rsidP="00B632E5">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недостатній рівень інвестування в розвиток матеріально-технічної бази транспортного комплексу</w:t>
      </w:r>
      <w:r w:rsidRPr="00F7290F">
        <w:rPr>
          <w:lang w:val="uk-UA"/>
        </w:rPr>
        <w:t>.</w:t>
      </w:r>
    </w:p>
    <w:p w:rsidR="00B632E5" w:rsidRPr="00F7290F" w:rsidRDefault="00B632E5" w:rsidP="00B632E5">
      <w:pPr>
        <w:pStyle w:val="23"/>
        <w:keepNext/>
        <w:widowControl w:val="0"/>
        <w:tabs>
          <w:tab w:val="left" w:pos="709"/>
        </w:tabs>
        <w:spacing w:before="120"/>
        <w:ind w:firstLine="709"/>
        <w:rPr>
          <w:bCs/>
        </w:rPr>
      </w:pPr>
      <w:r w:rsidRPr="00F7290F">
        <w:rPr>
          <w:b/>
        </w:rPr>
        <w:t xml:space="preserve">Головна  мета </w:t>
      </w:r>
      <w:r w:rsidRPr="00F7290F">
        <w:t xml:space="preserve">– забезпечення потреб економічного розвитку і населення в перевезеннях вантажів і пасажирів, підвищення рівня якості транспортних послуг. </w:t>
      </w:r>
    </w:p>
    <w:p w:rsidR="00B632E5" w:rsidRPr="00F7290F" w:rsidRDefault="00B632E5" w:rsidP="00B632E5">
      <w:pPr>
        <w:pStyle w:val="23"/>
        <w:keepNext/>
        <w:widowControl w:val="0"/>
        <w:tabs>
          <w:tab w:val="left" w:pos="709"/>
        </w:tabs>
        <w:spacing w:before="120" w:after="0"/>
        <w:ind w:firstLine="709"/>
        <w:rPr>
          <w:b/>
        </w:rPr>
      </w:pPr>
      <w:r w:rsidRPr="00F7290F">
        <w:rPr>
          <w:b/>
          <w:bCs/>
        </w:rPr>
        <w:t>Основні завдання:</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модернізація та оновлення усіх видів рухомого складу, підвищення ефективності їх використання;</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вдосконалення технологічних процесів на базі сучасних інформаційних технологій, засобів зв’язку та обчислювальної техніки; </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будівництво та реконструкція об’єктів транспортної інфраструктури; </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проведення робіт, пов’язаних з будівництвом, реконструкцією, ремонтом та утриманням автомобільних доріг;</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підвищення рівня обслуговування та безпеки перевезень пасажирів і вантажів;</w:t>
      </w:r>
    </w:p>
    <w:p w:rsidR="00B632E5" w:rsidRPr="00F7290F" w:rsidRDefault="00B632E5" w:rsidP="00B632E5">
      <w:pPr>
        <w:keepNext/>
        <w:widowControl w:val="0"/>
        <w:numPr>
          <w:ilvl w:val="0"/>
          <w:numId w:val="9"/>
        </w:numPr>
        <w:tabs>
          <w:tab w:val="num" w:pos="0"/>
          <w:tab w:val="num" w:pos="720"/>
          <w:tab w:val="num" w:pos="900"/>
          <w:tab w:val="num" w:pos="1260"/>
        </w:tabs>
        <w:spacing w:after="120"/>
        <w:ind w:left="0" w:firstLine="720"/>
        <w:jc w:val="both"/>
        <w:rPr>
          <w:bCs/>
          <w:lang w:val="uk-UA"/>
        </w:rPr>
      </w:pPr>
      <w:r w:rsidRPr="00F7290F">
        <w:rPr>
          <w:bCs/>
          <w:lang w:val="uk-UA"/>
        </w:rPr>
        <w:t>оптимізація мережі автобусного сполучення і маршрутів.</w:t>
      </w:r>
    </w:p>
    <w:p w:rsidR="00B632E5" w:rsidRPr="00F7290F" w:rsidRDefault="00B632E5" w:rsidP="00B632E5">
      <w:pPr>
        <w:keepNext/>
        <w:widowControl w:val="0"/>
        <w:tabs>
          <w:tab w:val="left" w:pos="399"/>
          <w:tab w:val="left" w:pos="851"/>
          <w:tab w:val="left" w:pos="9639"/>
        </w:tabs>
        <w:spacing w:before="120"/>
        <w:ind w:firstLine="709"/>
        <w:jc w:val="both"/>
        <w:rPr>
          <w:lang w:val="uk-UA"/>
        </w:rPr>
      </w:pPr>
      <w:r w:rsidRPr="00F7290F">
        <w:rPr>
          <w:b/>
          <w:bCs/>
          <w:noProof/>
          <w:lang w:val="uk-UA"/>
        </w:rPr>
        <w:t>Критерії досягнення:</w:t>
      </w:r>
      <w:r w:rsidRPr="00F7290F">
        <w:rPr>
          <w:lang w:val="uk-UA"/>
        </w:rPr>
        <w:t xml:space="preserve"> </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збільшення обсягів перевезень (відправлень) пасажирів: автомобільним транспортом </w:t>
      </w:r>
      <w:r w:rsidRPr="00F7290F">
        <w:rPr>
          <w:lang w:val="uk-UA"/>
        </w:rPr>
        <w:t>–</w:t>
      </w:r>
      <w:r w:rsidRPr="00F7290F">
        <w:rPr>
          <w:bCs/>
          <w:lang w:val="uk-UA"/>
        </w:rPr>
        <w:t xml:space="preserve"> на 1,9% (складе 515 млн. чол.), залізничним – на рівні 2012 року (52,2 млн. чол.); </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збільшення обсягів перевезень (відправлень) вантажів: автомобільним транспортом </w:t>
      </w:r>
      <w:r w:rsidRPr="00F7290F">
        <w:rPr>
          <w:lang w:val="uk-UA"/>
        </w:rPr>
        <w:t>–</w:t>
      </w:r>
      <w:r w:rsidR="003C0E55">
        <w:rPr>
          <w:lang w:val="uk-UA"/>
        </w:rPr>
        <w:t xml:space="preserve"> </w:t>
      </w:r>
      <w:r w:rsidRPr="00F7290F">
        <w:rPr>
          <w:bCs/>
          <w:lang w:val="uk-UA"/>
        </w:rPr>
        <w:t>на 10,1% (43,6 млн. т), залізничним – на  3,7% (147,9 млн.т);</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зростання пасажирообороту в аеропортах області на 15%;</w:t>
      </w:r>
    </w:p>
    <w:p w:rsidR="00B632E5" w:rsidRPr="003C0E55" w:rsidRDefault="00B632E5" w:rsidP="00B632E5">
      <w:pPr>
        <w:keepNext/>
        <w:widowControl w:val="0"/>
        <w:numPr>
          <w:ilvl w:val="0"/>
          <w:numId w:val="9"/>
        </w:numPr>
        <w:tabs>
          <w:tab w:val="num" w:pos="0"/>
          <w:tab w:val="num" w:pos="720"/>
          <w:tab w:val="num" w:pos="900"/>
          <w:tab w:val="num" w:pos="1260"/>
        </w:tabs>
        <w:spacing w:after="120"/>
        <w:ind w:left="0" w:firstLine="720"/>
        <w:jc w:val="both"/>
        <w:rPr>
          <w:spacing w:val="-6"/>
          <w:lang w:val="uk-UA"/>
        </w:rPr>
      </w:pPr>
      <w:r w:rsidRPr="003C0E55">
        <w:rPr>
          <w:bCs/>
          <w:spacing w:val="-6"/>
          <w:lang w:val="uk-UA"/>
        </w:rPr>
        <w:t>збільшення обсягу обробки вантажів</w:t>
      </w:r>
      <w:r w:rsidRPr="003C0E55">
        <w:rPr>
          <w:spacing w:val="-6"/>
          <w:lang w:val="uk-UA"/>
        </w:rPr>
        <w:t xml:space="preserve"> на морських причалах області на 1,3% (15,0 млн. т).</w:t>
      </w:r>
    </w:p>
    <w:p w:rsidR="00B632E5" w:rsidRPr="00F7290F" w:rsidRDefault="00B632E5" w:rsidP="00B632E5">
      <w:pPr>
        <w:keepNext/>
        <w:widowControl w:val="0"/>
        <w:spacing w:after="60"/>
        <w:ind w:firstLine="709"/>
        <w:jc w:val="both"/>
        <w:rPr>
          <w:bCs/>
          <w:noProof/>
          <w:lang w:val="uk-UA"/>
        </w:rPr>
      </w:pPr>
      <w:r w:rsidRPr="00F7290F">
        <w:rPr>
          <w:bCs/>
          <w:noProof/>
          <w:lang w:val="uk-UA"/>
        </w:rPr>
        <w:t xml:space="preserve"> Донецькою залізницею продовжиться оновлення рухомого складу, модернізація колії, контактної мережі, електричних підстанцій (витрати складуть 3,2 млрд.грн.).</w:t>
      </w:r>
    </w:p>
    <w:p w:rsidR="00B632E5" w:rsidRPr="00F7290F" w:rsidRDefault="00B632E5" w:rsidP="00B632E5">
      <w:pPr>
        <w:keepNext/>
        <w:widowControl w:val="0"/>
        <w:spacing w:after="60"/>
        <w:ind w:firstLine="709"/>
        <w:jc w:val="both"/>
        <w:rPr>
          <w:bCs/>
          <w:noProof/>
          <w:lang w:val="uk-UA"/>
        </w:rPr>
      </w:pPr>
      <w:r w:rsidRPr="00F7290F">
        <w:rPr>
          <w:bCs/>
          <w:noProof/>
          <w:lang w:val="uk-UA"/>
        </w:rPr>
        <w:t>На ДП «Маріупольський морський торговельний порт» продовжиться реконструкція і модернізація портальних кранів та заміна перевантажувального і технологічного обладнання.</w:t>
      </w:r>
    </w:p>
    <w:p w:rsidR="00B632E5" w:rsidRPr="00F7290F" w:rsidRDefault="00B632E5" w:rsidP="00B632E5">
      <w:pPr>
        <w:keepNext/>
        <w:widowControl w:val="0"/>
        <w:spacing w:after="60"/>
        <w:ind w:firstLine="709"/>
        <w:jc w:val="both"/>
        <w:rPr>
          <w:bCs/>
          <w:noProof/>
          <w:lang w:val="uk-UA"/>
        </w:rPr>
      </w:pPr>
      <w:r w:rsidRPr="00F7290F">
        <w:rPr>
          <w:bCs/>
          <w:noProof/>
          <w:lang w:val="uk-UA"/>
        </w:rPr>
        <w:t xml:space="preserve"> Донецькою дирекцією УДППЗ «Укрпошта» планується проведення реконструкції та ремонту об’єктів поштового зв’язку на 3,2 млн.грн.  </w:t>
      </w:r>
    </w:p>
    <w:p w:rsidR="00B632E5" w:rsidRPr="00F7290F" w:rsidRDefault="00B632E5" w:rsidP="00B632E5">
      <w:pPr>
        <w:keepNext/>
        <w:widowControl w:val="0"/>
        <w:spacing w:before="120"/>
        <w:ind w:firstLine="709"/>
        <w:jc w:val="both"/>
        <w:rPr>
          <w:b/>
          <w:snapToGrid w:val="0"/>
          <w:lang w:val="uk-UA"/>
        </w:rPr>
      </w:pPr>
      <w:r w:rsidRPr="00F7290F">
        <w:rPr>
          <w:b/>
          <w:snapToGrid w:val="0"/>
          <w:lang w:val="uk-UA"/>
        </w:rPr>
        <w:t>Ресурсне забезпечення</w:t>
      </w:r>
    </w:p>
    <w:p w:rsidR="00B632E5" w:rsidRPr="00F7290F" w:rsidRDefault="00B632E5" w:rsidP="00B632E5">
      <w:pPr>
        <w:pStyle w:val="23"/>
        <w:keepNext/>
        <w:widowControl w:val="0"/>
        <w:spacing w:after="60"/>
        <w:ind w:firstLine="709"/>
      </w:pPr>
      <w:r w:rsidRPr="00F7290F">
        <w:rPr>
          <w:iCs/>
        </w:rPr>
        <w:t xml:space="preserve">На впровадження заходів щодо розвитку транспортно-дорожнього комплексу передбачається спрямувати </w:t>
      </w:r>
      <w:r w:rsidR="002D17C4" w:rsidRPr="00F7290F">
        <w:rPr>
          <w:iCs/>
        </w:rPr>
        <w:t>3433,7</w:t>
      </w:r>
      <w:r w:rsidRPr="00F7290F">
        <w:rPr>
          <w:iCs/>
        </w:rPr>
        <w:t xml:space="preserve"> млн.грн., у тому числі </w:t>
      </w:r>
      <w:r w:rsidR="002D17C4" w:rsidRPr="00F7290F">
        <w:rPr>
          <w:iCs/>
        </w:rPr>
        <w:t>152,6</w:t>
      </w:r>
      <w:r w:rsidRPr="00F7290F">
        <w:rPr>
          <w:iCs/>
        </w:rPr>
        <w:t xml:space="preserve"> млн.грн. – з державного бюджету, </w:t>
      </w:r>
      <w:r w:rsidR="002D17C4" w:rsidRPr="00F7290F">
        <w:rPr>
          <w:iCs/>
        </w:rPr>
        <w:t>12,7</w:t>
      </w:r>
      <w:r w:rsidRPr="00F7290F">
        <w:rPr>
          <w:iCs/>
        </w:rPr>
        <w:t xml:space="preserve"> млн.грн. – з обласного бюджету, 3268,4 млн.грн. – власних коштів підприємств. </w:t>
      </w:r>
      <w:r w:rsidRPr="00F7290F">
        <w:t xml:space="preserve"> </w:t>
      </w:r>
    </w:p>
    <w:p w:rsidR="003C0E55" w:rsidRDefault="003C0E55">
      <w:pPr>
        <w:rPr>
          <w:b/>
          <w:lang w:val="uk-UA"/>
        </w:rPr>
      </w:pPr>
      <w:r>
        <w:rPr>
          <w:b/>
          <w:lang w:val="uk-UA"/>
        </w:rPr>
        <w:br w:type="page"/>
      </w:r>
    </w:p>
    <w:p w:rsidR="007F3544" w:rsidRPr="00F7290F" w:rsidRDefault="007F3544" w:rsidP="007F3544">
      <w:pPr>
        <w:keepNext/>
        <w:widowControl w:val="0"/>
        <w:tabs>
          <w:tab w:val="left" w:pos="652"/>
          <w:tab w:val="left" w:pos="8188"/>
        </w:tabs>
        <w:spacing w:after="120"/>
        <w:jc w:val="center"/>
        <w:rPr>
          <w:b/>
          <w:lang w:val="uk-UA"/>
        </w:rPr>
      </w:pPr>
      <w:r w:rsidRPr="00F7290F">
        <w:rPr>
          <w:b/>
          <w:lang w:val="uk-UA"/>
        </w:rPr>
        <w:lastRenderedPageBreak/>
        <w:t>5.6.</w:t>
      </w:r>
      <w:r w:rsidRPr="00F7290F">
        <w:rPr>
          <w:b/>
          <w:lang w:val="uk-UA"/>
        </w:rPr>
        <w:tab/>
        <w:t>Житлове будівництво</w:t>
      </w:r>
    </w:p>
    <w:p w:rsidR="007F3544" w:rsidRPr="00F7290F" w:rsidRDefault="007F3544" w:rsidP="007F3544">
      <w:pPr>
        <w:pStyle w:val="211"/>
        <w:keepNext/>
        <w:widowControl w:val="0"/>
        <w:tabs>
          <w:tab w:val="left" w:pos="709"/>
        </w:tabs>
        <w:suppressAutoHyphens w:val="0"/>
        <w:autoSpaceDE w:val="0"/>
        <w:ind w:firstLine="709"/>
      </w:pPr>
      <w:r w:rsidRPr="00F7290F">
        <w:t xml:space="preserve">Стабільний розвиток будівельної галузі, створення платоспроможного попиту на житло сприятиме вирішенню питання забезпечення громадян житлом та загальному економічному зростанню в регіоні. </w:t>
      </w:r>
    </w:p>
    <w:p w:rsidR="007F3544" w:rsidRPr="00F7290F" w:rsidRDefault="007F3544" w:rsidP="007F3544">
      <w:pPr>
        <w:pStyle w:val="211"/>
        <w:keepNext/>
        <w:widowControl w:val="0"/>
        <w:tabs>
          <w:tab w:val="left" w:pos="709"/>
        </w:tabs>
        <w:suppressAutoHyphens w:val="0"/>
        <w:autoSpaceDE w:val="0"/>
        <w:spacing w:after="0" w:line="360" w:lineRule="auto"/>
        <w:ind w:firstLine="601"/>
        <w:rPr>
          <w:b/>
        </w:rPr>
      </w:pPr>
      <w:r w:rsidRPr="00F7290F">
        <w:rPr>
          <w:b/>
        </w:rPr>
        <w:t>Актуальні проблеми:</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недостатні обсяги будівництва багатоквартирного житла;</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наявність житлових довгобудів з високим ступенем готовності;</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низький рівень доходів населення, яке потребує  покращення житлових умов;</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відсутність доступу до недорогого фінансування для забудовників</w:t>
      </w:r>
    </w:p>
    <w:p w:rsidR="007F3544" w:rsidRPr="00F7290F" w:rsidRDefault="007F3544" w:rsidP="007F3544">
      <w:pPr>
        <w:pStyle w:val="211"/>
        <w:keepNext/>
        <w:widowControl w:val="0"/>
        <w:suppressAutoHyphens w:val="0"/>
        <w:autoSpaceDE w:val="0"/>
        <w:spacing w:after="0"/>
        <w:ind w:left="601" w:firstLine="0"/>
      </w:pP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t>Головна мета:</w:t>
      </w:r>
    </w:p>
    <w:p w:rsidR="007F3544" w:rsidRPr="00F7290F" w:rsidRDefault="007F3544" w:rsidP="007F3544">
      <w:pPr>
        <w:pStyle w:val="211"/>
        <w:keepNext/>
        <w:widowControl w:val="0"/>
        <w:tabs>
          <w:tab w:val="left" w:pos="709"/>
        </w:tabs>
        <w:suppressAutoHyphens w:val="0"/>
        <w:autoSpaceDE w:val="0"/>
        <w:spacing w:before="120" w:line="20" w:lineRule="atLeast"/>
        <w:ind w:firstLine="601"/>
        <w:rPr>
          <w:b/>
          <w:i/>
        </w:rPr>
      </w:pPr>
      <w:r w:rsidRPr="00F7290F">
        <w:t>Забезпечення реалізації соціальних ініціатив Президента України, спрямованих на вирішення проблеми забезпечення дешевим і доступним житлом громадян, добудову об’єктів житлового будівництва, створення стабільного попиту на житло, зменшення соціальної напруги у суспільстві.</w:t>
      </w: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t>Ризики:</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кризові явища на ринку житла;</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зростання впливу інфляційних процесів на доходи споживачів;</w:t>
      </w:r>
    </w:p>
    <w:p w:rsidR="007F3544" w:rsidRPr="00F7290F" w:rsidRDefault="007F3544" w:rsidP="007F3544">
      <w:pPr>
        <w:pStyle w:val="211"/>
        <w:keepNext/>
        <w:widowControl w:val="0"/>
        <w:numPr>
          <w:ilvl w:val="0"/>
          <w:numId w:val="15"/>
        </w:numPr>
        <w:tabs>
          <w:tab w:val="clear" w:pos="960"/>
          <w:tab w:val="num" w:pos="720"/>
        </w:tabs>
        <w:suppressAutoHyphens w:val="0"/>
        <w:autoSpaceDE w:val="0"/>
        <w:ind w:left="720" w:hanging="119"/>
      </w:pPr>
      <w:r w:rsidRPr="00F7290F">
        <w:t>відсутність довіри у громадян щодо стабільного фінансування державних житлових програм.</w:t>
      </w: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t>Основні завдання:</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реалізація пілотного проекту будівництва доступного житла «Будуємо разом», в рамках якого планується введення житлових будинків;</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реалізація Програми будівництва (придбання) доступного житла в Донецькій області на 2010-2017 роки; </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сприяння реалізації Програми пільгового іпотечного кредитування для забезпечення доступним житлом громадян;</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сприяння добудові трьох проблемних об’єктів житлового призначення у мм. Донецьк і Амвросіївка, у будівництво яких інвестовано кошти населення;</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зменшення кількості незавершених житлових будинків шляхом добудови багатоквартирного житла зі ступенем будівельної готовності понад 50%; </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спрямування коштів міських бюджетів (51,2 млн.грн.)на будівництво житла для громадян, в першу чергу пільгових категорій, які перебувають на квартирному обліку в органах місцевого самоврядування;</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забезпечення житлом (14,6 тис.кв.м) на пільгових умовах мешканців районів за програмою індивідуального житлового будівництва на селі «Власний дім»; </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сприяння реалізації Державної програми забезпечення молоді житлом, в рамках якої передбачається побудувати та ввести в експлуатацію для молодих сімей та одиноких молодих громадян 16,5 тис. кв.м загальної площі житла у м.Донецьк;</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реконструкція гуртожитків у містах Донецьк, Жданівка, Маріуполь, Ясинувата, Володарський район;</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сприяння будівництву та реконструкції індивідуальних житлових будинків площею 159,9 тис.кв.м;</w:t>
      </w:r>
    </w:p>
    <w:p w:rsidR="007F3544" w:rsidRPr="00F7290F" w:rsidRDefault="007F3544" w:rsidP="007F3544">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спорудження</w:t>
      </w:r>
      <w:r w:rsidRPr="00F7290F">
        <w:rPr>
          <w:bCs/>
          <w:snapToGrid w:val="0"/>
          <w:lang w:val="uk-UA"/>
        </w:rPr>
        <w:t xml:space="preserve"> житла з використанням економічних та енергозберігаючих</w:t>
      </w:r>
      <w:r w:rsidRPr="00F7290F">
        <w:rPr>
          <w:lang w:val="uk-UA"/>
        </w:rPr>
        <w:t xml:space="preserve"> технологій.</w:t>
      </w: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t>Критерії досягнення:</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введення в експлуатацію 300,3 тис.кв.м загальної площі житла (86,8% до рівня                    2012 року);</w:t>
      </w:r>
    </w:p>
    <w:p w:rsidR="007F3544" w:rsidRPr="00F7290F" w:rsidRDefault="007F3544" w:rsidP="007F3544">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загальний обсяг інвестицій</w:t>
      </w:r>
      <w:r w:rsidRPr="00F7290F">
        <w:rPr>
          <w:lang w:val="uk-UA"/>
        </w:rPr>
        <w:t xml:space="preserve"> у житлове будівництво за рахунок усіх джерел фінансування становитиме майже </w:t>
      </w:r>
      <w:r w:rsidR="00D91C3E">
        <w:rPr>
          <w:lang w:val="uk-UA"/>
        </w:rPr>
        <w:t>1572,6</w:t>
      </w:r>
      <w:r w:rsidRPr="00F7290F">
        <w:rPr>
          <w:lang w:val="uk-UA"/>
        </w:rPr>
        <w:t xml:space="preserve"> млн.грн.</w:t>
      </w: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lastRenderedPageBreak/>
        <w:t>Ресурсне забезпечення</w:t>
      </w:r>
    </w:p>
    <w:p w:rsidR="007F3544" w:rsidRPr="00F7290F" w:rsidRDefault="007F3544" w:rsidP="007F3544">
      <w:pPr>
        <w:keepNext/>
        <w:widowControl w:val="0"/>
        <w:spacing w:after="80"/>
        <w:ind w:firstLine="709"/>
        <w:jc w:val="both"/>
        <w:rPr>
          <w:lang w:val="uk-UA"/>
        </w:rPr>
      </w:pPr>
      <w:r w:rsidRPr="00F7290F">
        <w:rPr>
          <w:lang w:val="uk-UA"/>
        </w:rPr>
        <w:t xml:space="preserve">Передбачається реалізація заходів </w:t>
      </w:r>
      <w:r w:rsidRPr="00F7290F">
        <w:rPr>
          <w:bCs/>
          <w:snapToGrid w:val="0"/>
          <w:lang w:val="uk-UA"/>
        </w:rPr>
        <w:t>Програми будівництва (придбання) доступного житла в Донецькій області на 2010-2017 роки, завдань і заходів Державної програми забезпечення молоді житлом на 2013 – 2017 роки</w:t>
      </w:r>
      <w:r w:rsidRPr="00F7290F">
        <w:rPr>
          <w:lang w:val="uk-UA"/>
        </w:rPr>
        <w:t>;</w:t>
      </w:r>
    </w:p>
    <w:p w:rsidR="00DE2B1E" w:rsidRPr="00F7290F" w:rsidRDefault="00DE2B1E" w:rsidP="00DE2B1E">
      <w:pPr>
        <w:keepNext/>
        <w:widowControl w:val="0"/>
        <w:spacing w:after="80"/>
        <w:ind w:firstLine="709"/>
        <w:jc w:val="both"/>
        <w:rPr>
          <w:lang w:val="uk-UA"/>
        </w:rPr>
      </w:pPr>
      <w:r w:rsidRPr="00F7290F">
        <w:rPr>
          <w:lang w:val="uk-UA"/>
        </w:rPr>
        <w:t xml:space="preserve">На фінансування заходів регіональної програми житлового будівництва передбачається спрямувати </w:t>
      </w:r>
      <w:r w:rsidR="00077FE5">
        <w:rPr>
          <w:lang w:val="uk-UA"/>
        </w:rPr>
        <w:t xml:space="preserve">351,3 </w:t>
      </w:r>
      <w:r w:rsidRPr="00F7290F">
        <w:rPr>
          <w:lang w:val="uk-UA"/>
        </w:rPr>
        <w:t xml:space="preserve">млн.грн., у т.ч. за рахунок коштів державного і місцевих бюджетів -  </w:t>
      </w:r>
      <w:r w:rsidR="00077FE5">
        <w:rPr>
          <w:lang w:val="uk-UA"/>
        </w:rPr>
        <w:t>76,9</w:t>
      </w:r>
      <w:r w:rsidRPr="00F7290F">
        <w:rPr>
          <w:lang w:val="uk-UA"/>
        </w:rPr>
        <w:t xml:space="preserve"> млн.грн., власних коштів підприємств і організацій – 218,7 млн.грн., інших джерел –  </w:t>
      </w:r>
      <w:r w:rsidR="00077FE5">
        <w:rPr>
          <w:lang w:val="uk-UA"/>
        </w:rPr>
        <w:t>55,7</w:t>
      </w:r>
      <w:r w:rsidRPr="00F7290F">
        <w:rPr>
          <w:lang w:val="uk-UA"/>
        </w:rPr>
        <w:t xml:space="preserve"> млн.грн.</w:t>
      </w:r>
    </w:p>
    <w:p w:rsidR="002812B0" w:rsidRPr="00F7290F" w:rsidRDefault="002812B0" w:rsidP="00D65D2E">
      <w:pPr>
        <w:keepNext/>
        <w:widowControl w:val="0"/>
        <w:jc w:val="center"/>
        <w:rPr>
          <w:b/>
          <w:spacing w:val="-4"/>
          <w:lang w:val="uk-UA"/>
        </w:rPr>
      </w:pPr>
      <w:r w:rsidRPr="00F7290F">
        <w:rPr>
          <w:b/>
          <w:spacing w:val="-4"/>
          <w:lang w:val="uk-UA"/>
        </w:rPr>
        <w:t xml:space="preserve">Обсяг введеного в експлуатацію житла </w:t>
      </w:r>
    </w:p>
    <w:p w:rsidR="002812B0" w:rsidRPr="00F7290F" w:rsidRDefault="002812B0" w:rsidP="00D65D2E">
      <w:pPr>
        <w:keepNext/>
        <w:widowControl w:val="0"/>
        <w:spacing w:after="120"/>
        <w:jc w:val="center"/>
        <w:rPr>
          <w:b/>
          <w:spacing w:val="-4"/>
          <w:lang w:val="uk-UA"/>
        </w:rPr>
      </w:pPr>
      <w:r w:rsidRPr="00F7290F">
        <w:rPr>
          <w:b/>
          <w:spacing w:val="-4"/>
          <w:lang w:val="uk-UA"/>
        </w:rPr>
        <w:t>за рахунок усіх джерел фінансування, тис.кв.м</w:t>
      </w:r>
    </w:p>
    <w:p w:rsidR="002812B0" w:rsidRPr="00F7290F" w:rsidRDefault="00914A69" w:rsidP="00D65D2E">
      <w:pPr>
        <w:keepNext/>
        <w:widowControl w:val="0"/>
        <w:spacing w:after="120"/>
        <w:jc w:val="center"/>
        <w:rPr>
          <w:b/>
          <w:color w:val="FF0000"/>
          <w:lang w:val="uk-UA"/>
        </w:rPr>
      </w:pPr>
      <w:r w:rsidRPr="00914A69">
        <w:rPr>
          <w:noProof/>
          <w:color w:val="FF0000"/>
          <w:lang w:val="uk-UA"/>
        </w:rPr>
        <w:pict>
          <v:shapetype id="_x0000_t202" coordsize="21600,21600" o:spt="202" path="m,l,21600r21600,l21600,xe">
            <v:stroke joinstyle="miter"/>
            <v:path gradientshapeok="t" o:connecttype="rect"/>
          </v:shapetype>
          <v:shape id="_x0000_s1383" type="#_x0000_t202" style="position:absolute;left:0;text-align:left;margin-left:108.3pt;margin-top:116.15pt;width:37.65pt;height:19pt;z-index:251738112">
            <v:textbox style="mso-next-textbox:#_x0000_s1383">
              <w:txbxContent>
                <w:p w:rsidR="00FC0B4D" w:rsidRPr="000C4ACC" w:rsidRDefault="00FC0B4D" w:rsidP="002812B0">
                  <w:pPr>
                    <w:rPr>
                      <w:sz w:val="20"/>
                      <w:szCs w:val="20"/>
                    </w:rPr>
                  </w:pPr>
                  <w:r w:rsidRPr="000C4ACC">
                    <w:rPr>
                      <w:sz w:val="20"/>
                      <w:szCs w:val="20"/>
                    </w:rPr>
                    <w:t>106,2</w:t>
                  </w:r>
                </w:p>
              </w:txbxContent>
            </v:textbox>
          </v:shape>
        </w:pict>
      </w:r>
      <w:r w:rsidRPr="00914A69">
        <w:rPr>
          <w:noProof/>
          <w:color w:val="FF0000"/>
          <w:lang w:val="uk-UA"/>
        </w:rPr>
        <w:pict>
          <v:shape id="_x0000_s1386" type="#_x0000_t202" style="position:absolute;left:0;text-align:left;margin-left:317.75pt;margin-top:111.05pt;width:36.7pt;height:19pt;z-index:251741184">
            <v:textbox style="mso-next-textbox:#_x0000_s1386">
              <w:txbxContent>
                <w:p w:rsidR="00FC0B4D" w:rsidRPr="007F3544" w:rsidRDefault="00FC0B4D" w:rsidP="002812B0">
                  <w:pPr>
                    <w:rPr>
                      <w:sz w:val="20"/>
                      <w:szCs w:val="20"/>
                      <w:lang w:val="uk-UA"/>
                    </w:rPr>
                  </w:pPr>
                  <w:r>
                    <w:rPr>
                      <w:sz w:val="20"/>
                      <w:szCs w:val="20"/>
                      <w:lang w:val="uk-UA"/>
                    </w:rPr>
                    <w:t>86,8</w:t>
                  </w:r>
                </w:p>
                <w:p w:rsidR="00FC0B4D" w:rsidRPr="000C4ACC" w:rsidRDefault="00FC0B4D" w:rsidP="002812B0">
                  <w:pPr>
                    <w:rPr>
                      <w:sz w:val="20"/>
                      <w:szCs w:val="20"/>
                    </w:rPr>
                  </w:pPr>
                </w:p>
              </w:txbxContent>
            </v:textbox>
          </v:shape>
        </w:pict>
      </w:r>
      <w:r w:rsidRPr="00914A69">
        <w:rPr>
          <w:noProof/>
          <w:color w:val="FF0000"/>
          <w:lang w:val="uk-UA"/>
        </w:rPr>
        <w:pict>
          <v:shape id="_x0000_s1387" type="#_x0000_t202" style="position:absolute;left:0;text-align:left;margin-left:348.95pt;margin-top:135.15pt;width:36pt;height:19pt;z-index:251742208">
            <v:textbox style="mso-next-textbox:#_x0000_s1387">
              <w:txbxContent>
                <w:p w:rsidR="00FC0B4D" w:rsidRPr="007F3544" w:rsidRDefault="00FC0B4D" w:rsidP="002812B0">
                  <w:pPr>
                    <w:rPr>
                      <w:sz w:val="20"/>
                      <w:szCs w:val="20"/>
                      <w:lang w:val="uk-UA"/>
                    </w:rPr>
                  </w:pPr>
                  <w:r>
                    <w:rPr>
                      <w:sz w:val="20"/>
                      <w:szCs w:val="20"/>
                      <w:lang w:val="uk-UA"/>
                    </w:rPr>
                    <w:t>60,1</w:t>
                  </w:r>
                </w:p>
              </w:txbxContent>
            </v:textbox>
          </v:shape>
        </w:pict>
      </w:r>
      <w:r w:rsidRPr="00914A69">
        <w:rPr>
          <w:noProof/>
          <w:color w:val="FF0000"/>
          <w:lang w:val="uk-UA"/>
        </w:rPr>
        <w:pict>
          <v:shape id="_x0000_s1385" type="#_x0000_t202" style="position:absolute;left:0;text-align:left;margin-left:228.3pt;margin-top:85.75pt;width:42pt;height:19.05pt;z-index:251740160">
            <v:textbox style="mso-next-textbox:#_x0000_s1385">
              <w:txbxContent>
                <w:p w:rsidR="00FC0B4D" w:rsidRPr="007F3544" w:rsidRDefault="00FC0B4D" w:rsidP="002812B0">
                  <w:pPr>
                    <w:rPr>
                      <w:sz w:val="20"/>
                      <w:szCs w:val="20"/>
                      <w:lang w:val="uk-UA"/>
                    </w:rPr>
                  </w:pPr>
                  <w:r>
                    <w:rPr>
                      <w:sz w:val="20"/>
                      <w:szCs w:val="20"/>
                      <w:lang w:val="uk-UA"/>
                    </w:rPr>
                    <w:t>161,9</w:t>
                  </w:r>
                </w:p>
              </w:txbxContent>
            </v:textbox>
          </v:shape>
        </w:pict>
      </w:r>
      <w:r w:rsidRPr="00914A69">
        <w:rPr>
          <w:noProof/>
          <w:color w:val="FF0000"/>
          <w:lang w:val="uk-UA"/>
        </w:rPr>
        <w:pict>
          <v:shape id="_x0000_s1384" type="#_x0000_t202" style="position:absolute;left:0;text-align:left;margin-left:192.8pt;margin-top:59.8pt;width:41.9pt;height:19pt;z-index:251739136">
            <v:textbox style="mso-next-textbox:#_x0000_s1384">
              <w:txbxContent>
                <w:p w:rsidR="00FC0B4D" w:rsidRPr="007F3544" w:rsidRDefault="00FC0B4D" w:rsidP="002812B0">
                  <w:pPr>
                    <w:rPr>
                      <w:sz w:val="22"/>
                      <w:szCs w:val="22"/>
                      <w:lang w:val="uk-UA"/>
                    </w:rPr>
                  </w:pPr>
                  <w:r>
                    <w:rPr>
                      <w:sz w:val="22"/>
                      <w:szCs w:val="22"/>
                      <w:lang w:val="uk-UA"/>
                    </w:rPr>
                    <w:t>119,6</w:t>
                  </w:r>
                </w:p>
              </w:txbxContent>
            </v:textbox>
          </v:shape>
        </w:pict>
      </w:r>
      <w:r w:rsidRPr="00914A69">
        <w:rPr>
          <w:noProof/>
          <w:color w:val="FF0000"/>
          <w:sz w:val="16"/>
          <w:szCs w:val="16"/>
          <w:lang w:val="uk-UA"/>
        </w:rPr>
        <w:pict>
          <v:shape id="_x0000_s1382" type="#_x0000_t202" style="position:absolute;left:0;text-align:left;margin-left:78pt;margin-top:92.05pt;width:36pt;height:19pt;z-index:251737088">
            <v:textbox style="mso-next-textbox:#_x0000_s1382">
              <w:txbxContent>
                <w:p w:rsidR="00FC0B4D" w:rsidRPr="000C4ACC" w:rsidRDefault="00FC0B4D" w:rsidP="002812B0">
                  <w:pPr>
                    <w:rPr>
                      <w:sz w:val="20"/>
                      <w:szCs w:val="20"/>
                    </w:rPr>
                  </w:pPr>
                  <w:r w:rsidRPr="000C4ACC">
                    <w:rPr>
                      <w:sz w:val="20"/>
                      <w:szCs w:val="20"/>
                    </w:rPr>
                    <w:t>98,6</w:t>
                  </w:r>
                </w:p>
              </w:txbxContent>
            </v:textbox>
          </v:shape>
        </w:pict>
      </w:r>
      <w:r w:rsidR="002812B0" w:rsidRPr="00F7290F">
        <w:rPr>
          <w:noProof/>
          <w:color w:val="FF0000"/>
          <w:sz w:val="16"/>
          <w:szCs w:val="16"/>
        </w:rPr>
        <w:drawing>
          <wp:inline distT="0" distB="0" distL="0" distR="0">
            <wp:extent cx="6103089" cy="2945218"/>
            <wp:effectExtent l="0" t="0" r="0" b="0"/>
            <wp:docPr id="8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812B0" w:rsidRPr="00F7290F" w:rsidRDefault="002812B0" w:rsidP="00D65D2E">
      <w:pPr>
        <w:keepNext/>
        <w:widowControl w:val="0"/>
        <w:spacing w:after="120"/>
        <w:ind w:firstLine="709"/>
        <w:jc w:val="both"/>
        <w:rPr>
          <w:sz w:val="28"/>
          <w:szCs w:val="28"/>
          <w:lang w:val="uk-UA"/>
        </w:rPr>
      </w:pPr>
      <w:r w:rsidRPr="00F7290F">
        <w:rPr>
          <w:lang w:val="uk-UA"/>
        </w:rPr>
        <w:t>Основні показники житлового будівництва на 2013 рік надаються у таблицях 1-7.</w:t>
      </w:r>
    </w:p>
    <w:p w:rsidR="002812B0" w:rsidRPr="00F7290F" w:rsidRDefault="002812B0" w:rsidP="00D65D2E">
      <w:pPr>
        <w:keepNext/>
        <w:widowControl w:val="0"/>
        <w:tabs>
          <w:tab w:val="left" w:pos="652"/>
          <w:tab w:val="left" w:pos="8188"/>
        </w:tabs>
        <w:spacing w:after="120"/>
        <w:jc w:val="center"/>
        <w:rPr>
          <w:color w:val="FF0000"/>
          <w:sz w:val="28"/>
          <w:szCs w:val="28"/>
          <w:lang w:val="uk-UA"/>
        </w:rPr>
        <w:sectPr w:rsidR="002812B0" w:rsidRPr="00F7290F" w:rsidSect="00CD4824">
          <w:pgSz w:w="11906" w:h="16838"/>
          <w:pgMar w:top="1134" w:right="1134" w:bottom="1134" w:left="1134" w:header="709" w:footer="709" w:gutter="0"/>
          <w:cols w:space="708"/>
          <w:docGrid w:linePitch="360"/>
        </w:sectPr>
      </w:pPr>
    </w:p>
    <w:p w:rsidR="002812B0" w:rsidRPr="00F7290F" w:rsidRDefault="002812B0" w:rsidP="00D65D2E">
      <w:pPr>
        <w:keepNext/>
        <w:widowControl w:val="0"/>
        <w:jc w:val="right"/>
        <w:rPr>
          <w:sz w:val="20"/>
          <w:szCs w:val="20"/>
          <w:lang w:val="uk-UA"/>
        </w:rPr>
      </w:pPr>
      <w:r w:rsidRPr="00F7290F">
        <w:rPr>
          <w:sz w:val="20"/>
          <w:szCs w:val="20"/>
          <w:lang w:val="uk-UA"/>
        </w:rPr>
        <w:lastRenderedPageBreak/>
        <w:t>Таблиця 1</w:t>
      </w:r>
    </w:p>
    <w:p w:rsidR="002812B0" w:rsidRPr="00F7290F" w:rsidRDefault="002812B0" w:rsidP="00D65D2E">
      <w:pPr>
        <w:keepNext/>
        <w:widowControl w:val="0"/>
        <w:jc w:val="right"/>
        <w:rPr>
          <w:sz w:val="20"/>
          <w:szCs w:val="20"/>
          <w:lang w:val="uk-UA"/>
        </w:rPr>
      </w:pPr>
    </w:p>
    <w:p w:rsidR="002812B0" w:rsidRPr="00F7290F" w:rsidRDefault="002812B0" w:rsidP="00D65D2E">
      <w:pPr>
        <w:keepNext/>
        <w:widowControl w:val="0"/>
        <w:jc w:val="center"/>
        <w:rPr>
          <w:lang w:val="uk-UA"/>
        </w:rPr>
      </w:pPr>
      <w:r w:rsidRPr="00F7290F">
        <w:rPr>
          <w:b/>
          <w:bCs/>
          <w:sz w:val="28"/>
          <w:szCs w:val="28"/>
          <w:lang w:val="uk-UA"/>
        </w:rPr>
        <w:t>Дані про квартирний облік та надання житла населенню в Донецькій області станом на 01.01.2012</w:t>
      </w:r>
    </w:p>
    <w:p w:rsidR="002812B0" w:rsidRPr="00F7290F" w:rsidRDefault="002812B0" w:rsidP="00D65D2E">
      <w:pPr>
        <w:keepNext/>
        <w:widowControl w:val="0"/>
        <w:jc w:val="right"/>
        <w:rPr>
          <w:lang w:val="uk-UA"/>
        </w:rPr>
      </w:pPr>
    </w:p>
    <w:tbl>
      <w:tblPr>
        <w:tblW w:w="14845" w:type="dxa"/>
        <w:tblInd w:w="58" w:type="dxa"/>
        <w:tblLayout w:type="fixed"/>
        <w:tblLook w:val="0000"/>
      </w:tblPr>
      <w:tblGrid>
        <w:gridCol w:w="2940"/>
        <w:gridCol w:w="3915"/>
        <w:gridCol w:w="3960"/>
        <w:gridCol w:w="4030"/>
      </w:tblGrid>
      <w:tr w:rsidR="002812B0" w:rsidRPr="00F7290F" w:rsidTr="00137FD3">
        <w:trPr>
          <w:trHeight w:val="520"/>
          <w:tblHeader/>
        </w:trPr>
        <w:tc>
          <w:tcPr>
            <w:tcW w:w="2940" w:type="dxa"/>
            <w:vMerge w:val="restart"/>
            <w:tcBorders>
              <w:top w:val="single" w:sz="4" w:space="0" w:color="000000"/>
              <w:left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Найменування міст та районів</w:t>
            </w:r>
          </w:p>
          <w:p w:rsidR="002812B0" w:rsidRPr="00F7290F" w:rsidRDefault="002812B0" w:rsidP="00D65D2E">
            <w:pPr>
              <w:keepNext/>
              <w:widowControl w:val="0"/>
              <w:jc w:val="center"/>
              <w:rPr>
                <w:lang w:val="uk-UA"/>
              </w:rPr>
            </w:pPr>
          </w:p>
        </w:tc>
        <w:tc>
          <w:tcPr>
            <w:tcW w:w="3915" w:type="dxa"/>
            <w:vMerge w:val="restart"/>
            <w:tcBorders>
              <w:top w:val="single" w:sz="4" w:space="0" w:color="000000"/>
              <w:left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Кількість сімей та одинаків,</w:t>
            </w:r>
          </w:p>
          <w:p w:rsidR="002812B0" w:rsidRPr="00F7290F" w:rsidRDefault="002812B0" w:rsidP="00D65D2E">
            <w:pPr>
              <w:keepNext/>
              <w:widowControl w:val="0"/>
              <w:jc w:val="center"/>
              <w:rPr>
                <w:lang w:val="uk-UA"/>
              </w:rPr>
            </w:pPr>
            <w:r w:rsidRPr="00F7290F">
              <w:rPr>
                <w:lang w:val="uk-UA"/>
              </w:rPr>
              <w:t>які перебували на квартирному</w:t>
            </w:r>
          </w:p>
          <w:p w:rsidR="002812B0" w:rsidRPr="00F7290F" w:rsidRDefault="002812B0" w:rsidP="00D65D2E">
            <w:pPr>
              <w:keepNext/>
              <w:widowControl w:val="0"/>
              <w:jc w:val="center"/>
              <w:rPr>
                <w:lang w:val="uk-UA"/>
              </w:rPr>
            </w:pPr>
            <w:r w:rsidRPr="00F7290F">
              <w:rPr>
                <w:lang w:val="uk-UA"/>
              </w:rPr>
              <w:t>обліку на кінець 2011 року</w:t>
            </w:r>
          </w:p>
        </w:tc>
        <w:tc>
          <w:tcPr>
            <w:tcW w:w="79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Кількість сімей та одинаків, які одержали житло та поліпшили</w:t>
            </w:r>
          </w:p>
          <w:p w:rsidR="002812B0" w:rsidRPr="00F7290F" w:rsidRDefault="002812B0" w:rsidP="00D65D2E">
            <w:pPr>
              <w:keepNext/>
              <w:widowControl w:val="0"/>
              <w:jc w:val="center"/>
              <w:rPr>
                <w:lang w:val="uk-UA"/>
              </w:rPr>
            </w:pPr>
            <w:r w:rsidRPr="00F7290F">
              <w:rPr>
                <w:lang w:val="uk-UA"/>
              </w:rPr>
              <w:t>свої житлові умови у 2011 році</w:t>
            </w:r>
          </w:p>
        </w:tc>
      </w:tr>
      <w:tr w:rsidR="002812B0" w:rsidRPr="00F7290F" w:rsidTr="00137FD3">
        <w:trPr>
          <w:trHeight w:val="520"/>
          <w:tblHeader/>
        </w:trPr>
        <w:tc>
          <w:tcPr>
            <w:tcW w:w="294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jc w:val="center"/>
              <w:rPr>
                <w:lang w:val="uk-UA"/>
              </w:rPr>
            </w:pPr>
          </w:p>
        </w:tc>
        <w:tc>
          <w:tcPr>
            <w:tcW w:w="3915"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jc w:val="center"/>
              <w:rPr>
                <w:lang w:val="uk-UA"/>
              </w:rPr>
            </w:pPr>
          </w:p>
        </w:tc>
        <w:tc>
          <w:tcPr>
            <w:tcW w:w="3960" w:type="dxa"/>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кількість сімей та одинаків</w:t>
            </w:r>
          </w:p>
        </w:tc>
        <w:tc>
          <w:tcPr>
            <w:tcW w:w="4030" w:type="dxa"/>
            <w:tcBorders>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у % до кількості</w:t>
            </w:r>
            <w:r w:rsidR="000C4ACC" w:rsidRPr="00F7290F">
              <w:rPr>
                <w:lang w:val="uk-UA"/>
              </w:rPr>
              <w:t>,</w:t>
            </w:r>
            <w:r w:rsidRPr="00F7290F">
              <w:rPr>
                <w:lang w:val="uk-UA"/>
              </w:rPr>
              <w:t xml:space="preserve"> </w:t>
            </w:r>
            <w:r w:rsidR="000C4ACC" w:rsidRPr="00F7290F">
              <w:rPr>
                <w:lang w:val="uk-UA"/>
              </w:rPr>
              <w:t>що перебували</w:t>
            </w:r>
          </w:p>
          <w:p w:rsidR="002812B0" w:rsidRPr="00F7290F" w:rsidRDefault="002812B0" w:rsidP="00D65D2E">
            <w:pPr>
              <w:keepNext/>
              <w:widowControl w:val="0"/>
              <w:jc w:val="center"/>
              <w:rPr>
                <w:b/>
                <w:bCs/>
                <w:lang w:val="uk-UA"/>
              </w:rPr>
            </w:pPr>
            <w:r w:rsidRPr="00F7290F">
              <w:rPr>
                <w:lang w:val="uk-UA"/>
              </w:rPr>
              <w:t>у черзі на кінець попереднього року</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b/>
                <w:bCs/>
                <w:lang w:val="uk-UA"/>
              </w:rPr>
            </w:pPr>
            <w:r w:rsidRPr="00F7290F">
              <w:rPr>
                <w:b/>
                <w:bCs/>
                <w:lang w:val="uk-UA"/>
              </w:rPr>
              <w:t>Всього по області</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b/>
                <w:bCs/>
                <w:lang w:val="uk-UA"/>
              </w:rPr>
            </w:pPr>
            <w:r w:rsidRPr="00F7290F">
              <w:rPr>
                <w:rFonts w:ascii="Times New Roman CYR" w:hAnsi="Times New Roman CYR" w:cs="Times New Roman CYR"/>
                <w:b/>
                <w:bCs/>
                <w:lang w:val="uk-UA"/>
              </w:rPr>
              <w:t>78548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lang w:val="uk-UA"/>
              </w:rPr>
            </w:pPr>
            <w:r w:rsidRPr="00F7290F">
              <w:rPr>
                <w:rFonts w:ascii="Times New Roman CYR" w:hAnsi="Times New Roman CYR" w:cs="Times New Roman CYR"/>
                <w:b/>
                <w:bCs/>
                <w:lang w:val="uk-UA"/>
              </w:rPr>
              <w:t>1020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b/>
                <w:bCs/>
                <w:lang w:val="uk-UA"/>
              </w:rPr>
              <w:t>1,3</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jc w:val="center"/>
              <w:rPr>
                <w:lang w:val="uk-UA"/>
              </w:rPr>
            </w:pPr>
            <w:r w:rsidRPr="00F7290F">
              <w:rPr>
                <w:lang w:val="uk-UA"/>
              </w:rPr>
              <w:t>у тому числі:</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b/>
                <w:bCs/>
                <w:lang w:val="uk-UA"/>
              </w:rPr>
            </w:pP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Донецьк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29814</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132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0,44</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Авдіївка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659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0,91</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Артемівськ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2348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27</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1,15</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lang w:val="uk-UA"/>
              </w:rPr>
            </w:pPr>
            <w:r w:rsidRPr="00F7290F">
              <w:rPr>
                <w:lang w:val="uk-UA"/>
              </w:rPr>
              <w:t>Вугледар</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lang w:val="uk-UA"/>
              </w:rPr>
              <w:t>542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0,18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Горлівка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4948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75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1,52</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Дебальцеве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1518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1,19</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Дзержинськ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592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65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10,98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Димитров</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793</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55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6,94</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Добропілля</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1065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7,98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Докучаєвськ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528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0,19</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Дружківка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647</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0,62</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Єнакієве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1451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5,93</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Жданівка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89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7</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0,89</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Кіровське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90</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5,56</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Костянтинівка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350</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2,86</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Краматорськ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3099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0,32</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Красноармійськ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1074</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3</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0,28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Красний Лиман</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749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1,07</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Макіївка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4826</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94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1,95</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Маріуполь</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11261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0,78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Новогродівка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33</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24,24</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Селидове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711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70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9,85</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Слов'янськ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1641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0,3</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Cніжне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562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19</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3,38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lastRenderedPageBreak/>
              <w:t>Торез</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461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4,34</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Харцизьк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2555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0,86</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Шахтарськ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200</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9</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Ясинувата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1275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0,31</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lang w:val="uk-UA"/>
              </w:rPr>
            </w:pP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 xml:space="preserve">Амвросіївський </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529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0,95</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Артемівський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151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3,97</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Великоновосілківський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205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1,95</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Волноваський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887</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Володарський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37</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9</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24,32</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lang w:val="uk-UA"/>
              </w:rPr>
            </w:pPr>
            <w:r w:rsidRPr="00F7290F">
              <w:rPr>
                <w:lang w:val="uk-UA"/>
              </w:rPr>
              <w:t>Добропільський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Костянтинівський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lang w:val="uk-UA"/>
              </w:rPr>
            </w:pPr>
            <w:r w:rsidRPr="00F7290F">
              <w:rPr>
                <w:lang w:val="uk-UA"/>
              </w:rPr>
              <w:t>Красноармійський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Мар'їнський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1097</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0,09</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Новоазовський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376</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5,85</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Олександрівський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7,14</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Першотравневий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142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Слов'янський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1,18</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Старобешівський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912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0,44</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Тельманівський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115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Шахтарський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73,68</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Ясинуватський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84</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7,14</w:t>
            </w: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b/>
          <w:bCs/>
          <w:color w:val="000000" w:themeColor="text1"/>
          <w:sz w:val="28"/>
          <w:szCs w:val="28"/>
          <w:lang w:val="uk-UA"/>
        </w:rPr>
      </w:pPr>
      <w:r w:rsidRPr="00F220A7">
        <w:rPr>
          <w:color w:val="000000" w:themeColor="text1"/>
          <w:sz w:val="20"/>
          <w:szCs w:val="20"/>
          <w:lang w:val="uk-UA"/>
        </w:rPr>
        <w:lastRenderedPageBreak/>
        <w:t>Таблиця 2</w:t>
      </w:r>
    </w:p>
    <w:p w:rsidR="002812B0" w:rsidRPr="00F220A7" w:rsidRDefault="002812B0" w:rsidP="00D65D2E">
      <w:pPr>
        <w:keepNext/>
        <w:widowControl w:val="0"/>
        <w:jc w:val="center"/>
        <w:rPr>
          <w:color w:val="000000" w:themeColor="text1"/>
          <w:sz w:val="22"/>
          <w:szCs w:val="22"/>
          <w:lang w:val="uk-UA"/>
        </w:rPr>
      </w:pPr>
      <w:r w:rsidRPr="00F220A7">
        <w:rPr>
          <w:b/>
          <w:bCs/>
          <w:color w:val="000000" w:themeColor="text1"/>
          <w:sz w:val="28"/>
          <w:szCs w:val="28"/>
          <w:lang w:val="uk-UA"/>
        </w:rPr>
        <w:t>Показники обсягів введення в експлуатацію житла на 2013 рік за джерелами фінансування по Донецькій області</w:t>
      </w:r>
    </w:p>
    <w:p w:rsidR="002812B0" w:rsidRPr="00F220A7" w:rsidRDefault="002812B0" w:rsidP="00D65D2E">
      <w:pPr>
        <w:keepNext/>
        <w:widowControl w:val="0"/>
        <w:ind w:left="12744" w:firstLine="708"/>
        <w:jc w:val="center"/>
        <w:rPr>
          <w:color w:val="000000" w:themeColor="text1"/>
          <w:sz w:val="20"/>
          <w:szCs w:val="20"/>
          <w:lang w:val="uk-UA"/>
        </w:rPr>
      </w:pPr>
      <w:r w:rsidRPr="00F220A7">
        <w:rPr>
          <w:color w:val="000000" w:themeColor="text1"/>
          <w:sz w:val="22"/>
          <w:szCs w:val="22"/>
          <w:lang w:val="uk-UA"/>
        </w:rPr>
        <w:t>кв.м</w:t>
      </w:r>
    </w:p>
    <w:tbl>
      <w:tblPr>
        <w:tblW w:w="15004" w:type="dxa"/>
        <w:tblInd w:w="58" w:type="dxa"/>
        <w:tblLayout w:type="fixed"/>
        <w:tblLook w:val="0000"/>
      </w:tblPr>
      <w:tblGrid>
        <w:gridCol w:w="2428"/>
        <w:gridCol w:w="1180"/>
        <w:gridCol w:w="860"/>
        <w:gridCol w:w="980"/>
        <w:gridCol w:w="900"/>
        <w:gridCol w:w="1000"/>
        <w:gridCol w:w="1491"/>
        <w:gridCol w:w="939"/>
        <w:gridCol w:w="1418"/>
        <w:gridCol w:w="1533"/>
        <w:gridCol w:w="1365"/>
        <w:gridCol w:w="910"/>
      </w:tblGrid>
      <w:tr w:rsidR="002812B0" w:rsidRPr="00F220A7" w:rsidTr="00137FD3">
        <w:trPr>
          <w:trHeight w:val="255"/>
          <w:tblHeader/>
        </w:trPr>
        <w:tc>
          <w:tcPr>
            <w:tcW w:w="2428"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Найменування міст та районів</w:t>
            </w:r>
          </w:p>
        </w:tc>
        <w:tc>
          <w:tcPr>
            <w:tcW w:w="118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загальної площі</w:t>
            </w:r>
          </w:p>
        </w:tc>
        <w:tc>
          <w:tcPr>
            <w:tcW w:w="1139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 за рахунок коштів:</w:t>
            </w:r>
          </w:p>
        </w:tc>
      </w:tr>
      <w:tr w:rsidR="002812B0" w:rsidRPr="00F220A7" w:rsidTr="00137FD3">
        <w:trPr>
          <w:trHeight w:val="536"/>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840" w:type="dxa"/>
            <w:gridSpan w:val="2"/>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державного бюджету</w:t>
            </w:r>
          </w:p>
        </w:tc>
        <w:tc>
          <w:tcPr>
            <w:tcW w:w="1900" w:type="dxa"/>
            <w:gridSpan w:val="2"/>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місцевих бюджетів</w:t>
            </w:r>
          </w:p>
        </w:tc>
        <w:tc>
          <w:tcPr>
            <w:tcW w:w="1491" w:type="dxa"/>
            <w:vMerge w:val="restart"/>
            <w:tcBorders>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позабюджетних коштів на іпотечне та інші види кредитування</w:t>
            </w:r>
          </w:p>
        </w:tc>
        <w:tc>
          <w:tcPr>
            <w:tcW w:w="3890" w:type="dxa"/>
            <w:gridSpan w:val="3"/>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населення</w:t>
            </w:r>
          </w:p>
        </w:tc>
        <w:tc>
          <w:tcPr>
            <w:tcW w:w="1365" w:type="dxa"/>
            <w:vMerge w:val="restart"/>
            <w:tcBorders>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підприємств, установ та організацій</w:t>
            </w:r>
          </w:p>
        </w:tc>
        <w:tc>
          <w:tcPr>
            <w:tcW w:w="910" w:type="dxa"/>
            <w:vMerge w:val="restart"/>
            <w:tcBorders>
              <w:left w:val="single" w:sz="4" w:space="0" w:color="000000"/>
              <w:bottom w:val="single" w:sz="4" w:space="0" w:color="000000"/>
              <w:right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інших джерел</w:t>
            </w:r>
          </w:p>
        </w:tc>
      </w:tr>
      <w:tr w:rsidR="002812B0" w:rsidRPr="00F220A7" w:rsidTr="00137FD3">
        <w:trPr>
          <w:trHeight w:val="51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86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98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т.ч. кредиту-вання</w:t>
            </w:r>
          </w:p>
        </w:tc>
        <w:tc>
          <w:tcPr>
            <w:tcW w:w="90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100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т.ч. кредиту-вання</w:t>
            </w:r>
          </w:p>
        </w:tc>
        <w:tc>
          <w:tcPr>
            <w:tcW w:w="1491"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939"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1418"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кошти населення на будівництво власних квартир</w:t>
            </w:r>
          </w:p>
        </w:tc>
        <w:tc>
          <w:tcPr>
            <w:tcW w:w="1533"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кошти індивідуальних забудовників</w:t>
            </w:r>
          </w:p>
        </w:tc>
        <w:tc>
          <w:tcPr>
            <w:tcW w:w="1365"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10" w:type="dxa"/>
            <w:vMerge/>
            <w:tcBorders>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r w:rsidR="002812B0" w:rsidRPr="00F7290F" w:rsidTr="00137FD3">
        <w:trPr>
          <w:trHeight w:val="255"/>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86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8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0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00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91"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39"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18"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533"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365"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10" w:type="dxa"/>
            <w:vMerge/>
            <w:tcBorders>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r>
      <w:tr w:rsidR="002812B0" w:rsidRPr="00F7290F" w:rsidTr="00137FD3">
        <w:trPr>
          <w:trHeight w:val="57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86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8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0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00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91"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39"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18"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533"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365"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10" w:type="dxa"/>
            <w:vMerge/>
            <w:tcBorders>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r>
      <w:tr w:rsidR="00762584" w:rsidRPr="00F7290F"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b/>
                <w:bCs/>
                <w:sz w:val="22"/>
                <w:szCs w:val="22"/>
                <w:lang w:val="uk-UA"/>
              </w:rPr>
            </w:pPr>
            <w:r w:rsidRPr="00F7290F">
              <w:rPr>
                <w:b/>
                <w:bCs/>
                <w:sz w:val="22"/>
                <w:szCs w:val="22"/>
                <w:lang w:val="uk-UA"/>
              </w:rPr>
              <w:t>Всього по області</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300324</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9877</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22095</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20218</w:t>
            </w: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138160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17885</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120275</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99557</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10417</w:t>
            </w: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jc w:val="center"/>
              <w:rPr>
                <w:sz w:val="22"/>
                <w:szCs w:val="22"/>
                <w:lang w:val="uk-UA"/>
              </w:rPr>
            </w:pPr>
            <w:r w:rsidRPr="00F7290F">
              <w:rPr>
                <w:sz w:val="22"/>
                <w:szCs w:val="22"/>
                <w:lang w:val="uk-UA"/>
              </w:rPr>
              <w:t>у тому числі:</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Донецьк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129296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8611</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20218</w:t>
            </w: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38620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9620</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29000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61847</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Авдіївка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Артемівськ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5226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3738</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3738</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1488</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r>
      <w:tr w:rsidR="00762584" w:rsidRPr="00F7290F"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Горлівка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9594</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1217</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7160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7160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1217</w:t>
            </w: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Дебальцеве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1645</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1645</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1645</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Дзержинськ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Димитров</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Добропілля</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Докучаєвськ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251</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251</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251</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Дружківка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Єнакієве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Жданівка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76</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76</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Кіровське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863</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863</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863</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Костянтинівка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Краматорськ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9200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9200</w:t>
            </w: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Красноармійськ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9029</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907</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907</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8122</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Красний Лиман</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10800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1564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1020</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8216</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8216</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Макіївка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16370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16370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16370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Маріуполь</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42028</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15900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15900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26128</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Селидове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9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Слов'янськ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6700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6700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6700</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Cніжне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1100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1100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1100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Торез</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lastRenderedPageBreak/>
              <w:t>Харцизьк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Шахтарськ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517</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517</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517</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Ясинувата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 xml:space="preserve">Амвросіївський </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2653</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816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1429</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1429</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Артемівський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2240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Великоновосілківський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1732</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476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10"/>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Волноваський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1788</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1093</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595</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Володарський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1010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1010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1010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Добропільський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Костянтинівський</w:t>
            </w:r>
          </w:p>
        </w:tc>
        <w:tc>
          <w:tcPr>
            <w:tcW w:w="118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1895</w:t>
            </w:r>
          </w:p>
        </w:tc>
        <w:tc>
          <w:tcPr>
            <w:tcW w:w="86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816</w:t>
            </w:r>
          </w:p>
        </w:tc>
        <w:tc>
          <w:tcPr>
            <w:tcW w:w="98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204</w:t>
            </w:r>
          </w:p>
        </w:tc>
        <w:tc>
          <w:tcPr>
            <w:tcW w:w="100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875</w:t>
            </w:r>
          </w:p>
        </w:tc>
        <w:tc>
          <w:tcPr>
            <w:tcW w:w="1418"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875</w:t>
            </w:r>
          </w:p>
        </w:tc>
        <w:tc>
          <w:tcPr>
            <w:tcW w:w="1365"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Красноармійський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515</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272</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107</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107</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Мар'їнський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4276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200</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1700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1700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1972</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Новоазовський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2422</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Олександрівський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260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192</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Першотравневий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10744</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476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268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Слов'янський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3824</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676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2740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2740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Старобешівський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8612</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608</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7704</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Тельманівський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1352</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948</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404</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Шахтарський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680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408</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Ясинуватський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3440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384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2800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2800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sz w:val="20"/>
          <w:szCs w:val="20"/>
          <w:lang w:val="uk-UA"/>
        </w:rPr>
      </w:pPr>
    </w:p>
    <w:p w:rsidR="002812B0" w:rsidRPr="00F7290F" w:rsidRDefault="002812B0" w:rsidP="00D65D2E">
      <w:pPr>
        <w:keepNext/>
        <w:widowControl w:val="0"/>
        <w:rPr>
          <w:color w:val="FF0000"/>
          <w:sz w:val="20"/>
          <w:szCs w:val="20"/>
          <w:lang w:val="uk-UA"/>
        </w:rPr>
      </w:pPr>
    </w:p>
    <w:p w:rsidR="002812B0" w:rsidRPr="00F7290F" w:rsidRDefault="002812B0" w:rsidP="00D65D2E">
      <w:pPr>
        <w:keepNext/>
        <w:widowControl w:val="0"/>
        <w:rPr>
          <w:color w:val="FF0000"/>
          <w:sz w:val="20"/>
          <w:szCs w:val="20"/>
          <w:lang w:val="uk-UA"/>
        </w:rPr>
      </w:pPr>
    </w:p>
    <w:p w:rsidR="002812B0" w:rsidRPr="00F7290F" w:rsidRDefault="002812B0" w:rsidP="00D65D2E">
      <w:pPr>
        <w:keepNext/>
        <w:widowControl w:val="0"/>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b/>
          <w:bCs/>
          <w:color w:val="000000" w:themeColor="text1"/>
          <w:sz w:val="28"/>
          <w:szCs w:val="28"/>
          <w:lang w:val="uk-UA"/>
        </w:rPr>
      </w:pPr>
      <w:r w:rsidRPr="00F220A7">
        <w:rPr>
          <w:color w:val="000000" w:themeColor="text1"/>
          <w:sz w:val="20"/>
          <w:szCs w:val="20"/>
          <w:lang w:val="uk-UA"/>
        </w:rPr>
        <w:lastRenderedPageBreak/>
        <w:t>Таблиця 3</w:t>
      </w:r>
    </w:p>
    <w:p w:rsidR="002812B0" w:rsidRPr="00F220A7" w:rsidRDefault="002812B0" w:rsidP="00D65D2E">
      <w:pPr>
        <w:keepNext/>
        <w:widowControl w:val="0"/>
        <w:jc w:val="center"/>
        <w:rPr>
          <w:color w:val="000000" w:themeColor="text1"/>
          <w:sz w:val="22"/>
          <w:szCs w:val="22"/>
          <w:lang w:val="uk-UA"/>
        </w:rPr>
      </w:pPr>
      <w:r w:rsidRPr="00F220A7">
        <w:rPr>
          <w:b/>
          <w:bCs/>
          <w:color w:val="000000" w:themeColor="text1"/>
          <w:sz w:val="28"/>
          <w:szCs w:val="28"/>
          <w:lang w:val="uk-UA"/>
        </w:rPr>
        <w:t>Показники обсягів введення в експлуатацію житла на 2013 рік  за характером будівництва по Донецькій області</w:t>
      </w:r>
    </w:p>
    <w:p w:rsidR="002812B0" w:rsidRPr="00F220A7" w:rsidRDefault="002812B0" w:rsidP="00D65D2E">
      <w:pPr>
        <w:keepNext/>
        <w:widowControl w:val="0"/>
        <w:jc w:val="right"/>
        <w:rPr>
          <w:color w:val="000000" w:themeColor="text1"/>
          <w:sz w:val="20"/>
          <w:szCs w:val="20"/>
          <w:lang w:val="uk-UA"/>
        </w:rPr>
      </w:pPr>
      <w:r w:rsidRPr="00F220A7">
        <w:rPr>
          <w:color w:val="000000" w:themeColor="text1"/>
          <w:sz w:val="22"/>
          <w:szCs w:val="22"/>
          <w:lang w:val="uk-UA"/>
        </w:rPr>
        <w:t>кв.м</w:t>
      </w:r>
    </w:p>
    <w:tbl>
      <w:tblPr>
        <w:tblW w:w="15636" w:type="dxa"/>
        <w:tblInd w:w="-467" w:type="dxa"/>
        <w:tblLayout w:type="fixed"/>
        <w:tblLook w:val="0000"/>
      </w:tblPr>
      <w:tblGrid>
        <w:gridCol w:w="2428"/>
        <w:gridCol w:w="1100"/>
        <w:gridCol w:w="1016"/>
        <w:gridCol w:w="1276"/>
        <w:gridCol w:w="1276"/>
        <w:gridCol w:w="992"/>
        <w:gridCol w:w="851"/>
        <w:gridCol w:w="1134"/>
        <w:gridCol w:w="850"/>
        <w:gridCol w:w="1418"/>
        <w:gridCol w:w="1134"/>
        <w:gridCol w:w="1114"/>
        <w:gridCol w:w="1047"/>
      </w:tblGrid>
      <w:tr w:rsidR="002812B0" w:rsidRPr="00F220A7" w:rsidTr="00137FD3">
        <w:trPr>
          <w:trHeight w:val="255"/>
          <w:tblHeader/>
        </w:trPr>
        <w:tc>
          <w:tcPr>
            <w:tcW w:w="2428"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Найменування міст                    та районів</w:t>
            </w:r>
          </w:p>
        </w:tc>
        <w:tc>
          <w:tcPr>
            <w:tcW w:w="110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загальної площі</w:t>
            </w:r>
          </w:p>
        </w:tc>
        <w:tc>
          <w:tcPr>
            <w:tcW w:w="12108"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 за характером будівництва</w:t>
            </w:r>
          </w:p>
        </w:tc>
      </w:tr>
      <w:tr w:rsidR="002812B0" w:rsidRPr="00F220A7" w:rsidTr="00137FD3">
        <w:trPr>
          <w:trHeight w:val="27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4560" w:type="dxa"/>
            <w:gridSpan w:val="4"/>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b/>
                <w:bCs/>
                <w:color w:val="000000" w:themeColor="text1"/>
                <w:sz w:val="20"/>
                <w:szCs w:val="20"/>
                <w:lang w:val="uk-UA"/>
              </w:rPr>
            </w:pPr>
            <w:r w:rsidRPr="00F220A7">
              <w:rPr>
                <w:b/>
                <w:bCs/>
                <w:color w:val="000000" w:themeColor="text1"/>
                <w:sz w:val="20"/>
                <w:szCs w:val="20"/>
                <w:lang w:val="uk-UA"/>
              </w:rPr>
              <w:t>нове будівництво</w:t>
            </w:r>
          </w:p>
        </w:tc>
        <w:tc>
          <w:tcPr>
            <w:tcW w:w="1985" w:type="dxa"/>
            <w:gridSpan w:val="2"/>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b/>
                <w:bCs/>
                <w:color w:val="000000" w:themeColor="text1"/>
                <w:sz w:val="20"/>
                <w:szCs w:val="20"/>
                <w:lang w:val="uk-UA"/>
              </w:rPr>
            </w:pPr>
            <w:r w:rsidRPr="00F220A7">
              <w:rPr>
                <w:b/>
                <w:bCs/>
                <w:color w:val="000000" w:themeColor="text1"/>
                <w:sz w:val="20"/>
                <w:szCs w:val="20"/>
                <w:lang w:val="uk-UA"/>
              </w:rPr>
              <w:t>розширення</w:t>
            </w:r>
          </w:p>
        </w:tc>
        <w:tc>
          <w:tcPr>
            <w:tcW w:w="5563" w:type="dxa"/>
            <w:gridSpan w:val="5"/>
            <w:tcBorders>
              <w:top w:val="single" w:sz="4" w:space="0" w:color="000000"/>
              <w:left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b/>
                <w:bCs/>
                <w:color w:val="000000" w:themeColor="text1"/>
                <w:sz w:val="20"/>
                <w:szCs w:val="20"/>
                <w:lang w:val="uk-UA"/>
              </w:rPr>
              <w:t>Реконструкція</w:t>
            </w:r>
          </w:p>
        </w:tc>
      </w:tr>
      <w:tr w:rsidR="002812B0" w:rsidRPr="00F220A7" w:rsidTr="00137FD3">
        <w:trPr>
          <w:trHeight w:val="36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016"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3544" w:type="dxa"/>
            <w:gridSpan w:val="3"/>
            <w:tcBorders>
              <w:lef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c>
          <w:tcPr>
            <w:tcW w:w="851"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1134"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 індивіду-альних житлових будинків</w:t>
            </w:r>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3666" w:type="dxa"/>
            <w:gridSpan w:val="3"/>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із загаль-ного обсягу реконст-рукція перших масових серій</w:t>
            </w:r>
          </w:p>
        </w:tc>
      </w:tr>
      <w:tr w:rsidR="002812B0" w:rsidRPr="00F220A7" w:rsidTr="000C4ACC">
        <w:trPr>
          <w:trHeight w:val="765"/>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016"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завершення недобудо-ваних житлових будинків</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будівництво нових багатоквар-тирних житлових будинків</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індиві-дуальне житлове будів-ництво</w:t>
            </w:r>
          </w:p>
        </w:tc>
        <w:tc>
          <w:tcPr>
            <w:tcW w:w="851"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34"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418"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багатоквартирних житлових будинків</w:t>
            </w:r>
          </w:p>
        </w:tc>
        <w:tc>
          <w:tcPr>
            <w:tcW w:w="1134"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за програ-мою "Власний дім"</w:t>
            </w:r>
          </w:p>
        </w:tc>
        <w:tc>
          <w:tcPr>
            <w:tcW w:w="1114"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індивіду-альних житло-вих будинків</w:t>
            </w: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r>
      <w:tr w:rsidR="002812B0" w:rsidRPr="00F7290F" w:rsidTr="000C4ACC">
        <w:trPr>
          <w:trHeight w:val="627"/>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016"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851"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34"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18"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34"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14"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2"/>
                <w:szCs w:val="22"/>
                <w:lang w:val="uk-UA"/>
              </w:rPr>
            </w:pPr>
            <w:r w:rsidRPr="00F7290F">
              <w:rPr>
                <w:b/>
                <w:bCs/>
                <w:sz w:val="22"/>
                <w:szCs w:val="22"/>
                <w:lang w:val="uk-UA"/>
              </w:rPr>
              <w:t>Всього по області</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300324</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287258</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136417</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4023</w:t>
            </w: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146818</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200</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200</w:t>
            </w: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12866</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12348</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518</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2"/>
                <w:szCs w:val="22"/>
                <w:lang w:val="uk-UA"/>
              </w:rPr>
            </w:pPr>
            <w:r w:rsidRPr="00F7290F">
              <w:rPr>
                <w:sz w:val="22"/>
                <w:szCs w:val="22"/>
                <w:lang w:val="uk-UA"/>
              </w:rPr>
              <w:t>у тому числі:</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Донецьк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129296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129296</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96273</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4023</w:t>
            </w: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29000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Авдіївка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727</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727</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273</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273</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Артемівськ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5226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5226</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1488</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3738</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Горлівка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9594</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9594</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2434</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7160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Дебальцеве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1645</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45</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45</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Дзержинськ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Димитров</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Добропілля</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Докучаєвськ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Дружківка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Єнакієве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Жданівка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Кіровське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Костянтинівка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Краматорськ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Красноармійськ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9029</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9029</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8122</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907</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Красний Лиман</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10800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8216</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8216</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2584</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2584</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Макіївка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Маріуполь</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42028</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42028</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26128</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15900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Селидове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Слов'янськ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Cніжне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lastRenderedPageBreak/>
              <w:t>Торез</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Харцизьк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Шахтарськ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55"/>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Ясинувата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lang w:val="uk-UA"/>
              </w:rPr>
            </w:pP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 xml:space="preserve">Амвросіївський </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2653</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1029</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1029</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w:t>
            </w: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1424</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1224</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Артемівський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2240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2240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2240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Великоновосілківський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1732</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732</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732</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Волноваський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1788</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1688</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1688</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40"/>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Володарський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1010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1010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1010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center"/>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Добропільський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136</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136</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Костянтинівський</w:t>
            </w:r>
          </w:p>
        </w:tc>
        <w:tc>
          <w:tcPr>
            <w:tcW w:w="110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1895</w:t>
            </w:r>
          </w:p>
        </w:tc>
        <w:tc>
          <w:tcPr>
            <w:tcW w:w="101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875</w:t>
            </w: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875</w:t>
            </w:r>
          </w:p>
        </w:tc>
        <w:tc>
          <w:tcPr>
            <w:tcW w:w="851"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1020</w:t>
            </w:r>
          </w:p>
        </w:tc>
        <w:tc>
          <w:tcPr>
            <w:tcW w:w="1418"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1020</w:t>
            </w:r>
          </w:p>
        </w:tc>
        <w:tc>
          <w:tcPr>
            <w:tcW w:w="111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Красноармійський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515</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515</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515</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Мар'їнський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4276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3672</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1972</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604</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604</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Новоазовський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2422</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472</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472</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Олександрівський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Першотравневий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10744</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10744</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10744</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Слов'янський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3824</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2740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2740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1084</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1084</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Старобешівський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8612</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7800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7800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812</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812</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Тельманівський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1352</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1352</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1352</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Шахтарський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680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680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680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Ясинуватський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3440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2800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2800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640</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640</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jc w:val="right"/>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color w:val="000000" w:themeColor="text1"/>
          <w:sz w:val="20"/>
          <w:szCs w:val="20"/>
          <w:lang w:val="uk-UA"/>
        </w:rPr>
      </w:pPr>
      <w:r w:rsidRPr="00F220A7">
        <w:rPr>
          <w:color w:val="000000" w:themeColor="text1"/>
          <w:sz w:val="20"/>
          <w:szCs w:val="20"/>
          <w:lang w:val="uk-UA"/>
        </w:rPr>
        <w:lastRenderedPageBreak/>
        <w:t>Таблиця 4</w:t>
      </w:r>
    </w:p>
    <w:p w:rsidR="002812B0" w:rsidRPr="00F220A7" w:rsidRDefault="002812B0" w:rsidP="00D65D2E">
      <w:pPr>
        <w:keepNext/>
        <w:widowControl w:val="0"/>
        <w:jc w:val="right"/>
        <w:rPr>
          <w:color w:val="000000" w:themeColor="text1"/>
          <w:sz w:val="20"/>
          <w:szCs w:val="20"/>
          <w:lang w:val="uk-UA"/>
        </w:rPr>
      </w:pPr>
    </w:p>
    <w:p w:rsidR="002812B0" w:rsidRPr="00F220A7" w:rsidRDefault="002812B0" w:rsidP="00D65D2E">
      <w:pPr>
        <w:keepNext/>
        <w:widowControl w:val="0"/>
        <w:jc w:val="center"/>
        <w:rPr>
          <w:b/>
          <w:bCs/>
          <w:color w:val="000000" w:themeColor="text1"/>
          <w:sz w:val="28"/>
          <w:szCs w:val="28"/>
          <w:lang w:val="uk-UA"/>
        </w:rPr>
      </w:pPr>
      <w:r w:rsidRPr="00F220A7">
        <w:rPr>
          <w:b/>
          <w:bCs/>
          <w:color w:val="000000" w:themeColor="text1"/>
          <w:sz w:val="28"/>
          <w:szCs w:val="28"/>
          <w:lang w:val="uk-UA"/>
        </w:rPr>
        <w:t xml:space="preserve">Показники обсягів введення в експлуатацію житла на 2013 рік </w:t>
      </w:r>
    </w:p>
    <w:p w:rsidR="002812B0" w:rsidRPr="00F220A7" w:rsidRDefault="002812B0" w:rsidP="00D65D2E">
      <w:pPr>
        <w:keepNext/>
        <w:widowControl w:val="0"/>
        <w:jc w:val="center"/>
        <w:rPr>
          <w:color w:val="000000" w:themeColor="text1"/>
          <w:sz w:val="22"/>
          <w:szCs w:val="22"/>
          <w:lang w:val="uk-UA"/>
        </w:rPr>
      </w:pPr>
      <w:r w:rsidRPr="00F220A7">
        <w:rPr>
          <w:b/>
          <w:bCs/>
          <w:color w:val="000000" w:themeColor="text1"/>
          <w:sz w:val="28"/>
          <w:szCs w:val="28"/>
          <w:lang w:val="uk-UA"/>
        </w:rPr>
        <w:t>в Донецькій області у містах та сільській місцевості</w:t>
      </w:r>
    </w:p>
    <w:p w:rsidR="002812B0" w:rsidRPr="00F220A7" w:rsidRDefault="002812B0" w:rsidP="00D65D2E">
      <w:pPr>
        <w:keepNext/>
        <w:widowControl w:val="0"/>
        <w:ind w:left="11328" w:firstLine="708"/>
        <w:jc w:val="center"/>
        <w:rPr>
          <w:color w:val="000000" w:themeColor="text1"/>
          <w:lang w:val="uk-UA"/>
        </w:rPr>
      </w:pPr>
      <w:r w:rsidRPr="00F220A7">
        <w:rPr>
          <w:color w:val="000000" w:themeColor="text1"/>
          <w:sz w:val="22"/>
          <w:szCs w:val="22"/>
          <w:lang w:val="uk-UA"/>
        </w:rPr>
        <w:t xml:space="preserve">     кв.м</w:t>
      </w:r>
    </w:p>
    <w:tbl>
      <w:tblPr>
        <w:tblW w:w="0" w:type="auto"/>
        <w:tblInd w:w="973" w:type="dxa"/>
        <w:tblLayout w:type="fixed"/>
        <w:tblLook w:val="0000"/>
      </w:tblPr>
      <w:tblGrid>
        <w:gridCol w:w="3440"/>
        <w:gridCol w:w="3140"/>
        <w:gridCol w:w="3020"/>
        <w:gridCol w:w="3625"/>
      </w:tblGrid>
      <w:tr w:rsidR="002812B0" w:rsidRPr="00F220A7" w:rsidTr="00393F5A">
        <w:trPr>
          <w:trHeight w:val="255"/>
          <w:tblHeader/>
        </w:trPr>
        <w:tc>
          <w:tcPr>
            <w:tcW w:w="344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Найменування  міст та районів</w:t>
            </w:r>
          </w:p>
        </w:tc>
        <w:tc>
          <w:tcPr>
            <w:tcW w:w="314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Всього загальної площі</w:t>
            </w:r>
          </w:p>
        </w:tc>
        <w:tc>
          <w:tcPr>
            <w:tcW w:w="6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у тому  числі:</w:t>
            </w:r>
          </w:p>
        </w:tc>
      </w:tr>
      <w:tr w:rsidR="002812B0" w:rsidRPr="00F220A7" w:rsidTr="00393F5A">
        <w:trPr>
          <w:trHeight w:val="276"/>
          <w:tblHeader/>
        </w:trPr>
        <w:tc>
          <w:tcPr>
            <w:tcW w:w="34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lang w:val="uk-UA"/>
              </w:rPr>
            </w:pPr>
          </w:p>
        </w:tc>
        <w:tc>
          <w:tcPr>
            <w:tcW w:w="3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lang w:val="uk-UA"/>
              </w:rPr>
            </w:pPr>
          </w:p>
        </w:tc>
        <w:tc>
          <w:tcPr>
            <w:tcW w:w="302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у містах</w:t>
            </w:r>
          </w:p>
        </w:tc>
        <w:tc>
          <w:tcPr>
            <w:tcW w:w="3625" w:type="dxa"/>
            <w:vMerge w:val="restart"/>
            <w:tcBorders>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у сільській місцевості</w:t>
            </w:r>
          </w:p>
        </w:tc>
      </w:tr>
      <w:tr w:rsidR="002812B0" w:rsidRPr="00F7290F" w:rsidTr="00393F5A">
        <w:trPr>
          <w:trHeight w:val="276"/>
          <w:tblHeader/>
        </w:trPr>
        <w:tc>
          <w:tcPr>
            <w:tcW w:w="344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lang w:val="uk-UA"/>
              </w:rPr>
            </w:pPr>
          </w:p>
        </w:tc>
        <w:tc>
          <w:tcPr>
            <w:tcW w:w="314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lang w:val="uk-UA"/>
              </w:rPr>
            </w:pPr>
          </w:p>
        </w:tc>
        <w:tc>
          <w:tcPr>
            <w:tcW w:w="302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lang w:val="uk-UA"/>
              </w:rPr>
            </w:pPr>
          </w:p>
        </w:tc>
        <w:tc>
          <w:tcPr>
            <w:tcW w:w="3625" w:type="dxa"/>
            <w:vMerge/>
            <w:tcBorders>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snapToGrid w:val="0"/>
              <w:rPr>
                <w:color w:val="FF0000"/>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2"/>
                <w:szCs w:val="22"/>
                <w:lang w:val="uk-UA"/>
              </w:rPr>
            </w:pPr>
            <w:r w:rsidRPr="00F7290F">
              <w:rPr>
                <w:b/>
                <w:bCs/>
                <w:lang w:val="uk-UA"/>
              </w:rPr>
              <w:t>Всього по області</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300324</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263310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37014</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у тому числі:</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Донецьк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129296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129296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Авдіївка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Артемівськ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5226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5226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Горлівка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9594</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9594</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Дебальцеве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1645</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1645</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Дзержинськ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Димитров</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Добропілля</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40"/>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Докучаєвськ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Дружківка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Єнакієве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500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Жданівка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Кіровське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Костянтинівка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Краматорськ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Красноармійськ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9029</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9029</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Красний Лиман</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10800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4300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6500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Макіївка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Маріуполь</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42028</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42028</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Селидове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Слов'янськ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Cніжне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lang w:val="uk-UA"/>
              </w:rPr>
            </w:pPr>
            <w:r w:rsidRPr="00F7290F">
              <w:rPr>
                <w:lang w:val="uk-UA"/>
              </w:rPr>
              <w:t>Торез</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lastRenderedPageBreak/>
              <w:t>Харцизьк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Шахтарськ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Ясинувата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110"/>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lang w:val="uk-UA"/>
              </w:rPr>
            </w:pP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 xml:space="preserve">Амвросіївський </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2653</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386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2267</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Артемівський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2240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1840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Великоновосілківський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1732</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732</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1000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Волноваський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1788</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1688</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Володарський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1010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805</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205</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Добропільський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136</w:t>
            </w:r>
          </w:p>
        </w:tc>
      </w:tr>
      <w:tr w:rsidR="00880C46" w:rsidRPr="00F7290F" w:rsidTr="00393F5A">
        <w:trPr>
          <w:trHeight w:val="255"/>
        </w:trPr>
        <w:tc>
          <w:tcPr>
            <w:tcW w:w="344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Костянтинівський</w:t>
            </w:r>
          </w:p>
        </w:tc>
        <w:tc>
          <w:tcPr>
            <w:tcW w:w="314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1895</w:t>
            </w:r>
          </w:p>
        </w:tc>
        <w:tc>
          <w:tcPr>
            <w:tcW w:w="302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1895</w:t>
            </w:r>
          </w:p>
        </w:tc>
      </w:tr>
      <w:tr w:rsidR="00880C46" w:rsidRPr="00F7290F" w:rsidTr="00393F5A">
        <w:trPr>
          <w:trHeight w:val="28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Красноармійський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515</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515</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Мар'їнський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4276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3172</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1104</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Новоазовський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2422</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870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1552</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Олександрівський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260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Першотравневий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10744</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3300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7444</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Слов'янський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3824</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3824</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lang w:val="uk-UA"/>
              </w:rPr>
            </w:pPr>
            <w:r w:rsidRPr="00F7290F">
              <w:rPr>
                <w:lang w:val="uk-UA"/>
              </w:rPr>
              <w:t>Старобешівський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8612</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7800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812</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Тельманівський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1352</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1352</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Шахтарський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680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680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Ясинуватський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3440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3440</w:t>
            </w: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spacing w:after="200" w:line="288" w:lineRule="auto"/>
        <w:jc w:val="right"/>
        <w:rPr>
          <w:color w:val="FF0000"/>
          <w:lang w:val="uk-UA"/>
        </w:rPr>
      </w:pPr>
    </w:p>
    <w:p w:rsidR="002812B0" w:rsidRPr="00F7290F" w:rsidRDefault="002812B0" w:rsidP="00D65D2E">
      <w:pPr>
        <w:keepNext/>
        <w:widowControl w:val="0"/>
        <w:spacing w:after="200" w:line="288" w:lineRule="auto"/>
        <w:jc w:val="right"/>
        <w:rPr>
          <w:color w:val="FF000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spacing w:after="200" w:line="288" w:lineRule="auto"/>
        <w:jc w:val="right"/>
        <w:rPr>
          <w:b/>
          <w:bCs/>
          <w:color w:val="000000" w:themeColor="text1"/>
          <w:sz w:val="28"/>
          <w:szCs w:val="28"/>
          <w:lang w:val="uk-UA"/>
        </w:rPr>
      </w:pPr>
      <w:r w:rsidRPr="00F220A7">
        <w:rPr>
          <w:color w:val="000000" w:themeColor="text1"/>
          <w:sz w:val="20"/>
          <w:szCs w:val="20"/>
          <w:lang w:val="uk-UA"/>
        </w:rPr>
        <w:lastRenderedPageBreak/>
        <w:t>Таблиця 5</w:t>
      </w:r>
    </w:p>
    <w:p w:rsidR="002812B0" w:rsidRPr="00F220A7" w:rsidRDefault="002812B0" w:rsidP="00D65D2E">
      <w:pPr>
        <w:keepNext/>
        <w:widowControl w:val="0"/>
        <w:jc w:val="center"/>
        <w:rPr>
          <w:b/>
          <w:bCs/>
          <w:color w:val="000000" w:themeColor="text1"/>
          <w:sz w:val="28"/>
          <w:szCs w:val="28"/>
          <w:lang w:val="uk-UA"/>
        </w:rPr>
      </w:pPr>
      <w:r w:rsidRPr="00F220A7">
        <w:rPr>
          <w:b/>
          <w:bCs/>
          <w:color w:val="000000" w:themeColor="text1"/>
          <w:sz w:val="28"/>
          <w:szCs w:val="28"/>
          <w:lang w:val="uk-UA"/>
        </w:rPr>
        <w:t xml:space="preserve">Показники обсягів введення  в  експлуатацію житла на  2013 рік </w:t>
      </w:r>
    </w:p>
    <w:p w:rsidR="002812B0" w:rsidRPr="00F220A7" w:rsidRDefault="002812B0" w:rsidP="00D65D2E">
      <w:pPr>
        <w:keepNext/>
        <w:widowControl w:val="0"/>
        <w:jc w:val="center"/>
        <w:rPr>
          <w:b/>
          <w:bCs/>
          <w:color w:val="000000" w:themeColor="text1"/>
          <w:sz w:val="28"/>
          <w:szCs w:val="28"/>
          <w:lang w:val="uk-UA"/>
        </w:rPr>
      </w:pPr>
      <w:r w:rsidRPr="00F220A7">
        <w:rPr>
          <w:b/>
          <w:bCs/>
          <w:color w:val="000000" w:themeColor="text1"/>
          <w:sz w:val="28"/>
          <w:szCs w:val="28"/>
          <w:lang w:val="uk-UA"/>
        </w:rPr>
        <w:t xml:space="preserve">по Донецькій області за  спеціальними державними житловими програмами </w:t>
      </w:r>
    </w:p>
    <w:p w:rsidR="002812B0" w:rsidRPr="00F220A7" w:rsidRDefault="002812B0" w:rsidP="00D65D2E">
      <w:pPr>
        <w:keepNext/>
        <w:widowControl w:val="0"/>
        <w:jc w:val="center"/>
        <w:rPr>
          <w:color w:val="000000" w:themeColor="text1"/>
          <w:sz w:val="22"/>
          <w:szCs w:val="22"/>
          <w:lang w:val="uk-UA"/>
        </w:rPr>
      </w:pPr>
      <w:r w:rsidRPr="00F220A7">
        <w:rPr>
          <w:b/>
          <w:bCs/>
          <w:color w:val="000000" w:themeColor="text1"/>
          <w:sz w:val="28"/>
          <w:szCs w:val="28"/>
          <w:lang w:val="uk-UA"/>
        </w:rPr>
        <w:t>(за рахунок усіх джерел фінансування)</w:t>
      </w:r>
    </w:p>
    <w:p w:rsidR="002812B0" w:rsidRPr="00F220A7" w:rsidRDefault="002812B0" w:rsidP="00D65D2E">
      <w:pPr>
        <w:keepNext/>
        <w:widowControl w:val="0"/>
        <w:ind w:left="13452"/>
        <w:rPr>
          <w:color w:val="000000" w:themeColor="text1"/>
          <w:sz w:val="20"/>
          <w:szCs w:val="20"/>
          <w:lang w:val="uk-UA"/>
        </w:rPr>
      </w:pPr>
      <w:r w:rsidRPr="00F220A7">
        <w:rPr>
          <w:color w:val="000000" w:themeColor="text1"/>
          <w:sz w:val="22"/>
          <w:szCs w:val="22"/>
          <w:lang w:val="uk-UA"/>
        </w:rPr>
        <w:t xml:space="preserve">       кв.м</w:t>
      </w:r>
    </w:p>
    <w:tbl>
      <w:tblPr>
        <w:tblW w:w="14606" w:type="dxa"/>
        <w:tblInd w:w="215" w:type="dxa"/>
        <w:tblLayout w:type="fixed"/>
        <w:tblLook w:val="0000"/>
      </w:tblPr>
      <w:tblGrid>
        <w:gridCol w:w="2445"/>
        <w:gridCol w:w="1276"/>
        <w:gridCol w:w="1275"/>
        <w:gridCol w:w="1134"/>
        <w:gridCol w:w="1134"/>
        <w:gridCol w:w="1276"/>
        <w:gridCol w:w="992"/>
        <w:gridCol w:w="1276"/>
        <w:gridCol w:w="1276"/>
        <w:gridCol w:w="1134"/>
        <w:gridCol w:w="1388"/>
      </w:tblGrid>
      <w:tr w:rsidR="002812B0" w:rsidRPr="00F220A7" w:rsidTr="00393F5A">
        <w:trPr>
          <w:trHeight w:val="375"/>
        </w:trPr>
        <w:tc>
          <w:tcPr>
            <w:tcW w:w="2445"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Найменування міст і районів</w:t>
            </w:r>
          </w:p>
        </w:tc>
        <w:tc>
          <w:tcPr>
            <w:tcW w:w="3685" w:type="dxa"/>
            <w:gridSpan w:val="3"/>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Програма індивідуального житлового будівництва у сільській місцевості </w:t>
            </w:r>
            <w:r w:rsidRPr="00F220A7">
              <w:rPr>
                <w:color w:val="000000" w:themeColor="text1"/>
                <w:sz w:val="20"/>
                <w:szCs w:val="20"/>
                <w:lang w:val="uk-UA"/>
              </w:rPr>
              <w:br/>
              <w:t xml:space="preserve">(за програмою </w:t>
            </w:r>
            <w:r w:rsidR="000C4ACC" w:rsidRPr="00F220A7">
              <w:rPr>
                <w:color w:val="000000" w:themeColor="text1"/>
                <w:sz w:val="20"/>
                <w:szCs w:val="20"/>
                <w:lang w:val="uk-UA"/>
              </w:rPr>
              <w:t>«</w:t>
            </w:r>
            <w:r w:rsidRPr="00F220A7">
              <w:rPr>
                <w:color w:val="000000" w:themeColor="text1"/>
                <w:sz w:val="20"/>
                <w:szCs w:val="20"/>
                <w:lang w:val="uk-UA"/>
              </w:rPr>
              <w:t>Власний дім</w:t>
            </w:r>
            <w:r w:rsidR="000C4ACC" w:rsidRPr="00F220A7">
              <w:rPr>
                <w:color w:val="000000" w:themeColor="text1"/>
                <w:sz w:val="20"/>
                <w:szCs w:val="20"/>
                <w:lang w:val="uk-UA"/>
              </w:rPr>
              <w:t>»</w:t>
            </w:r>
            <w:r w:rsidRPr="00F220A7">
              <w:rPr>
                <w:color w:val="000000" w:themeColor="text1"/>
                <w:sz w:val="20"/>
                <w:szCs w:val="20"/>
                <w:lang w:val="uk-UA"/>
              </w:rPr>
              <w:t>)</w:t>
            </w:r>
          </w:p>
        </w:tc>
        <w:tc>
          <w:tcPr>
            <w:tcW w:w="3402" w:type="dxa"/>
            <w:gridSpan w:val="3"/>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Пілотний проект </w:t>
            </w:r>
          </w:p>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будівництва доступного житла </w:t>
            </w:r>
            <w:r w:rsidRPr="00F220A7">
              <w:rPr>
                <w:color w:val="000000" w:themeColor="text1"/>
                <w:sz w:val="20"/>
                <w:szCs w:val="20"/>
                <w:lang w:val="uk-UA"/>
              </w:rPr>
              <w:br/>
            </w:r>
            <w:r w:rsidR="000C4ACC" w:rsidRPr="00F220A7">
              <w:rPr>
                <w:color w:val="000000" w:themeColor="text1"/>
                <w:sz w:val="20"/>
                <w:szCs w:val="20"/>
                <w:lang w:val="uk-UA"/>
              </w:rPr>
              <w:t>«</w:t>
            </w:r>
            <w:r w:rsidRPr="00F220A7">
              <w:rPr>
                <w:color w:val="000000" w:themeColor="text1"/>
                <w:sz w:val="20"/>
                <w:szCs w:val="20"/>
                <w:lang w:val="uk-UA"/>
              </w:rPr>
              <w:t>Будуємо разом</w:t>
            </w:r>
            <w:r w:rsidR="000C4ACC" w:rsidRPr="00F220A7">
              <w:rPr>
                <w:color w:val="000000" w:themeColor="text1"/>
                <w:sz w:val="20"/>
                <w:szCs w:val="20"/>
                <w:lang w:val="uk-UA"/>
              </w:rPr>
              <w:t>»</w:t>
            </w:r>
          </w:p>
        </w:tc>
        <w:tc>
          <w:tcPr>
            <w:tcW w:w="507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Державна програма </w:t>
            </w:r>
            <w:r w:rsidRPr="00F220A7">
              <w:rPr>
                <w:color w:val="000000" w:themeColor="text1"/>
                <w:sz w:val="20"/>
                <w:szCs w:val="20"/>
                <w:lang w:val="uk-UA"/>
              </w:rPr>
              <w:br/>
              <w:t>забезпечення молоді житлом</w:t>
            </w:r>
          </w:p>
        </w:tc>
      </w:tr>
      <w:tr w:rsidR="002812B0" w:rsidRPr="00F220A7" w:rsidTr="00393F5A">
        <w:trPr>
          <w:trHeight w:val="301"/>
        </w:trPr>
        <w:tc>
          <w:tcPr>
            <w:tcW w:w="2445"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3685" w:type="dxa"/>
            <w:gridSpan w:val="3"/>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3402" w:type="dxa"/>
            <w:gridSpan w:val="3"/>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5074"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r>
      <w:tr w:rsidR="002812B0" w:rsidRPr="00F220A7" w:rsidTr="00393F5A">
        <w:trPr>
          <w:trHeight w:val="255"/>
        </w:trPr>
        <w:tc>
          <w:tcPr>
            <w:tcW w:w="2445"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 програмою</w:t>
            </w:r>
          </w:p>
        </w:tc>
        <w:tc>
          <w:tcPr>
            <w:tcW w:w="2409" w:type="dxa"/>
            <w:gridSpan w:val="2"/>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 проектом</w:t>
            </w:r>
          </w:p>
        </w:tc>
        <w:tc>
          <w:tcPr>
            <w:tcW w:w="2268" w:type="dxa"/>
            <w:gridSpan w:val="2"/>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c>
          <w:tcPr>
            <w:tcW w:w="1276"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 програмою</w:t>
            </w:r>
          </w:p>
        </w:tc>
        <w:tc>
          <w:tcPr>
            <w:tcW w:w="37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r>
      <w:tr w:rsidR="002812B0" w:rsidRPr="00F220A7" w:rsidTr="00393F5A">
        <w:trPr>
          <w:trHeight w:val="726"/>
        </w:trPr>
        <w:tc>
          <w:tcPr>
            <w:tcW w:w="2445"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5"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державний бюджет</w:t>
            </w:r>
          </w:p>
        </w:tc>
        <w:tc>
          <w:tcPr>
            <w:tcW w:w="1134"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Місцевий бюджет</w:t>
            </w:r>
          </w:p>
        </w:tc>
        <w:tc>
          <w:tcPr>
            <w:tcW w:w="1134"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державний бюджет</w:t>
            </w:r>
          </w:p>
        </w:tc>
        <w:tc>
          <w:tcPr>
            <w:tcW w:w="992"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місцевий бюджет</w:t>
            </w:r>
          </w:p>
        </w:tc>
        <w:tc>
          <w:tcPr>
            <w:tcW w:w="1276"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державний бюджет</w:t>
            </w:r>
          </w:p>
        </w:tc>
        <w:tc>
          <w:tcPr>
            <w:tcW w:w="1134"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місцевий бюджет</w:t>
            </w:r>
          </w:p>
        </w:tc>
        <w:tc>
          <w:tcPr>
            <w:tcW w:w="1388" w:type="dxa"/>
            <w:tcBorders>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b/>
                <w:bCs/>
                <w:color w:val="000000" w:themeColor="text1"/>
                <w:sz w:val="22"/>
                <w:szCs w:val="22"/>
                <w:lang w:val="uk-UA"/>
              </w:rPr>
            </w:pPr>
            <w:r w:rsidRPr="00F220A7">
              <w:rPr>
                <w:color w:val="000000" w:themeColor="text1"/>
                <w:sz w:val="20"/>
                <w:szCs w:val="20"/>
                <w:lang w:val="uk-UA"/>
              </w:rPr>
              <w:t>інші джерела (кошти населення)</w:t>
            </w:r>
          </w:p>
        </w:tc>
      </w:tr>
      <w:tr w:rsidR="00880C46" w:rsidRPr="00F7290F" w:rsidTr="00393F5A">
        <w:trPr>
          <w:trHeight w:val="257"/>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0"/>
                <w:szCs w:val="20"/>
                <w:lang w:val="uk-UA"/>
              </w:rPr>
            </w:pPr>
            <w:r w:rsidRPr="00F7290F">
              <w:rPr>
                <w:b/>
                <w:bCs/>
                <w:sz w:val="20"/>
                <w:szCs w:val="20"/>
                <w:lang w:val="uk-UA"/>
              </w:rPr>
              <w:t>Всього по області</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14644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9877</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4767</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6930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6930</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r>
      <w:tr w:rsidR="00880C46" w:rsidRPr="00F7290F" w:rsidTr="00393F5A">
        <w:trPr>
          <w:trHeight w:val="160"/>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0"/>
                <w:szCs w:val="20"/>
                <w:lang w:val="uk-UA"/>
              </w:rPr>
            </w:pPr>
            <w:r w:rsidRPr="00F7290F">
              <w:rPr>
                <w:sz w:val="20"/>
                <w:szCs w:val="20"/>
                <w:lang w:val="uk-UA"/>
              </w:rPr>
              <w:t>у тому числі:</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r>
      <w:tr w:rsidR="00880C46" w:rsidRPr="00F7290F" w:rsidTr="00393F5A">
        <w:trPr>
          <w:trHeight w:val="205"/>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0"/>
                <w:szCs w:val="20"/>
                <w:lang w:val="uk-UA"/>
              </w:rPr>
            </w:pPr>
            <w:r w:rsidRPr="00F7290F">
              <w:rPr>
                <w:sz w:val="20"/>
                <w:szCs w:val="20"/>
                <w:lang w:val="uk-UA"/>
              </w:rPr>
              <w:t>Донецьк</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6930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6930</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r>
      <w:tr w:rsidR="00880C46" w:rsidRPr="00F7290F" w:rsidTr="00393F5A">
        <w:trPr>
          <w:trHeight w:val="252"/>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Красний Лиман</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2584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1564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1020</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27"/>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 xml:space="preserve">Амвросіївський </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1224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816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74"/>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2"/>
                <w:szCs w:val="22"/>
                <w:lang w:val="uk-UA"/>
              </w:rPr>
              <w:t>Артемівський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340</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74"/>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Великоновосілківський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732</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476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256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20"/>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Волноваський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1688</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1093</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595</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52"/>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Добропільський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42"/>
        </w:trPr>
        <w:tc>
          <w:tcPr>
            <w:tcW w:w="2445"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Костянтинівський</w:t>
            </w: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1020</w:t>
            </w:r>
          </w:p>
        </w:tc>
        <w:tc>
          <w:tcPr>
            <w:tcW w:w="1275"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816</w:t>
            </w: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204</w:t>
            </w: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87"/>
        </w:trPr>
        <w:tc>
          <w:tcPr>
            <w:tcW w:w="2445"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Красноармійський</w:t>
            </w: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408</w:t>
            </w:r>
          </w:p>
        </w:tc>
        <w:tc>
          <w:tcPr>
            <w:tcW w:w="1275"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272</w:t>
            </w: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20"/>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Мар'їнський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604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200</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23"/>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 xml:space="preserve">Новоазовський </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472</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70"/>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Олександрівський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260</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192</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16"/>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Першотравневий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744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476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268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38"/>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Слов'янський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1084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676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24"/>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Старобешівський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812</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608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69"/>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Тельманівський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1352</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948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02"/>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Шахтарський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544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06"/>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Ясинуватський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640</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384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256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jc w:val="right"/>
        <w:rPr>
          <w:color w:val="FF0000"/>
          <w:sz w:val="20"/>
          <w:szCs w:val="2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b/>
          <w:bCs/>
          <w:color w:val="000000" w:themeColor="text1"/>
          <w:sz w:val="28"/>
          <w:szCs w:val="28"/>
          <w:lang w:val="uk-UA"/>
        </w:rPr>
      </w:pPr>
      <w:r w:rsidRPr="00F220A7">
        <w:rPr>
          <w:color w:val="000000" w:themeColor="text1"/>
          <w:sz w:val="20"/>
          <w:szCs w:val="20"/>
          <w:lang w:val="uk-UA"/>
        </w:rPr>
        <w:lastRenderedPageBreak/>
        <w:t>Таблиця 6</w:t>
      </w:r>
    </w:p>
    <w:p w:rsidR="002812B0" w:rsidRPr="00F220A7" w:rsidRDefault="002812B0" w:rsidP="00D65D2E">
      <w:pPr>
        <w:keepNext/>
        <w:widowControl w:val="0"/>
        <w:jc w:val="center"/>
        <w:rPr>
          <w:color w:val="000000" w:themeColor="text1"/>
          <w:sz w:val="20"/>
          <w:szCs w:val="20"/>
          <w:lang w:val="uk-UA"/>
        </w:rPr>
      </w:pPr>
      <w:r w:rsidRPr="00F220A7">
        <w:rPr>
          <w:b/>
          <w:bCs/>
          <w:color w:val="000000" w:themeColor="text1"/>
          <w:sz w:val="28"/>
          <w:szCs w:val="28"/>
          <w:lang w:val="uk-UA"/>
        </w:rPr>
        <w:t>Показники обсягів інвестицій у житлові будівлі на 2013 рік по Донецькій області за  джерелами фінансування</w:t>
      </w:r>
    </w:p>
    <w:p w:rsidR="002812B0" w:rsidRPr="00F220A7" w:rsidRDefault="002812B0" w:rsidP="00D65D2E">
      <w:pPr>
        <w:keepNext/>
        <w:widowControl w:val="0"/>
        <w:ind w:left="13452"/>
        <w:rPr>
          <w:color w:val="000000" w:themeColor="text1"/>
          <w:sz w:val="20"/>
          <w:szCs w:val="20"/>
          <w:lang w:val="uk-UA"/>
        </w:rPr>
      </w:pPr>
      <w:r w:rsidRPr="00F220A7">
        <w:rPr>
          <w:color w:val="000000" w:themeColor="text1"/>
          <w:sz w:val="20"/>
          <w:szCs w:val="20"/>
          <w:lang w:val="uk-UA"/>
        </w:rPr>
        <w:t>тис.грн.</w:t>
      </w:r>
    </w:p>
    <w:tbl>
      <w:tblPr>
        <w:tblW w:w="15765" w:type="dxa"/>
        <w:tblInd w:w="-353" w:type="dxa"/>
        <w:tblLayout w:type="fixed"/>
        <w:tblLook w:val="0000"/>
      </w:tblPr>
      <w:tblGrid>
        <w:gridCol w:w="1986"/>
        <w:gridCol w:w="1140"/>
        <w:gridCol w:w="1060"/>
        <w:gridCol w:w="811"/>
        <w:gridCol w:w="1029"/>
        <w:gridCol w:w="1060"/>
        <w:gridCol w:w="540"/>
        <w:gridCol w:w="1057"/>
        <w:gridCol w:w="674"/>
        <w:gridCol w:w="602"/>
        <w:gridCol w:w="1532"/>
        <w:gridCol w:w="553"/>
        <w:gridCol w:w="856"/>
        <w:gridCol w:w="937"/>
        <w:gridCol w:w="992"/>
        <w:gridCol w:w="936"/>
      </w:tblGrid>
      <w:tr w:rsidR="002812B0" w:rsidRPr="00F220A7" w:rsidTr="00393F5A">
        <w:trPr>
          <w:trHeight w:val="205"/>
        </w:trPr>
        <w:tc>
          <w:tcPr>
            <w:tcW w:w="1986"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Найменування міст і районів</w:t>
            </w:r>
          </w:p>
        </w:tc>
        <w:tc>
          <w:tcPr>
            <w:tcW w:w="114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12639" w:type="dxa"/>
            <w:gridSpan w:val="14"/>
            <w:tcBorders>
              <w:top w:val="single" w:sz="4" w:space="0" w:color="000000"/>
              <w:left w:val="single" w:sz="4" w:space="0" w:color="000000"/>
              <w:bottom w:val="single" w:sz="4" w:space="0" w:color="000000"/>
              <w:right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 за рахунок коштів:</w:t>
            </w:r>
          </w:p>
        </w:tc>
      </w:tr>
      <w:tr w:rsidR="002812B0" w:rsidRPr="00F220A7" w:rsidTr="00393F5A">
        <w:trPr>
          <w:trHeight w:val="795"/>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державного бюджету</w:t>
            </w:r>
          </w:p>
        </w:tc>
        <w:tc>
          <w:tcPr>
            <w:tcW w:w="811"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обласного бюджету</w:t>
            </w:r>
          </w:p>
        </w:tc>
        <w:tc>
          <w:tcPr>
            <w:tcW w:w="1029"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бюджетів міст і районів</w:t>
            </w:r>
          </w:p>
        </w:tc>
        <w:tc>
          <w:tcPr>
            <w:tcW w:w="1600" w:type="dxa"/>
            <w:gridSpan w:val="2"/>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власних коштів підприємств та організацій</w:t>
            </w:r>
          </w:p>
        </w:tc>
        <w:tc>
          <w:tcPr>
            <w:tcW w:w="3865" w:type="dxa"/>
            <w:gridSpan w:val="4"/>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кредитів банків та інших позик</w:t>
            </w:r>
          </w:p>
        </w:tc>
        <w:tc>
          <w:tcPr>
            <w:tcW w:w="553"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іноземних інвесторів</w:t>
            </w:r>
          </w:p>
        </w:tc>
        <w:tc>
          <w:tcPr>
            <w:tcW w:w="856"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 xml:space="preserve">вітчизняних інвестиційних </w:t>
            </w:r>
          </w:p>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компаній, фондів тощо</w:t>
            </w:r>
          </w:p>
        </w:tc>
        <w:tc>
          <w:tcPr>
            <w:tcW w:w="937"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 xml:space="preserve">населення на будівництво </w:t>
            </w:r>
          </w:p>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 xml:space="preserve">власних квартир </w:t>
            </w:r>
          </w:p>
        </w:tc>
        <w:tc>
          <w:tcPr>
            <w:tcW w:w="992"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 xml:space="preserve">населення на індивідуальне </w:t>
            </w:r>
          </w:p>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житлове будівництво</w:t>
            </w:r>
          </w:p>
        </w:tc>
        <w:tc>
          <w:tcPr>
            <w:tcW w:w="9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інших джерел</w:t>
            </w:r>
          </w:p>
        </w:tc>
      </w:tr>
      <w:tr w:rsidR="002812B0" w:rsidRPr="00F220A7" w:rsidTr="00393F5A">
        <w:trPr>
          <w:trHeight w:val="270"/>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всього </w:t>
            </w:r>
          </w:p>
        </w:tc>
        <w:tc>
          <w:tcPr>
            <w:tcW w:w="540"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з них амортизаційних відрахувань</w:t>
            </w:r>
          </w:p>
        </w:tc>
        <w:tc>
          <w:tcPr>
            <w:tcW w:w="1057"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2808" w:type="dxa"/>
            <w:gridSpan w:val="3"/>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з них</w:t>
            </w: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r w:rsidR="002812B0" w:rsidRPr="00F220A7" w:rsidTr="00393F5A">
        <w:trPr>
          <w:trHeight w:val="585"/>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5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74"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кредити іноземних банків</w:t>
            </w:r>
          </w:p>
        </w:tc>
        <w:tc>
          <w:tcPr>
            <w:tcW w:w="2134" w:type="dxa"/>
            <w:gridSpan w:val="2"/>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іпотечного кредитування</w:t>
            </w: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r w:rsidR="002812B0" w:rsidRPr="00F220A7" w:rsidTr="00393F5A">
        <w:trPr>
          <w:trHeight w:val="1523"/>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5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74"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02" w:type="dxa"/>
            <w:vMerge w:val="restart"/>
            <w:tcBorders>
              <w:top w:val="single" w:sz="4" w:space="0" w:color="000000"/>
              <w:left w:val="single" w:sz="4" w:space="0" w:color="000000"/>
              <w:bottom w:val="single" w:sz="4" w:space="0" w:color="000000"/>
            </w:tcBorders>
            <w:shd w:val="clear" w:color="auto" w:fill="auto"/>
            <w:textDirection w:val="btL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всього</w:t>
            </w:r>
          </w:p>
        </w:tc>
        <w:tc>
          <w:tcPr>
            <w:tcW w:w="1532"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з нього іпотечного кредитування населення на будівництво власних квартир</w:t>
            </w: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r w:rsidR="002812B0" w:rsidRPr="00F220A7" w:rsidTr="00393F5A">
        <w:trPr>
          <w:trHeight w:val="230"/>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5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74"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0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53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bl>
    <w:p w:rsidR="002812B0" w:rsidRPr="00F220A7" w:rsidRDefault="002812B0" w:rsidP="00D65D2E">
      <w:pPr>
        <w:keepNext/>
        <w:widowControl w:val="0"/>
        <w:rPr>
          <w:color w:val="000000" w:themeColor="text1"/>
          <w:sz w:val="2"/>
          <w:szCs w:val="2"/>
          <w:lang w:val="uk-UA"/>
        </w:rPr>
      </w:pPr>
    </w:p>
    <w:tbl>
      <w:tblPr>
        <w:tblW w:w="15783" w:type="dxa"/>
        <w:tblInd w:w="-371" w:type="dxa"/>
        <w:tblLayout w:type="fixed"/>
        <w:tblLook w:val="0000"/>
      </w:tblPr>
      <w:tblGrid>
        <w:gridCol w:w="2006"/>
        <w:gridCol w:w="1144"/>
        <w:gridCol w:w="1050"/>
        <w:gridCol w:w="815"/>
        <w:gridCol w:w="1023"/>
        <w:gridCol w:w="1068"/>
        <w:gridCol w:w="544"/>
        <w:gridCol w:w="1051"/>
        <w:gridCol w:w="674"/>
        <w:gridCol w:w="602"/>
        <w:gridCol w:w="1536"/>
        <w:gridCol w:w="543"/>
        <w:gridCol w:w="863"/>
        <w:gridCol w:w="937"/>
        <w:gridCol w:w="994"/>
        <w:gridCol w:w="933"/>
      </w:tblGrid>
      <w:tr w:rsidR="002812B0" w:rsidRPr="00F220A7" w:rsidTr="00393F5A">
        <w:trPr>
          <w:trHeight w:val="187"/>
          <w:tblHeader/>
        </w:trPr>
        <w:tc>
          <w:tcPr>
            <w:tcW w:w="2006"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2</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3</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4</w:t>
            </w: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5</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6</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7</w:t>
            </w: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8</w:t>
            </w: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9</w:t>
            </w: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10</w:t>
            </w: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11</w:t>
            </w: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12</w:t>
            </w: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13</w:t>
            </w: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14</w:t>
            </w: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F220A7" w:rsidRDefault="002812B0" w:rsidP="00D65D2E">
            <w:pPr>
              <w:keepNext/>
              <w:widowControl w:val="0"/>
              <w:jc w:val="center"/>
              <w:rPr>
                <w:b/>
                <w:bCs/>
                <w:color w:val="000000" w:themeColor="text1"/>
                <w:sz w:val="22"/>
                <w:szCs w:val="22"/>
                <w:lang w:val="uk-UA"/>
              </w:rPr>
            </w:pPr>
            <w:r w:rsidRPr="00F220A7">
              <w:rPr>
                <w:bCs/>
                <w:color w:val="000000" w:themeColor="text1"/>
                <w:sz w:val="20"/>
                <w:szCs w:val="20"/>
                <w:lang w:val="uk-UA"/>
              </w:rPr>
              <w:t>16</w:t>
            </w:r>
          </w:p>
        </w:tc>
      </w:tr>
      <w:tr w:rsidR="00B4449C" w:rsidRPr="00F220A7" w:rsidTr="00393F5A">
        <w:trPr>
          <w:trHeight w:val="293"/>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rPr>
                <w:b/>
                <w:bCs/>
                <w:color w:val="000000" w:themeColor="text1"/>
                <w:sz w:val="20"/>
                <w:szCs w:val="20"/>
                <w:lang w:val="uk-UA"/>
              </w:rPr>
            </w:pPr>
            <w:r w:rsidRPr="00F220A7">
              <w:rPr>
                <w:b/>
                <w:bCs/>
                <w:color w:val="000000" w:themeColor="text1"/>
                <w:sz w:val="22"/>
                <w:szCs w:val="22"/>
                <w:lang w:val="uk-UA"/>
              </w:rPr>
              <w:t>Всього по області</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220A7" w:rsidRDefault="004E719B" w:rsidP="00F7290F">
            <w:pPr>
              <w:keepNext/>
              <w:widowControl w:val="0"/>
              <w:snapToGrid w:val="0"/>
              <w:jc w:val="center"/>
              <w:rPr>
                <w:b/>
                <w:bCs/>
                <w:color w:val="000000" w:themeColor="text1"/>
                <w:sz w:val="20"/>
                <w:szCs w:val="20"/>
                <w:lang w:val="uk-UA"/>
              </w:rPr>
            </w:pPr>
            <w:r>
              <w:rPr>
                <w:b/>
                <w:bCs/>
                <w:color w:val="000000" w:themeColor="text1"/>
                <w:sz w:val="20"/>
                <w:szCs w:val="20"/>
                <w:lang w:val="uk-UA"/>
              </w:rPr>
              <w:t>1572578,5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79358,9</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220A7" w:rsidRDefault="004E719B" w:rsidP="00F7290F">
            <w:pPr>
              <w:keepNext/>
              <w:widowControl w:val="0"/>
              <w:snapToGrid w:val="0"/>
              <w:jc w:val="center"/>
              <w:rPr>
                <w:b/>
                <w:bCs/>
                <w:color w:val="000000" w:themeColor="text1"/>
                <w:sz w:val="20"/>
                <w:szCs w:val="20"/>
                <w:lang w:val="uk-UA"/>
              </w:rPr>
            </w:pPr>
            <w:r>
              <w:rPr>
                <w:b/>
                <w:bCs/>
                <w:color w:val="000000" w:themeColor="text1"/>
                <w:sz w:val="20"/>
                <w:szCs w:val="20"/>
                <w:lang w:val="uk-UA"/>
              </w:rPr>
              <w:t>2480</w:t>
            </w: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51190,7</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279025,6</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236470</w:t>
            </w: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426500</w:t>
            </w: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63191,3</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388411,7</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45950,3</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b/>
                <w:bCs/>
                <w:sz w:val="20"/>
                <w:szCs w:val="20"/>
                <w:lang w:val="uk-UA"/>
              </w:rPr>
            </w:pPr>
            <w:r w:rsidRPr="00F7290F">
              <w:rPr>
                <w:sz w:val="22"/>
                <w:szCs w:val="22"/>
                <w:lang w:val="uk-UA"/>
              </w:rPr>
              <w:t>у тому числі:</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b/>
                <w:bCs/>
                <w:sz w:val="20"/>
                <w:szCs w:val="20"/>
                <w:lang w:val="uk-UA"/>
              </w:rPr>
            </w:pP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Донецьк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910591,9</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13700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800</w:t>
            </w: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33804,8</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107306,3</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181470</w:t>
            </w: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420000</w:t>
            </w: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45695,5</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94815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13000,3</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Авдіївка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Артемівськ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19180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4180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315</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5668</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9017</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Горлівка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22623</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4921</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1689</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1500</w:t>
            </w: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14513</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Дебальцеве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2710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1710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Дзержинськ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14650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13300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Димитров</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1015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1015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Добропілля</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Докучаєвськ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9015,3</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8062,3</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753</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Дружківка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1400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1400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Єнакієве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Жданівка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295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Кіровське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70"/>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Костянтинівка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10250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2850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6650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Краматорськ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18950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2"/>
                <w:szCs w:val="22"/>
                <w:lang w:val="uk-UA"/>
              </w:rPr>
            </w:pPr>
            <w:r w:rsidRPr="00F7290F">
              <w:rPr>
                <w:sz w:val="20"/>
                <w:szCs w:val="20"/>
                <w:lang w:val="uk-UA"/>
              </w:rPr>
              <w:t>18950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Красноармійськ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69965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65965</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lastRenderedPageBreak/>
              <w:t>Красний Лиман</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35640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33840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300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Макіївка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54595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4378,1</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121,9</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50095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Маріуполь</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200244</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3600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82744</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55000</w:t>
            </w: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5000</w:t>
            </w: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48900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5000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Селидове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Слов'янськ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11603</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11603</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Сніжне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2950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2950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2"/>
                <w:szCs w:val="22"/>
                <w:lang w:val="uk-UA"/>
              </w:rPr>
            </w:pPr>
            <w:r w:rsidRPr="00F7290F">
              <w:rPr>
                <w:sz w:val="22"/>
                <w:szCs w:val="22"/>
                <w:lang w:val="uk-UA"/>
              </w:rPr>
              <w:t>Торез</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924</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924</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Харцизьк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17728</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13090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710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3528</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400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Шахтарськ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850,2</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850,2</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Ясинувата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18300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3800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6500</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140"/>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2"/>
                <w:szCs w:val="22"/>
                <w:lang w:val="uk-UA"/>
              </w:rPr>
            </w:pP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 xml:space="preserve">Амвросіївський </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13898,8</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5792,8</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7306</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Артемівський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6300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6300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В.Новосілківський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1900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Волноваський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1900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1200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Володарський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12757,8</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8789,8</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3968</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Добропільський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08"/>
        </w:trPr>
        <w:tc>
          <w:tcPr>
            <w:tcW w:w="2006"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Костянтинівський</w:t>
            </w:r>
          </w:p>
        </w:tc>
        <w:tc>
          <w:tcPr>
            <w:tcW w:w="1144"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2000</w:t>
            </w:r>
          </w:p>
        </w:tc>
        <w:tc>
          <w:tcPr>
            <w:tcW w:w="1050"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815"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68"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1300</w:t>
            </w:r>
          </w:p>
        </w:tc>
        <w:tc>
          <w:tcPr>
            <w:tcW w:w="933" w:type="dxa"/>
            <w:tcBorders>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Красноармійський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1546,5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1246,5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Мар'їнський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8060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180</w:t>
            </w: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1780</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5200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Новоазовський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6650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6250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Олександрівський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Першотравневий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31500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1100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Слов'янський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18986</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17586</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Старобешівський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D65384" w:rsidP="00F7290F">
            <w:pPr>
              <w:keepNext/>
              <w:widowControl w:val="0"/>
              <w:snapToGrid w:val="0"/>
              <w:jc w:val="center"/>
              <w:rPr>
                <w:sz w:val="20"/>
                <w:szCs w:val="20"/>
                <w:lang w:val="uk-UA"/>
              </w:rPr>
            </w:pPr>
            <w:r>
              <w:rPr>
                <w:sz w:val="20"/>
                <w:szCs w:val="20"/>
                <w:lang w:val="uk-UA"/>
              </w:rPr>
              <w:t>13400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8400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Тельманівський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1600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1100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150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Шахтарський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Ясинуватський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20700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1500</w:t>
            </w: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lang w:val="uk-UA"/>
              </w:rPr>
            </w:pPr>
            <w:r w:rsidRPr="00F7290F">
              <w:rPr>
                <w:sz w:val="20"/>
                <w:szCs w:val="20"/>
                <w:lang w:val="uk-UA"/>
              </w:rPr>
              <w:t>8000</w:t>
            </w:r>
          </w:p>
        </w:tc>
      </w:tr>
    </w:tbl>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b/>
          <w:bCs/>
          <w:color w:val="000000" w:themeColor="text1"/>
          <w:lang w:val="uk-UA"/>
        </w:rPr>
      </w:pPr>
      <w:r w:rsidRPr="00F220A7">
        <w:rPr>
          <w:color w:val="000000" w:themeColor="text1"/>
          <w:sz w:val="20"/>
          <w:szCs w:val="20"/>
          <w:lang w:val="uk-UA"/>
        </w:rPr>
        <w:lastRenderedPageBreak/>
        <w:t>Таблиця 7</w:t>
      </w:r>
    </w:p>
    <w:p w:rsidR="000B6756" w:rsidRPr="00F220A7" w:rsidRDefault="000B6756" w:rsidP="00C64762">
      <w:pPr>
        <w:keepNext/>
        <w:widowControl w:val="0"/>
        <w:tabs>
          <w:tab w:val="left" w:pos="14986"/>
        </w:tabs>
        <w:snapToGrid w:val="0"/>
        <w:spacing w:after="120"/>
        <w:ind w:left="1701"/>
        <w:jc w:val="center"/>
        <w:rPr>
          <w:color w:val="000000" w:themeColor="text1"/>
          <w:sz w:val="20"/>
          <w:szCs w:val="20"/>
          <w:lang w:val="uk-UA"/>
        </w:rPr>
      </w:pPr>
      <w:r w:rsidRPr="00F220A7">
        <w:rPr>
          <w:b/>
          <w:bCs/>
          <w:color w:val="000000" w:themeColor="text1"/>
          <w:lang w:val="uk-UA"/>
        </w:rPr>
        <w:t>План-графік введення у 2013 році об'єктів житлового будівництва в експлуатацію по Донецькій області</w:t>
      </w:r>
      <w:r w:rsidRPr="00F220A7">
        <w:rPr>
          <w:i/>
          <w:iCs/>
          <w:color w:val="000000" w:themeColor="text1"/>
          <w:sz w:val="20"/>
          <w:szCs w:val="20"/>
          <w:lang w:val="uk-UA"/>
        </w:rPr>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color w:val="000000" w:themeColor="text1"/>
          <w:sz w:val="20"/>
          <w:szCs w:val="20"/>
          <w:lang w:val="uk-UA"/>
        </w:rPr>
        <w:tab/>
      </w:r>
    </w:p>
    <w:tbl>
      <w:tblPr>
        <w:tblW w:w="15889" w:type="dxa"/>
        <w:tblInd w:w="-755" w:type="dxa"/>
        <w:tblLayout w:type="fixed"/>
        <w:tblLook w:val="0000"/>
      </w:tblPr>
      <w:tblGrid>
        <w:gridCol w:w="443"/>
        <w:gridCol w:w="2358"/>
        <w:gridCol w:w="3331"/>
        <w:gridCol w:w="719"/>
        <w:gridCol w:w="958"/>
        <w:gridCol w:w="709"/>
        <w:gridCol w:w="567"/>
        <w:gridCol w:w="992"/>
        <w:gridCol w:w="851"/>
        <w:gridCol w:w="850"/>
        <w:gridCol w:w="851"/>
        <w:gridCol w:w="850"/>
        <w:gridCol w:w="851"/>
        <w:gridCol w:w="850"/>
        <w:gridCol w:w="709"/>
      </w:tblGrid>
      <w:tr w:rsidR="002812B0" w:rsidRPr="00F220A7" w:rsidTr="008F7EAE">
        <w:trPr>
          <w:trHeight w:val="308"/>
        </w:trPr>
        <w:tc>
          <w:tcPr>
            <w:tcW w:w="4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 з/п</w:t>
            </w:r>
          </w:p>
        </w:tc>
        <w:tc>
          <w:tcPr>
            <w:tcW w:w="23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Замовник будівництва</w:t>
            </w:r>
          </w:p>
        </w:tc>
        <w:tc>
          <w:tcPr>
            <w:tcW w:w="3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Найменування об’єкта та його місцезнаходження</w:t>
            </w:r>
          </w:p>
        </w:tc>
        <w:tc>
          <w:tcPr>
            <w:tcW w:w="16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Характеристика будинку</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Початок будівництва (рік)</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Будівельна готовність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Запланова дата здачі в експлуатацію (квартал)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Загальна кошторисна вартість будівництва, (тис.грн.)</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Залишок за кошторисом на 01.01.2013 (тис.грн.)</w:t>
            </w:r>
          </w:p>
        </w:tc>
        <w:tc>
          <w:tcPr>
            <w:tcW w:w="4111" w:type="dxa"/>
            <w:gridSpan w:val="5"/>
            <w:tcBorders>
              <w:top w:val="single" w:sz="4" w:space="0" w:color="000000"/>
              <w:left w:val="single" w:sz="4" w:space="0" w:color="auto"/>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Джерела фінансування у 2013 році та об'єми, тис.грн.</w:t>
            </w:r>
          </w:p>
        </w:tc>
      </w:tr>
      <w:tr w:rsidR="00E05839" w:rsidRPr="00F220A7" w:rsidTr="008F7EAE">
        <w:trPr>
          <w:cantSplit/>
          <w:trHeight w:val="1448"/>
        </w:trPr>
        <w:tc>
          <w:tcPr>
            <w:tcW w:w="443"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2358"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3331"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719" w:type="dxa"/>
            <w:tcBorders>
              <w:top w:val="single" w:sz="4" w:space="0" w:color="auto"/>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Кількість квартир</w:t>
            </w:r>
          </w:p>
        </w:tc>
        <w:tc>
          <w:tcPr>
            <w:tcW w:w="958" w:type="dxa"/>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Загальна площа (кв.м)</w:t>
            </w:r>
          </w:p>
        </w:tc>
        <w:tc>
          <w:tcPr>
            <w:tcW w:w="709"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567"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992"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851"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850"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851" w:type="dxa"/>
            <w:tcBorders>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державний бюджет</w:t>
            </w:r>
          </w:p>
        </w:tc>
        <w:tc>
          <w:tcPr>
            <w:tcW w:w="850" w:type="dxa"/>
            <w:tcBorders>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місцевий бюджет</w:t>
            </w:r>
          </w:p>
        </w:tc>
        <w:tc>
          <w:tcPr>
            <w:tcW w:w="851" w:type="dxa"/>
            <w:tcBorders>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кошти громадян</w:t>
            </w:r>
          </w:p>
        </w:tc>
        <w:tc>
          <w:tcPr>
            <w:tcW w:w="850" w:type="dxa"/>
            <w:tcBorders>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кошти підприємства</w:t>
            </w:r>
          </w:p>
        </w:tc>
        <w:tc>
          <w:tcPr>
            <w:tcW w:w="709" w:type="dxa"/>
            <w:tcBorders>
              <w:left w:val="single" w:sz="4" w:space="0" w:color="000000"/>
              <w:bottom w:val="single" w:sz="4" w:space="0" w:color="000000"/>
              <w:right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lang w:val="uk-UA"/>
              </w:rPr>
            </w:pPr>
            <w:r w:rsidRPr="00F220A7">
              <w:rPr>
                <w:color w:val="000000" w:themeColor="text1"/>
                <w:sz w:val="18"/>
                <w:szCs w:val="18"/>
                <w:lang w:val="uk-UA"/>
              </w:rPr>
              <w:t>інші</w:t>
            </w:r>
          </w:p>
        </w:tc>
      </w:tr>
    </w:tbl>
    <w:p w:rsidR="002812B0" w:rsidRPr="00F220A7" w:rsidRDefault="002812B0" w:rsidP="00D65D2E">
      <w:pPr>
        <w:keepNext/>
        <w:widowControl w:val="0"/>
        <w:rPr>
          <w:color w:val="000000" w:themeColor="text1"/>
          <w:sz w:val="2"/>
          <w:szCs w:val="2"/>
          <w:lang w:val="uk-UA"/>
        </w:rPr>
      </w:pPr>
    </w:p>
    <w:tbl>
      <w:tblPr>
        <w:tblW w:w="15912" w:type="dxa"/>
        <w:tblInd w:w="-743" w:type="dxa"/>
        <w:tblLayout w:type="fixed"/>
        <w:tblLook w:val="0000"/>
      </w:tblPr>
      <w:tblGrid>
        <w:gridCol w:w="425"/>
        <w:gridCol w:w="2411"/>
        <w:gridCol w:w="3260"/>
        <w:gridCol w:w="709"/>
        <w:gridCol w:w="992"/>
        <w:gridCol w:w="709"/>
        <w:gridCol w:w="567"/>
        <w:gridCol w:w="992"/>
        <w:gridCol w:w="851"/>
        <w:gridCol w:w="850"/>
        <w:gridCol w:w="851"/>
        <w:gridCol w:w="850"/>
        <w:gridCol w:w="851"/>
        <w:gridCol w:w="850"/>
        <w:gridCol w:w="744"/>
      </w:tblGrid>
      <w:tr w:rsidR="002812B0" w:rsidRPr="00F220A7" w:rsidTr="000B6756">
        <w:trPr>
          <w:trHeight w:val="240"/>
          <w:tblHeader/>
        </w:trPr>
        <w:tc>
          <w:tcPr>
            <w:tcW w:w="425"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w:t>
            </w:r>
          </w:p>
        </w:tc>
        <w:tc>
          <w:tcPr>
            <w:tcW w:w="2411"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2</w:t>
            </w:r>
          </w:p>
        </w:tc>
        <w:tc>
          <w:tcPr>
            <w:tcW w:w="3260"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3</w:t>
            </w:r>
          </w:p>
        </w:tc>
        <w:tc>
          <w:tcPr>
            <w:tcW w:w="709"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4</w:t>
            </w:r>
          </w:p>
        </w:tc>
        <w:tc>
          <w:tcPr>
            <w:tcW w:w="992"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5</w:t>
            </w:r>
          </w:p>
        </w:tc>
        <w:tc>
          <w:tcPr>
            <w:tcW w:w="709"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6</w:t>
            </w:r>
          </w:p>
        </w:tc>
        <w:tc>
          <w:tcPr>
            <w:tcW w:w="567"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7</w:t>
            </w:r>
          </w:p>
        </w:tc>
        <w:tc>
          <w:tcPr>
            <w:tcW w:w="992"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8</w:t>
            </w:r>
          </w:p>
        </w:tc>
        <w:tc>
          <w:tcPr>
            <w:tcW w:w="851"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9</w:t>
            </w:r>
          </w:p>
        </w:tc>
        <w:tc>
          <w:tcPr>
            <w:tcW w:w="850"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10</w:t>
            </w:r>
          </w:p>
        </w:tc>
        <w:tc>
          <w:tcPr>
            <w:tcW w:w="851"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11</w:t>
            </w:r>
          </w:p>
        </w:tc>
        <w:tc>
          <w:tcPr>
            <w:tcW w:w="850"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12</w:t>
            </w:r>
          </w:p>
        </w:tc>
        <w:tc>
          <w:tcPr>
            <w:tcW w:w="851"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13</w:t>
            </w:r>
          </w:p>
        </w:tc>
        <w:tc>
          <w:tcPr>
            <w:tcW w:w="850"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15</w:t>
            </w:r>
          </w:p>
        </w:tc>
      </w:tr>
      <w:tr w:rsidR="003D1C39" w:rsidRPr="00F7290F" w:rsidTr="000B6756">
        <w:trPr>
          <w:trHeight w:val="10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sz w:val="18"/>
                <w:szCs w:val="18"/>
                <w:lang w:val="uk-UA"/>
              </w:rPr>
              <w:t> </w:t>
            </w:r>
          </w:p>
        </w:tc>
        <w:tc>
          <w:tcPr>
            <w:tcW w:w="5671" w:type="dxa"/>
            <w:gridSpan w:val="2"/>
            <w:tcBorders>
              <w:top w:val="single" w:sz="4" w:space="0" w:color="000000"/>
              <w:left w:val="single" w:sz="4" w:space="0" w:color="000000"/>
              <w:bottom w:val="single" w:sz="4" w:space="0" w:color="000000"/>
            </w:tcBorders>
            <w:shd w:val="clear" w:color="auto" w:fill="auto"/>
          </w:tcPr>
          <w:p w:rsidR="003D1C39" w:rsidRPr="00F7290F" w:rsidRDefault="003D1C39" w:rsidP="00F7290F">
            <w:pPr>
              <w:keepNext/>
              <w:widowControl w:val="0"/>
              <w:rPr>
                <w:sz w:val="18"/>
                <w:szCs w:val="18"/>
                <w:lang w:val="uk-UA"/>
              </w:rPr>
            </w:pPr>
            <w:r w:rsidRPr="00F7290F">
              <w:rPr>
                <w:b/>
                <w:bCs/>
                <w:sz w:val="20"/>
                <w:szCs w:val="20"/>
                <w:lang w:val="uk-UA"/>
              </w:rPr>
              <w:t>І. Перелік об'єктів житлового будівництва - всього</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2"/>
                <w:szCs w:val="22"/>
                <w:lang w:val="uk-UA"/>
              </w:rPr>
              <w:t>300324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snapToGrid w:val="0"/>
              <w:jc w:val="center"/>
              <w:rPr>
                <w:lang w:val="uk-UA"/>
              </w:rPr>
            </w:pPr>
          </w:p>
        </w:tc>
      </w:tr>
      <w:tr w:rsidR="003D1C39" w:rsidRPr="00F7290F" w:rsidTr="000B6756">
        <w:trPr>
          <w:trHeight w:val="163"/>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18"/>
                <w:szCs w:val="18"/>
                <w:lang w:val="uk-UA"/>
              </w:rPr>
              <w:t> </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b/>
                <w:bCs/>
                <w:sz w:val="20"/>
                <w:szCs w:val="20"/>
                <w:lang w:val="uk-UA"/>
              </w:rPr>
            </w:pPr>
            <w:r w:rsidRPr="00F7290F">
              <w:rPr>
                <w:sz w:val="20"/>
                <w:szCs w:val="20"/>
                <w:lang w:val="uk-UA"/>
              </w:rPr>
              <w:t>у тому числі:</w:t>
            </w:r>
          </w:p>
        </w:tc>
        <w:tc>
          <w:tcPr>
            <w:tcW w:w="3260" w:type="dxa"/>
            <w:tcBorders>
              <w:bottom w:val="single" w:sz="4" w:space="0" w:color="000000"/>
            </w:tcBorders>
            <w:shd w:val="clear" w:color="auto" w:fill="auto"/>
          </w:tcPr>
          <w:p w:rsidR="003D1C39" w:rsidRPr="00F7290F" w:rsidRDefault="003D1C39" w:rsidP="00F7290F">
            <w:pPr>
              <w:keepNext/>
              <w:widowControl w:val="0"/>
              <w:rPr>
                <w:sz w:val="18"/>
                <w:szCs w:val="18"/>
                <w:lang w:val="uk-UA"/>
              </w:rPr>
            </w:pPr>
            <w:r w:rsidRPr="00F7290F">
              <w:rPr>
                <w:b/>
                <w:bCs/>
                <w:sz w:val="20"/>
                <w:szCs w:val="20"/>
                <w:lang w:val="uk-UA"/>
              </w:rPr>
              <w:t> </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r>
      <w:tr w:rsidR="003D1C39" w:rsidRPr="00F7290F" w:rsidTr="000B6756">
        <w:trPr>
          <w:trHeight w:val="16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i/>
                <w:iCs/>
                <w:sz w:val="20"/>
                <w:szCs w:val="20"/>
                <w:lang w:val="uk-UA"/>
              </w:rPr>
            </w:pPr>
            <w:r w:rsidRPr="00F7290F">
              <w:rPr>
                <w:b/>
                <w:bCs/>
                <w:sz w:val="20"/>
                <w:szCs w:val="20"/>
                <w:lang w:val="uk-UA"/>
              </w:rPr>
              <w:t> </w:t>
            </w:r>
          </w:p>
        </w:tc>
        <w:tc>
          <w:tcPr>
            <w:tcW w:w="5671" w:type="dxa"/>
            <w:gridSpan w:val="2"/>
            <w:tcBorders>
              <w:top w:val="single" w:sz="4" w:space="0" w:color="000000"/>
              <w:left w:val="single" w:sz="4" w:space="0" w:color="000000"/>
              <w:bottom w:val="single" w:sz="4" w:space="0" w:color="000000"/>
            </w:tcBorders>
            <w:shd w:val="clear" w:color="auto" w:fill="auto"/>
          </w:tcPr>
          <w:p w:rsidR="003D1C39" w:rsidRPr="00F7290F" w:rsidRDefault="003D1C39" w:rsidP="00F7290F">
            <w:pPr>
              <w:keepNext/>
              <w:widowControl w:val="0"/>
              <w:rPr>
                <w:b/>
                <w:bCs/>
                <w:sz w:val="20"/>
                <w:szCs w:val="20"/>
                <w:lang w:val="uk-UA"/>
              </w:rPr>
            </w:pPr>
            <w:r w:rsidRPr="00F7290F">
              <w:rPr>
                <w:b/>
                <w:bCs/>
                <w:i/>
                <w:iCs/>
                <w:sz w:val="20"/>
                <w:szCs w:val="20"/>
                <w:lang w:val="uk-UA"/>
              </w:rPr>
              <w:t>Багатоквартирні житлові будинки - всього</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1462</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140440</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х</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х</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х</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801173</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265678</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5300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7400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31545</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216713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snapToGrid w:val="0"/>
              <w:jc w:val="center"/>
              <w:rPr>
                <w:b/>
                <w:sz w:val="20"/>
                <w:szCs w:val="20"/>
                <w:lang w:val="uk-UA"/>
              </w:rPr>
            </w:pPr>
            <w:r w:rsidRPr="00F7290F">
              <w:rPr>
                <w:b/>
                <w:sz w:val="20"/>
                <w:szCs w:val="20"/>
                <w:lang w:val="uk-UA"/>
              </w:rPr>
              <w:t>6500</w:t>
            </w:r>
            <w:r w:rsidR="00914A69" w:rsidRPr="00F7290F">
              <w:rPr>
                <w:b/>
                <w:sz w:val="20"/>
                <w:szCs w:val="20"/>
                <w:lang w:val="uk-UA"/>
              </w:rPr>
              <w:fldChar w:fldCharType="begin"/>
            </w:r>
            <w:r w:rsidRPr="00F7290F">
              <w:rPr>
                <w:b/>
                <w:sz w:val="20"/>
                <w:szCs w:val="20"/>
                <w:lang w:val="uk-UA"/>
              </w:rPr>
              <w:instrText xml:space="preserve"> =SUM(O5:O32) </w:instrText>
            </w:r>
            <w:r w:rsidR="00914A69" w:rsidRPr="00F7290F">
              <w:rPr>
                <w:b/>
                <w:sz w:val="20"/>
                <w:szCs w:val="20"/>
                <w:lang w:val="uk-UA"/>
              </w:rPr>
              <w:fldChar w:fldCharType="end"/>
            </w:r>
          </w:p>
        </w:tc>
      </w:tr>
      <w:tr w:rsidR="003D1C39" w:rsidRPr="00F7290F" w:rsidTr="000B6756">
        <w:trPr>
          <w:trHeight w:val="617"/>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rPr>
                <w:sz w:val="20"/>
                <w:szCs w:val="20"/>
                <w:lang w:val="uk-UA"/>
              </w:rPr>
            </w:pPr>
            <w:r w:rsidRPr="00F7290F">
              <w:rPr>
                <w:sz w:val="20"/>
                <w:szCs w:val="20"/>
                <w:lang w:val="uk-UA"/>
              </w:rPr>
              <w:t>ТОВ “Дирекція адміністративних будівель”</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rPr>
                <w:sz w:val="20"/>
                <w:szCs w:val="20"/>
                <w:lang w:val="uk-UA"/>
              </w:rPr>
            </w:pPr>
            <w:r w:rsidRPr="00F7290F">
              <w:rPr>
                <w:sz w:val="20"/>
                <w:szCs w:val="20"/>
                <w:lang w:val="uk-UA"/>
              </w:rPr>
              <w:t xml:space="preserve">22-поверховий залізобетонний житловий будинок №2 (секція 2), пр. Панфілова </w:t>
            </w:r>
            <w:smartTag w:uri="urn:schemas-microsoft-com:office:smarttags" w:element="metricconverter">
              <w:smartTagPr>
                <w:attr w:name="ProductID" w:val="24, м"/>
              </w:smartTagPr>
              <w:r w:rsidRPr="00F7290F">
                <w:rPr>
                  <w:sz w:val="20"/>
                  <w:szCs w:val="20"/>
                  <w:lang w:val="uk-UA"/>
                </w:rPr>
                <w:t>24, м</w:t>
              </w:r>
            </w:smartTag>
            <w:r w:rsidRPr="00F7290F">
              <w:rPr>
                <w:sz w:val="20"/>
                <w:szCs w:val="20"/>
                <w:lang w:val="uk-UA"/>
              </w:rPr>
              <w:t>.Донецьк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90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9620</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2007</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64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53314</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19285</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19285</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55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ТОВ "Капитал-стройгрупп"</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9-поверховий 55-квартирний житловий будинок, вул.Капітана Ратнікова,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5162</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2007</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58,7</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43755</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25703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25703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КП “Трест Донецьк-житлобуд-</w:t>
            </w:r>
            <w:smartTag w:uri="urn:schemas-microsoft-com:office:smarttags" w:element="metricconverter">
              <w:smartTagPr>
                <w:attr w:name="ProductID" w:val="1”"/>
              </w:smartTagPr>
              <w:r w:rsidRPr="00F7290F">
                <w:rPr>
                  <w:sz w:val="20"/>
                  <w:szCs w:val="20"/>
                  <w:lang w:val="uk-UA"/>
                </w:rPr>
                <w:t>1”</w:t>
              </w:r>
            </w:smartTag>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11-поверховий житловий будинок №3 з вбудовано-прибудованими торгово-адміністративними приміщеннями, КВ 100 по пр.Красногвардейский,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3814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2010</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27797</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19797</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9460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10337</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140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ТОВ “Віват-тур”</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Два 16-поверхові житлові будинки з вбудованими офісами, окремою картинною галереєю, об'єднаних паркінгом (на 100 автомашин в цокольному поверсі), пр.Ілліча, 17,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240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20218</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2009</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230000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5000</w:t>
            </w:r>
          </w:p>
        </w:tc>
      </w:tr>
      <w:tr w:rsidR="003D1C39" w:rsidRPr="00F7290F" w:rsidTr="000B6756">
        <w:trPr>
          <w:trHeight w:val="72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ТОВ “Инжинірінговая компанія “Герц”</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9-поверховий 2-блоксекційний житловий будинок з вбудованими приміщеннями, перехрестя б.Шевченко та вул.М.Ульянової по вул. Овнатаняна,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8925</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76</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45000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11000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11000</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57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АП “Шахта ім.О.Ф.Засядька”</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9-поверховий 54-квартирний житловий будинок №6 (І секція), МР "Домобудівельник",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3577</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2007</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вересень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17722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10522</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10522</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583"/>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lastRenderedPageBreak/>
              <w:t>7</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АП “Шахта ім.О.Ф.Засядька”</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9-поверховий 45-квартирний житловий будинок №6 (ІІ секція), МР "Домобудівельник",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3670</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2010</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15928</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11978</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11978</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17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ТОВ "Інтербіс"</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П'ять житлових будинків у готельно-розважальному комплексі, м.Донецьк </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244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36699</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2010</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вересень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117436</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23516</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23516</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896"/>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Донецьке регіональне управління фонду сприяння молодіжному житловому будівництву в Донецькій області</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Комплекс 4-х 9-поверхових житлових будинків: житловий будинок №4, Будьонівський район, вул.Багратіона,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72</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4023</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13200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13200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5300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5100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2800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72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10</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Управління  Державної пенітенціарної служби України в Донецькій області</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Житловий будинок №1 при ВК-124, вул.Любарського,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89</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4588</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2013</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75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3721</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39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Концерн "Група компаній "КАПИТЕЛЬ"</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Житловий будинок, вул.Лермонтова, </w:t>
            </w:r>
            <w:smartTag w:uri="urn:schemas-microsoft-com:office:smarttags" w:element="metricconverter">
              <w:smartTagPr>
                <w:attr w:name="ProductID" w:val="16, м"/>
              </w:smartTagPr>
              <w:r w:rsidRPr="00F7290F">
                <w:rPr>
                  <w:sz w:val="20"/>
                  <w:szCs w:val="20"/>
                  <w:lang w:val="uk-UA"/>
                </w:rPr>
                <w:t>16, м</w:t>
              </w:r>
            </w:smartTag>
            <w:r w:rsidRPr="00F7290F">
              <w:rPr>
                <w:sz w:val="20"/>
                <w:szCs w:val="20"/>
                <w:lang w:val="uk-UA"/>
              </w:rPr>
              <w:t>.Артемівськ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1488</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12433</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5668</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5668</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12</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Гольмівська селищна рада</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Житловий будинок, вул.Лікарняна, 16, смт Гольмівське, м.Горлівка</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2434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1994</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79</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6420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3000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1500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1500</w:t>
            </w: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13</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ПАТ “ШУ “Покровське”</w:t>
            </w:r>
          </w:p>
        </w:tc>
        <w:tc>
          <w:tcPr>
            <w:tcW w:w="3260" w:type="dxa"/>
            <w:tcBorders>
              <w:left w:val="single" w:sz="4" w:space="0" w:color="000000"/>
              <w:bottom w:val="single" w:sz="4" w:space="0" w:color="000000"/>
            </w:tcBorders>
            <w:shd w:val="clear" w:color="auto" w:fill="auto"/>
          </w:tcPr>
          <w:p w:rsidR="003D1C39" w:rsidRPr="003214D6" w:rsidRDefault="003D1C39" w:rsidP="00F7290F">
            <w:pPr>
              <w:keepNext/>
              <w:widowControl w:val="0"/>
              <w:rPr>
                <w:spacing w:val="-10"/>
                <w:sz w:val="20"/>
                <w:szCs w:val="20"/>
                <w:lang w:val="uk-UA"/>
              </w:rPr>
            </w:pPr>
            <w:r w:rsidRPr="003214D6">
              <w:rPr>
                <w:spacing w:val="-10"/>
                <w:sz w:val="20"/>
                <w:szCs w:val="20"/>
                <w:lang w:val="uk-UA"/>
              </w:rPr>
              <w:t>Багатоквартирний житловий буди</w:t>
            </w:r>
            <w:r w:rsidR="003214D6" w:rsidRPr="003214D6">
              <w:rPr>
                <w:spacing w:val="-10"/>
                <w:sz w:val="20"/>
                <w:szCs w:val="20"/>
                <w:lang w:val="uk-UA"/>
              </w:rPr>
              <w:softHyphen/>
            </w:r>
            <w:r w:rsidRPr="003214D6">
              <w:rPr>
                <w:spacing w:val="-10"/>
                <w:sz w:val="20"/>
                <w:szCs w:val="20"/>
                <w:lang w:val="uk-UA"/>
              </w:rPr>
              <w:t>нок з зовнішніми мережами №1, мікрорайон Лазурний, м.Красноармійськ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4061</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41</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45965</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26965</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26965</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619"/>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14</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ПАТ “ШУ “Покровське”</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Багатоквартирний житловий будинок №2, мікрорайон Лазурний, м.Красноармійськ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4061</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39000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31500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31500</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15</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КП "МіськУКБ", м.Маріуполь</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9-поверховий 144-квартирний житловий будинок №20, </w:t>
            </w:r>
          </w:p>
          <w:p w:rsidR="003D1C39" w:rsidRPr="00F7290F" w:rsidRDefault="003D1C39" w:rsidP="00F7290F">
            <w:pPr>
              <w:keepNext/>
              <w:widowControl w:val="0"/>
              <w:rPr>
                <w:sz w:val="20"/>
                <w:szCs w:val="20"/>
                <w:lang w:val="uk-UA"/>
              </w:rPr>
            </w:pPr>
            <w:r w:rsidRPr="00F7290F">
              <w:rPr>
                <w:sz w:val="20"/>
                <w:szCs w:val="20"/>
                <w:lang w:val="uk-UA"/>
              </w:rPr>
              <w:t>МР "Західний-2", м.Маріуполь</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144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8984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1993</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37734</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20052</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20052</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363"/>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16</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ЗАТ "БМФ "Азовстальбуд"</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Житловий будинок А1, вул.Я.Гугеля,11, м.Маріуполь</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4286</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23932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483"/>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ЗАТ "БМФ "Азовстальбуд"</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Житловий будинок А2, вул.Я.Гугеля,13, м.Маріуполь</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4286</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22012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406"/>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18</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ЗАТ "БМФ "Азовстальбуд"</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Житловий будинок А3, вул.Я.Гугеля,15, м.Маріуполь</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4286</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22012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ЗАТ "БМФ "Азовстальбуд"</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Житловий будинок А4, вул.Я.Гугеля,17, м.Маріуполь</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4286</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22012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r>
      <w:tr w:rsidR="003D1C39" w:rsidRPr="00F7290F" w:rsidTr="000B6756">
        <w:trPr>
          <w:trHeight w:val="579"/>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Концерн "Група компаній "КАПИТЕЛЬ"</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9-поверховий житловий будинок, МР "Сонячний", 9,  .Красногорівка, Мар’їнський район</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36</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1972</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1992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92</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1780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1780</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b/>
                <w:bCs/>
                <w:sz w:val="20"/>
                <w:szCs w:val="20"/>
                <w:lang w:val="uk-UA"/>
              </w:rPr>
            </w:pPr>
          </w:p>
        </w:tc>
      </w:tr>
      <w:tr w:rsidR="003D1C39" w:rsidRPr="00F7290F" w:rsidTr="000B6756">
        <w:trPr>
          <w:trHeight w:val="10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i/>
                <w:iCs/>
                <w:sz w:val="20"/>
                <w:szCs w:val="20"/>
                <w:lang w:val="uk-UA"/>
              </w:rPr>
            </w:pPr>
            <w:r w:rsidRPr="00F7290F">
              <w:rPr>
                <w:b/>
                <w:bCs/>
                <w:sz w:val="20"/>
                <w:szCs w:val="20"/>
                <w:lang w:val="uk-UA"/>
              </w:rPr>
              <w:t> </w:t>
            </w:r>
          </w:p>
        </w:tc>
        <w:tc>
          <w:tcPr>
            <w:tcW w:w="5671" w:type="dxa"/>
            <w:gridSpan w:val="2"/>
            <w:tcBorders>
              <w:top w:val="single" w:sz="4" w:space="0" w:color="000000"/>
              <w:left w:val="single" w:sz="4" w:space="0" w:color="000000"/>
              <w:bottom w:val="single" w:sz="4" w:space="0" w:color="000000"/>
            </w:tcBorders>
            <w:shd w:val="clear" w:color="auto" w:fill="auto"/>
          </w:tcPr>
          <w:p w:rsidR="003D1C39" w:rsidRPr="00F7290F" w:rsidRDefault="003D1C39" w:rsidP="00F7290F">
            <w:pPr>
              <w:keepNext/>
              <w:widowControl w:val="0"/>
              <w:rPr>
                <w:b/>
                <w:bCs/>
                <w:sz w:val="20"/>
                <w:szCs w:val="20"/>
                <w:lang w:val="uk-UA"/>
              </w:rPr>
            </w:pPr>
            <w:r w:rsidRPr="00F7290F">
              <w:rPr>
                <w:b/>
                <w:bCs/>
                <w:i/>
                <w:iCs/>
                <w:sz w:val="20"/>
                <w:szCs w:val="20"/>
                <w:lang w:val="uk-UA"/>
              </w:rPr>
              <w:t>Індивідуальне житлове будівництво – всього</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159884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lang w:val="uk-UA"/>
              </w:rPr>
            </w:pPr>
            <w:r w:rsidRPr="00F7290F">
              <w:rPr>
                <w:b/>
                <w:bCs/>
                <w:sz w:val="20"/>
                <w:szCs w:val="20"/>
                <w:lang w:val="uk-UA"/>
              </w:rPr>
              <w:t>х</w:t>
            </w:r>
          </w:p>
        </w:tc>
      </w:tr>
    </w:tbl>
    <w:p w:rsidR="002812B0" w:rsidRPr="00F7290F" w:rsidRDefault="002812B0" w:rsidP="00D65D2E">
      <w:pPr>
        <w:keepNext/>
        <w:widowControl w:val="0"/>
        <w:tabs>
          <w:tab w:val="left" w:pos="959"/>
        </w:tabs>
        <w:spacing w:after="120"/>
        <w:ind w:left="108"/>
        <w:jc w:val="center"/>
        <w:rPr>
          <w:b/>
          <w:color w:val="FF0000"/>
          <w:lang w:val="uk-UA"/>
        </w:rPr>
        <w:sectPr w:rsidR="002812B0" w:rsidRPr="00F7290F" w:rsidSect="00C64762">
          <w:headerReference w:type="default" r:id="rId126"/>
          <w:pgSz w:w="16838" w:h="11906" w:orient="landscape"/>
          <w:pgMar w:top="1134" w:right="1134" w:bottom="1134" w:left="1134" w:header="709" w:footer="709" w:gutter="0"/>
          <w:cols w:space="708"/>
          <w:docGrid w:linePitch="360"/>
        </w:sectPr>
      </w:pPr>
    </w:p>
    <w:p w:rsidR="00A6311C" w:rsidRPr="00F7290F" w:rsidRDefault="00A6311C" w:rsidP="00A6311C">
      <w:pPr>
        <w:keepNext/>
        <w:widowControl w:val="0"/>
        <w:tabs>
          <w:tab w:val="left" w:pos="959"/>
        </w:tabs>
        <w:spacing w:after="120"/>
        <w:ind w:left="108"/>
        <w:jc w:val="center"/>
        <w:rPr>
          <w:b/>
          <w:lang w:val="uk-UA"/>
        </w:rPr>
      </w:pPr>
      <w:r w:rsidRPr="00F7290F">
        <w:rPr>
          <w:b/>
          <w:lang w:val="uk-UA"/>
        </w:rPr>
        <w:lastRenderedPageBreak/>
        <w:t>5.7. Житлово-комунальне господарство</w:t>
      </w:r>
    </w:p>
    <w:p w:rsidR="00A6311C" w:rsidRPr="00F7290F" w:rsidRDefault="00A6311C" w:rsidP="00A6311C">
      <w:pPr>
        <w:pStyle w:val="211"/>
        <w:keepNext/>
        <w:widowControl w:val="0"/>
        <w:tabs>
          <w:tab w:val="left" w:pos="709"/>
        </w:tabs>
        <w:suppressAutoHyphens w:val="0"/>
        <w:autoSpaceDE w:val="0"/>
        <w:spacing w:after="0"/>
        <w:ind w:firstLine="709"/>
        <w:rPr>
          <w:b/>
        </w:rPr>
      </w:pPr>
      <w:r w:rsidRPr="00F7290F">
        <w:rPr>
          <w:b/>
        </w:rPr>
        <w:t>Актуальні проблеми:</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неповне відшкодування тарифами собівартості житлово-комунальних послуг;</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відсутність повних і своєчасних розрахунків споживачів за надані житлово-комунальні послуги;</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зношеність основних фондів, повільне впровадження заходів щодо модернізації житлового фонду, технічного переоснащення підприємств житлово-комунального господарства;</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відсутність кваліфікованих фахівців;</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галузь залишається непривабливою для інвесторів</w:t>
      </w:r>
    </w:p>
    <w:p w:rsidR="00A6311C" w:rsidRPr="00F7290F" w:rsidRDefault="00A6311C" w:rsidP="00A6311C">
      <w:pPr>
        <w:pStyle w:val="211"/>
        <w:keepNext/>
        <w:widowControl w:val="0"/>
        <w:tabs>
          <w:tab w:val="left" w:pos="709"/>
        </w:tabs>
        <w:suppressAutoHyphens w:val="0"/>
        <w:autoSpaceDE w:val="0"/>
        <w:spacing w:before="120" w:after="0"/>
        <w:ind w:firstLine="709"/>
        <w:rPr>
          <w:b/>
          <w:i/>
        </w:rPr>
      </w:pPr>
      <w:r w:rsidRPr="00F7290F">
        <w:rPr>
          <w:b/>
        </w:rPr>
        <w:t xml:space="preserve">Головна мета </w:t>
      </w:r>
      <w:r w:rsidRPr="00F7290F">
        <w:t>- забезпечення населення житлово-комунальними послугами належних рівня та якості, продовження реформування і розвитку житлово-комунального господарства.</w:t>
      </w:r>
    </w:p>
    <w:p w:rsidR="00A6311C" w:rsidRPr="00F7290F" w:rsidRDefault="00A6311C" w:rsidP="00A6311C">
      <w:pPr>
        <w:pStyle w:val="211"/>
        <w:keepNext/>
        <w:widowControl w:val="0"/>
        <w:tabs>
          <w:tab w:val="left" w:pos="709"/>
        </w:tabs>
        <w:suppressAutoHyphens w:val="0"/>
        <w:autoSpaceDE w:val="0"/>
        <w:spacing w:before="120" w:after="0"/>
        <w:ind w:firstLine="709"/>
        <w:rPr>
          <w:b/>
        </w:rPr>
      </w:pPr>
      <w:r w:rsidRPr="00F7290F">
        <w:rPr>
          <w:b/>
        </w:rPr>
        <w:t>Ризики:</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підвищення цін на енергоносії;</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зростання впливу інфляційних процесів на доходи споживачів;</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зменшення обсягів бюджетної підтримки галузі</w:t>
      </w:r>
    </w:p>
    <w:p w:rsidR="00A6311C" w:rsidRPr="00F7290F" w:rsidRDefault="00A6311C" w:rsidP="00A6311C">
      <w:pPr>
        <w:pStyle w:val="211"/>
        <w:keepNext/>
        <w:widowControl w:val="0"/>
        <w:tabs>
          <w:tab w:val="left" w:pos="709"/>
        </w:tabs>
        <w:suppressAutoHyphens w:val="0"/>
        <w:autoSpaceDE w:val="0"/>
        <w:spacing w:before="120" w:after="0"/>
        <w:ind w:firstLine="709"/>
        <w:rPr>
          <w:b/>
        </w:rPr>
      </w:pPr>
      <w:r w:rsidRPr="00F7290F">
        <w:rPr>
          <w:b/>
        </w:rPr>
        <w:t>Основні завдання:</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комплексна модернізація та реконструкція каналу Сіверський Донець-Донбас;</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проведення модернізації житлового фонду, капітальний ремонт ліфтів в житлових будинках, диспетчерських систем ліфтового господарства;</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забезпечення реалізації заходів регіональної програми модернізації комунальної теплоенергетики Донецької області на 2010-2014 роки шляхом впровадження енергоефек</w:t>
      </w:r>
      <w:r w:rsidR="00E02EB4">
        <w:rPr>
          <w:bCs/>
          <w:lang w:val="uk-UA"/>
        </w:rPr>
        <w:t>тивних технологій та обладнання;</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 xml:space="preserve">реконструкція котелень з впровадженням 70 високоефективних котлів з ККД понад 91%, заміна 80 мережних насосів котелень на енергозберігаючі менш потужні, влаштування систем диспетчеризації 73 котелень та резервних джерел електропостачання на котельнях, реконструкція </w:t>
      </w:r>
      <w:smartTag w:uri="urn:schemas-microsoft-com:office:smarttags" w:element="metricconverter">
        <w:smartTagPr>
          <w:attr w:name="ProductID" w:val="80 км"/>
        </w:smartTagPr>
        <w:r w:rsidRPr="00F7290F">
          <w:rPr>
            <w:bCs/>
            <w:lang w:val="uk-UA"/>
          </w:rPr>
          <w:t>80 км</w:t>
        </w:r>
      </w:smartTag>
      <w:r w:rsidRPr="00F7290F">
        <w:rPr>
          <w:bCs/>
          <w:lang w:val="uk-UA"/>
        </w:rPr>
        <w:t xml:space="preserve"> теплових мереж із застосуванням труб в пінополіуретановій ізоляції;</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забезпечення населення якісною питною водою в рамках реалізації заходів регіональної програми «Питна вода України» на 2008-2020 роки;</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збільшення кількості об’єднань співвласників багатоквартирних будинків до 29% у загальній кількості будинків з 5 або більше поверхами;</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сприяння роботі Регіональної ради з питань створення та забезпечення функціонування об’єднань співвласників багатоквартирних будинків</w:t>
      </w:r>
      <w:r w:rsidR="00D12693">
        <w:rPr>
          <w:bCs/>
          <w:lang w:val="uk-UA"/>
        </w:rPr>
        <w:t>;</w:t>
      </w:r>
    </w:p>
    <w:p w:rsidR="00A6311C" w:rsidRPr="005B6977" w:rsidRDefault="00A6311C" w:rsidP="00E02EB4">
      <w:pPr>
        <w:keepNext/>
        <w:widowControl w:val="0"/>
        <w:numPr>
          <w:ilvl w:val="0"/>
          <w:numId w:val="9"/>
        </w:numPr>
        <w:tabs>
          <w:tab w:val="num" w:pos="0"/>
          <w:tab w:val="num" w:pos="720"/>
          <w:tab w:val="num" w:pos="900"/>
          <w:tab w:val="num" w:pos="1260"/>
        </w:tabs>
        <w:spacing w:after="60"/>
        <w:ind w:left="0" w:firstLine="720"/>
        <w:jc w:val="both"/>
        <w:rPr>
          <w:bCs/>
          <w:spacing w:val="-6"/>
          <w:lang w:val="uk-UA"/>
        </w:rPr>
      </w:pPr>
      <w:r w:rsidRPr="005B6977">
        <w:rPr>
          <w:bCs/>
          <w:spacing w:val="-6"/>
          <w:lang w:val="uk-UA"/>
        </w:rPr>
        <w:t xml:space="preserve">прийняття до комунальної власності територіальних громад міст і районів  45 тис.кв.м відомчого житлового фонду, </w:t>
      </w:r>
      <w:smartTag w:uri="urn:schemas-microsoft-com:office:smarttags" w:element="metricconverter">
        <w:smartTagPr>
          <w:attr w:name="ProductID" w:val="46,1 км"/>
        </w:smartTagPr>
        <w:r w:rsidRPr="005B6977">
          <w:rPr>
            <w:bCs/>
            <w:spacing w:val="-6"/>
            <w:lang w:val="uk-UA"/>
          </w:rPr>
          <w:t>46,1 км</w:t>
        </w:r>
      </w:smartTag>
      <w:r w:rsidRPr="005B6977">
        <w:rPr>
          <w:bCs/>
          <w:spacing w:val="-6"/>
          <w:lang w:val="uk-UA"/>
        </w:rPr>
        <w:t xml:space="preserve"> теплових та водопровідно-каналізаційних мереж;</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забезпечення сталого функціонування і подальший розвиток міського електротранспорту;</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забезпечення реалізації заходів програми поводження з відходами в Донецькій області на 2011-2015 роки щодо створення ефективної системи збирання, утилізації та знешкодження побутових відходів;</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залучення приватних інвестицій на технічне переоснащення та модернізацію житлово-комунального господарства, впровадження ефективно діючої системи поводження з відходами.</w:t>
      </w:r>
    </w:p>
    <w:p w:rsidR="00A6311C" w:rsidRPr="00F7290F" w:rsidRDefault="00A6311C" w:rsidP="00A6311C">
      <w:pPr>
        <w:pStyle w:val="211"/>
        <w:keepNext/>
        <w:widowControl w:val="0"/>
        <w:tabs>
          <w:tab w:val="left" w:pos="709"/>
        </w:tabs>
        <w:suppressAutoHyphens w:val="0"/>
        <w:autoSpaceDE w:val="0"/>
        <w:spacing w:before="120" w:after="0"/>
        <w:ind w:firstLine="709"/>
        <w:rPr>
          <w:b/>
        </w:rPr>
      </w:pPr>
      <w:r w:rsidRPr="00F7290F">
        <w:rPr>
          <w:b/>
        </w:rPr>
        <w:t>Критерії досягнення:</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забезпечення 100% оплати житлово-комунальних послуг споживачами;</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скорочення питомих показників використання енергетичних і матеріальних ресурсів на виробництво і надання житлово-комунальних послуг;</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зменшення негативного впливу відходів на довкілля.</w:t>
      </w:r>
    </w:p>
    <w:p w:rsidR="00CF4017" w:rsidRPr="00F7290F" w:rsidRDefault="00CF4017" w:rsidP="00D65D2E">
      <w:pPr>
        <w:keepNext/>
        <w:widowControl w:val="0"/>
        <w:rPr>
          <w:b/>
          <w:lang w:val="uk-UA"/>
        </w:rPr>
      </w:pPr>
      <w:r w:rsidRPr="00F7290F">
        <w:rPr>
          <w:b/>
          <w:color w:val="FF0000"/>
          <w:lang w:val="uk-UA"/>
        </w:rPr>
        <w:lastRenderedPageBreak/>
        <w:t xml:space="preserve">                   </w:t>
      </w:r>
      <w:r w:rsidRPr="00F7290F">
        <w:rPr>
          <w:b/>
          <w:lang w:val="uk-UA"/>
        </w:rPr>
        <w:t>Заборгованість населення області за житлово-комунальні</w:t>
      </w:r>
    </w:p>
    <w:p w:rsidR="00CF4017" w:rsidRPr="00F7290F" w:rsidRDefault="00CF4017" w:rsidP="00D65D2E">
      <w:pPr>
        <w:keepNext/>
        <w:widowControl w:val="0"/>
        <w:rPr>
          <w:b/>
          <w:lang w:val="uk-UA"/>
        </w:rPr>
      </w:pPr>
      <w:r w:rsidRPr="00F7290F">
        <w:rPr>
          <w:b/>
          <w:lang w:val="uk-UA"/>
        </w:rPr>
        <w:t xml:space="preserve">                                       послуги та рівень сплати цих послуг</w:t>
      </w:r>
    </w:p>
    <w:p w:rsidR="00CF4017" w:rsidRPr="00F7290F" w:rsidRDefault="00CF4017" w:rsidP="00D65D2E">
      <w:pPr>
        <w:keepNext/>
        <w:widowControl w:val="0"/>
        <w:rPr>
          <w:b/>
          <w:color w:val="FF0000"/>
          <w:lang w:val="uk-UA"/>
        </w:rPr>
      </w:pPr>
      <w:r w:rsidRPr="00F7290F">
        <w:rPr>
          <w:b/>
          <w:noProof/>
          <w:color w:val="FF0000"/>
        </w:rPr>
        <w:drawing>
          <wp:inline distT="0" distB="0" distL="0" distR="0">
            <wp:extent cx="6048375" cy="1419225"/>
            <wp:effectExtent l="0" t="0" r="0" b="0"/>
            <wp:docPr id="2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6311C" w:rsidRPr="00F7290F" w:rsidRDefault="00A6311C" w:rsidP="00944094">
      <w:pPr>
        <w:pStyle w:val="211"/>
        <w:keepNext/>
        <w:widowControl w:val="0"/>
        <w:tabs>
          <w:tab w:val="left" w:pos="709"/>
        </w:tabs>
        <w:suppressAutoHyphens w:val="0"/>
        <w:autoSpaceDE w:val="0"/>
        <w:spacing w:after="0"/>
        <w:ind w:firstLine="709"/>
        <w:rPr>
          <w:b/>
        </w:rPr>
      </w:pPr>
      <w:r w:rsidRPr="00F7290F">
        <w:rPr>
          <w:b/>
        </w:rPr>
        <w:t>Ресурсне забезпечення</w:t>
      </w:r>
    </w:p>
    <w:p w:rsidR="00A6311C" w:rsidRPr="00F7290F" w:rsidRDefault="00A6311C" w:rsidP="00944094">
      <w:pPr>
        <w:pStyle w:val="23"/>
        <w:keepNext/>
        <w:widowControl w:val="0"/>
        <w:tabs>
          <w:tab w:val="left" w:pos="709"/>
          <w:tab w:val="left" w:pos="1425"/>
        </w:tabs>
        <w:autoSpaceDE w:val="0"/>
        <w:autoSpaceDN w:val="0"/>
        <w:ind w:firstLine="709"/>
      </w:pPr>
      <w:r w:rsidRPr="00F7290F">
        <w:rPr>
          <w:bCs/>
        </w:rPr>
        <w:t xml:space="preserve">Передбачається реалізація заходів </w:t>
      </w:r>
      <w:r w:rsidRPr="00F7290F">
        <w:t>Програми реформування і розвитку житлово-комунального господарства Донецької області на 2010-2014 роки.</w:t>
      </w:r>
    </w:p>
    <w:p w:rsidR="00CF4017" w:rsidRPr="00F7290F" w:rsidRDefault="00CF4017" w:rsidP="00944094">
      <w:pPr>
        <w:keepNext/>
        <w:widowControl w:val="0"/>
        <w:spacing w:after="120"/>
        <w:ind w:firstLine="709"/>
        <w:jc w:val="both"/>
        <w:rPr>
          <w:bCs/>
          <w:lang w:val="uk-UA"/>
        </w:rPr>
      </w:pPr>
      <w:r w:rsidRPr="00F7290F">
        <w:rPr>
          <w:bCs/>
          <w:lang w:val="uk-UA"/>
        </w:rPr>
        <w:t xml:space="preserve">На фінансування основних заходів буде спрямовано </w:t>
      </w:r>
      <w:r w:rsidR="00D513AE" w:rsidRPr="00F7290F">
        <w:rPr>
          <w:bCs/>
          <w:lang w:val="uk-UA"/>
        </w:rPr>
        <w:t>1140,1</w:t>
      </w:r>
      <w:r w:rsidRPr="00F7290F">
        <w:rPr>
          <w:bCs/>
          <w:lang w:val="uk-UA"/>
        </w:rPr>
        <w:t xml:space="preserve"> </w:t>
      </w:r>
      <w:r w:rsidR="00B365D3" w:rsidRPr="00F7290F">
        <w:rPr>
          <w:bCs/>
          <w:lang w:val="uk-UA"/>
        </w:rPr>
        <w:t>млн.грн.</w:t>
      </w:r>
      <w:r w:rsidRPr="00F7290F">
        <w:rPr>
          <w:bCs/>
          <w:lang w:val="uk-UA"/>
        </w:rPr>
        <w:t xml:space="preserve">, з них кошти державного і місцевих бюджетів – </w:t>
      </w:r>
      <w:r w:rsidR="00D513AE" w:rsidRPr="00F7290F">
        <w:rPr>
          <w:lang w:val="uk-UA"/>
        </w:rPr>
        <w:t>942,3</w:t>
      </w:r>
      <w:r w:rsidRPr="00F7290F">
        <w:rPr>
          <w:bCs/>
          <w:lang w:val="uk-UA"/>
        </w:rPr>
        <w:t xml:space="preserve"> </w:t>
      </w:r>
      <w:r w:rsidR="00B365D3" w:rsidRPr="00F7290F">
        <w:rPr>
          <w:bCs/>
          <w:lang w:val="uk-UA"/>
        </w:rPr>
        <w:t>млн.грн.</w:t>
      </w:r>
      <w:r w:rsidRPr="00F7290F">
        <w:rPr>
          <w:bCs/>
          <w:lang w:val="uk-UA"/>
        </w:rPr>
        <w:t xml:space="preserve">, інші джерела – 147,3 </w:t>
      </w:r>
      <w:r w:rsidR="00B365D3" w:rsidRPr="00F7290F">
        <w:rPr>
          <w:bCs/>
          <w:lang w:val="uk-UA"/>
        </w:rPr>
        <w:t>млн.грн.</w:t>
      </w:r>
    </w:p>
    <w:p w:rsidR="00E548AB" w:rsidRPr="00F7290F" w:rsidRDefault="00E548AB" w:rsidP="00944094">
      <w:pPr>
        <w:keepNext/>
        <w:widowControl w:val="0"/>
        <w:tabs>
          <w:tab w:val="left" w:pos="652"/>
          <w:tab w:val="left" w:pos="8188"/>
        </w:tabs>
        <w:spacing w:after="120"/>
        <w:jc w:val="center"/>
        <w:rPr>
          <w:color w:val="000000" w:themeColor="text1"/>
          <w:lang w:val="uk-UA"/>
        </w:rPr>
      </w:pPr>
      <w:r w:rsidRPr="00F7290F">
        <w:rPr>
          <w:b/>
          <w:color w:val="000000" w:themeColor="text1"/>
          <w:lang w:val="uk-UA"/>
        </w:rPr>
        <w:t xml:space="preserve">5.8. Використання </w:t>
      </w:r>
      <w:hyperlink w:anchor="_Toc130175757" w:history="1">
        <w:r w:rsidRPr="00F7290F">
          <w:rPr>
            <w:b/>
            <w:color w:val="000000" w:themeColor="text1"/>
            <w:lang w:val="uk-UA"/>
          </w:rPr>
          <w:t>мінерально-сировинних ресурсів</w:t>
        </w:r>
      </w:hyperlink>
    </w:p>
    <w:p w:rsidR="00E548AB" w:rsidRPr="00F7290F" w:rsidRDefault="00E548AB" w:rsidP="00944094">
      <w:pPr>
        <w:keepNext/>
        <w:widowControl w:val="0"/>
        <w:tabs>
          <w:tab w:val="left" w:pos="652"/>
          <w:tab w:val="left" w:pos="8188"/>
        </w:tabs>
        <w:spacing w:before="120" w:after="120"/>
        <w:ind w:firstLine="652"/>
        <w:jc w:val="both"/>
        <w:rPr>
          <w:color w:val="000000" w:themeColor="text1"/>
          <w:lang w:val="uk-UA"/>
        </w:rPr>
      </w:pPr>
      <w:r w:rsidRPr="00F7290F">
        <w:rPr>
          <w:color w:val="000000" w:themeColor="text1"/>
          <w:lang w:val="uk-UA"/>
        </w:rPr>
        <w:t xml:space="preserve">Мінерально-сировинна база області є однією з найбільш багатогалузевих та розвинутих за обсягами видобутку корисних копалин в Україні. В її структурі 46% складає паливно-енергетична сировина (вугілля кам’яне, метан вугільних родовищ, газ вільний), 26% </w:t>
      </w:r>
      <w:r w:rsidRPr="00F7290F">
        <w:rPr>
          <w:color w:val="000000" w:themeColor="text1"/>
          <w:spacing w:val="-4"/>
          <w:lang w:val="uk-UA"/>
        </w:rPr>
        <w:t>–</w:t>
      </w:r>
      <w:r w:rsidRPr="00F7290F">
        <w:rPr>
          <w:color w:val="000000" w:themeColor="text1"/>
          <w:lang w:val="uk-UA"/>
        </w:rPr>
        <w:t xml:space="preserve">  будівельні матеріали, 17% </w:t>
      </w:r>
      <w:r w:rsidRPr="00F7290F">
        <w:rPr>
          <w:color w:val="000000" w:themeColor="text1"/>
          <w:spacing w:val="-4"/>
          <w:lang w:val="uk-UA"/>
        </w:rPr>
        <w:t>–</w:t>
      </w:r>
      <w:r w:rsidRPr="00F7290F">
        <w:rPr>
          <w:color w:val="000000" w:themeColor="text1"/>
          <w:lang w:val="uk-UA"/>
        </w:rPr>
        <w:t xml:space="preserve"> підземні питні води, 5% </w:t>
      </w:r>
      <w:r w:rsidRPr="00F7290F">
        <w:rPr>
          <w:color w:val="000000" w:themeColor="text1"/>
          <w:spacing w:val="-4"/>
          <w:lang w:val="uk-UA"/>
        </w:rPr>
        <w:t>–</w:t>
      </w:r>
      <w:r w:rsidRPr="00F7290F">
        <w:rPr>
          <w:color w:val="000000" w:themeColor="text1"/>
          <w:lang w:val="uk-UA"/>
        </w:rPr>
        <w:t xml:space="preserve"> нерудна сировина для металургії, 6% </w:t>
      </w:r>
      <w:r w:rsidR="00E202F8" w:rsidRPr="00F7290F">
        <w:rPr>
          <w:color w:val="000000" w:themeColor="text1"/>
          <w:spacing w:val="-4"/>
          <w:lang w:val="uk-UA"/>
        </w:rPr>
        <w:t>і</w:t>
      </w:r>
      <w:r w:rsidR="00E202F8" w:rsidRPr="00F7290F">
        <w:rPr>
          <w:color w:val="000000" w:themeColor="text1"/>
          <w:lang w:val="uk-UA"/>
        </w:rPr>
        <w:t>нші</w:t>
      </w:r>
      <w:r w:rsidRPr="00F7290F">
        <w:rPr>
          <w:color w:val="000000" w:themeColor="text1"/>
          <w:lang w:val="uk-UA"/>
        </w:rPr>
        <w:t xml:space="preserve"> корисні копалини (гірничо-хімічна, гірничорудна сировина, рідкоземельні метали). </w:t>
      </w:r>
    </w:p>
    <w:p w:rsidR="00E548AB" w:rsidRPr="00F7290F" w:rsidRDefault="003A6B23" w:rsidP="00944094">
      <w:pPr>
        <w:keepNext/>
        <w:widowControl w:val="0"/>
        <w:tabs>
          <w:tab w:val="left" w:pos="652"/>
          <w:tab w:val="left" w:pos="8188"/>
        </w:tabs>
        <w:autoSpaceDE w:val="0"/>
        <w:ind w:firstLine="709"/>
        <w:jc w:val="both"/>
        <w:rPr>
          <w:b/>
          <w:color w:val="000000" w:themeColor="text1"/>
          <w:lang w:val="uk-UA"/>
        </w:rPr>
      </w:pPr>
      <w:r w:rsidRPr="00F7290F">
        <w:rPr>
          <w:b/>
          <w:color w:val="000000" w:themeColor="text1"/>
          <w:lang w:val="uk-UA"/>
        </w:rPr>
        <w:t>Актуальні</w:t>
      </w:r>
      <w:r w:rsidR="00E548AB" w:rsidRPr="00F7290F">
        <w:rPr>
          <w:b/>
          <w:color w:val="000000" w:themeColor="text1"/>
          <w:lang w:val="uk-UA"/>
        </w:rPr>
        <w:t xml:space="preserve"> проблеми:</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 xml:space="preserve">незбалансованість мінерально-сировинної бази за структурою і обсягами видобутку корисних копалин, яка не дозволяє повною мірою забезпечити потреби промислово-господарського комплексу області в природній сировині за рахунок власних надрових запасів; </w:t>
      </w:r>
    </w:p>
    <w:p w:rsidR="00E548AB" w:rsidRPr="00F7290F" w:rsidRDefault="00E548AB" w:rsidP="00944094">
      <w:pPr>
        <w:keepNext/>
        <w:widowControl w:val="0"/>
        <w:numPr>
          <w:ilvl w:val="0"/>
          <w:numId w:val="9"/>
        </w:numPr>
        <w:tabs>
          <w:tab w:val="num" w:pos="0"/>
          <w:tab w:val="num" w:pos="720"/>
          <w:tab w:val="num" w:pos="900"/>
          <w:tab w:val="num" w:pos="1080"/>
          <w:tab w:val="num" w:pos="1260"/>
        </w:tabs>
        <w:spacing w:after="120"/>
        <w:ind w:left="0" w:firstLine="720"/>
        <w:jc w:val="both"/>
        <w:rPr>
          <w:color w:val="000000" w:themeColor="text1"/>
          <w:lang w:val="uk-UA"/>
        </w:rPr>
      </w:pPr>
      <w:r w:rsidRPr="00F7290F">
        <w:rPr>
          <w:bCs/>
          <w:color w:val="000000" w:themeColor="text1"/>
          <w:lang w:val="uk-UA"/>
        </w:rPr>
        <w:t>несистемна експлуатація</w:t>
      </w:r>
      <w:r w:rsidRPr="00F7290F">
        <w:rPr>
          <w:color w:val="000000" w:themeColor="text1"/>
          <w:lang w:val="uk-UA"/>
        </w:rPr>
        <w:t xml:space="preserve"> родовищ корисних копалин негативно впливає на стан навколишнього середовища: утворення значних породних відвалів, виведення з обороту землі, забруднення атмосфери, підземних і поверхневих вод.</w:t>
      </w:r>
    </w:p>
    <w:p w:rsidR="00E548AB" w:rsidRPr="00F7290F" w:rsidRDefault="00E548AB" w:rsidP="00944094">
      <w:pPr>
        <w:keepNext/>
        <w:widowControl w:val="0"/>
        <w:tabs>
          <w:tab w:val="left" w:pos="652"/>
          <w:tab w:val="left" w:pos="8188"/>
        </w:tabs>
        <w:autoSpaceDE w:val="0"/>
        <w:spacing w:after="120"/>
        <w:ind w:firstLine="709"/>
        <w:jc w:val="both"/>
        <w:rPr>
          <w:color w:val="000000" w:themeColor="text1"/>
          <w:lang w:val="uk-UA"/>
        </w:rPr>
      </w:pPr>
      <w:r w:rsidRPr="00F7290F">
        <w:rPr>
          <w:b/>
          <w:color w:val="000000" w:themeColor="text1"/>
          <w:lang w:val="uk-UA"/>
        </w:rPr>
        <w:t>Головна  мета</w:t>
      </w:r>
      <w:r w:rsidR="00CD7C3D" w:rsidRPr="00F7290F">
        <w:rPr>
          <w:b/>
          <w:color w:val="000000" w:themeColor="text1"/>
          <w:lang w:val="uk-UA"/>
        </w:rPr>
        <w:t xml:space="preserve"> </w:t>
      </w:r>
      <w:r w:rsidR="00CD7C3D" w:rsidRPr="00F7290F">
        <w:rPr>
          <w:color w:val="000000" w:themeColor="text1"/>
          <w:lang w:val="uk-UA"/>
        </w:rPr>
        <w:t>- з</w:t>
      </w:r>
      <w:r w:rsidRPr="00F7290F">
        <w:rPr>
          <w:color w:val="000000" w:themeColor="text1"/>
          <w:lang w:val="uk-UA"/>
        </w:rPr>
        <w:t xml:space="preserve">адоволення потреб економіки області та держави у власній мінеральній сировині.     </w:t>
      </w:r>
    </w:p>
    <w:p w:rsidR="00E548AB" w:rsidRPr="00F7290F" w:rsidRDefault="00E548AB" w:rsidP="00944094">
      <w:pPr>
        <w:pStyle w:val="23"/>
        <w:keepNext/>
        <w:widowControl w:val="0"/>
        <w:tabs>
          <w:tab w:val="left" w:pos="709"/>
        </w:tabs>
        <w:autoSpaceDE w:val="0"/>
        <w:spacing w:after="0"/>
        <w:ind w:firstLine="709"/>
        <w:rPr>
          <w:b/>
          <w:color w:val="000000" w:themeColor="text1"/>
        </w:rPr>
      </w:pPr>
      <w:r w:rsidRPr="00F7290F">
        <w:rPr>
          <w:b/>
          <w:bCs/>
          <w:color w:val="000000" w:themeColor="text1"/>
        </w:rPr>
        <w:t>Основні завдання:</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проведення геологорозвідувальних робіт на нафту, природний газ та нетрадиційні газові ресурси з метою зменшення залежності від імпорту енергоносіїв;</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геологічне вивчення родовищ неенергетичних корисних копалин;</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забезпечення стабільного видобутку мінеральної сировини належної якості для потреб гірничо-металургійного комплексу, хімічної, будівельної та інших галузей;</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 xml:space="preserve">проведення пошуку та промислової розробки родовищ підземних питних вод  для забезпечення населення області питною водою; </w:t>
      </w:r>
    </w:p>
    <w:p w:rsidR="00E548AB" w:rsidRPr="00F7290F" w:rsidRDefault="00E548AB" w:rsidP="00D65D2E">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впровадження новітніх технологій з переробки мінеральної сировини та виробництва будівельних матеріалів;</w:t>
      </w:r>
    </w:p>
    <w:p w:rsidR="00E548AB" w:rsidRPr="00F7290F" w:rsidRDefault="00E548AB" w:rsidP="00D65D2E">
      <w:pPr>
        <w:keepNext/>
        <w:widowControl w:val="0"/>
        <w:numPr>
          <w:ilvl w:val="0"/>
          <w:numId w:val="9"/>
        </w:numPr>
        <w:tabs>
          <w:tab w:val="num" w:pos="0"/>
          <w:tab w:val="num" w:pos="720"/>
          <w:tab w:val="num" w:pos="900"/>
          <w:tab w:val="num" w:pos="1080"/>
          <w:tab w:val="num" w:pos="1260"/>
        </w:tabs>
        <w:spacing w:after="120"/>
        <w:ind w:left="0" w:firstLine="720"/>
        <w:jc w:val="both"/>
        <w:rPr>
          <w:color w:val="000000" w:themeColor="text1"/>
          <w:lang w:val="uk-UA"/>
        </w:rPr>
      </w:pPr>
      <w:r w:rsidRPr="00F7290F">
        <w:rPr>
          <w:bCs/>
          <w:color w:val="000000" w:themeColor="text1"/>
          <w:lang w:val="uk-UA"/>
        </w:rPr>
        <w:t>забезпечення раціонального</w:t>
      </w:r>
      <w:r w:rsidRPr="00F7290F">
        <w:rPr>
          <w:bCs/>
          <w:snapToGrid w:val="0"/>
          <w:color w:val="000000" w:themeColor="text1"/>
          <w:lang w:val="uk-UA"/>
        </w:rPr>
        <w:t xml:space="preserve"> і комплексного</w:t>
      </w:r>
      <w:r w:rsidRPr="00F7290F">
        <w:rPr>
          <w:color w:val="000000" w:themeColor="text1"/>
          <w:lang w:val="uk-UA"/>
        </w:rPr>
        <w:t xml:space="preserve"> використання та охорони надр.</w:t>
      </w:r>
    </w:p>
    <w:p w:rsidR="00E548AB" w:rsidRPr="00F7290F" w:rsidRDefault="00E548AB" w:rsidP="00D65D2E">
      <w:pPr>
        <w:keepNext/>
        <w:widowControl w:val="0"/>
        <w:tabs>
          <w:tab w:val="left" w:pos="399"/>
          <w:tab w:val="left" w:pos="851"/>
          <w:tab w:val="left" w:pos="9639"/>
        </w:tabs>
        <w:autoSpaceDE w:val="0"/>
        <w:ind w:firstLine="709"/>
        <w:jc w:val="both"/>
        <w:rPr>
          <w:color w:val="000000" w:themeColor="text1"/>
          <w:lang w:val="uk-UA"/>
        </w:rPr>
      </w:pPr>
      <w:r w:rsidRPr="00F7290F">
        <w:rPr>
          <w:b/>
          <w:bCs/>
          <w:noProof/>
          <w:color w:val="000000" w:themeColor="text1"/>
          <w:lang w:val="uk-UA"/>
        </w:rPr>
        <w:t>Критерії досягнення:</w:t>
      </w:r>
      <w:r w:rsidRPr="00F7290F">
        <w:rPr>
          <w:color w:val="000000" w:themeColor="text1"/>
          <w:lang w:val="uk-UA"/>
        </w:rPr>
        <w:t xml:space="preserve"> </w:t>
      </w:r>
    </w:p>
    <w:p w:rsidR="00E548AB" w:rsidRPr="00F7290F" w:rsidRDefault="00E548AB" w:rsidP="00D65D2E">
      <w:pPr>
        <w:keepNext/>
        <w:widowControl w:val="0"/>
        <w:numPr>
          <w:ilvl w:val="0"/>
          <w:numId w:val="9"/>
        </w:numPr>
        <w:tabs>
          <w:tab w:val="num" w:pos="0"/>
          <w:tab w:val="num" w:pos="720"/>
          <w:tab w:val="num" w:pos="900"/>
          <w:tab w:val="num" w:pos="1080"/>
          <w:tab w:val="num" w:pos="1260"/>
        </w:tabs>
        <w:spacing w:after="120"/>
        <w:ind w:left="0" w:firstLine="720"/>
        <w:jc w:val="both"/>
        <w:rPr>
          <w:color w:val="000000" w:themeColor="text1"/>
          <w:lang w:val="uk-UA"/>
        </w:rPr>
      </w:pPr>
      <w:r w:rsidRPr="00F7290F">
        <w:rPr>
          <w:color w:val="000000" w:themeColor="text1"/>
          <w:lang w:val="uk-UA"/>
        </w:rPr>
        <w:t>збільшення видобування неенергетичних корисних копалин на 3,0%.</w:t>
      </w:r>
    </w:p>
    <w:p w:rsidR="00E548AB" w:rsidRPr="003C0E55" w:rsidRDefault="00E548AB" w:rsidP="00D65D2E">
      <w:pPr>
        <w:keepNext/>
        <w:widowControl w:val="0"/>
        <w:spacing w:before="120"/>
        <w:ind w:firstLine="709"/>
        <w:jc w:val="both"/>
        <w:rPr>
          <w:b/>
          <w:snapToGrid w:val="0"/>
          <w:lang w:val="uk-UA"/>
        </w:rPr>
      </w:pPr>
      <w:r w:rsidRPr="003C0E55">
        <w:rPr>
          <w:b/>
          <w:snapToGrid w:val="0"/>
          <w:lang w:val="uk-UA"/>
        </w:rPr>
        <w:t>Ресурсне забезпечення</w:t>
      </w:r>
    </w:p>
    <w:p w:rsidR="00E548AB" w:rsidRPr="003C0E55" w:rsidRDefault="00E548AB" w:rsidP="00D65D2E">
      <w:pPr>
        <w:pStyle w:val="23"/>
        <w:keepNext/>
        <w:widowControl w:val="0"/>
      </w:pPr>
      <w:r w:rsidRPr="003C0E55">
        <w:t xml:space="preserve">На фінансування  заходів щодо використання мінерально-сировинних ресурсів передбачається спрямувати  </w:t>
      </w:r>
      <w:r w:rsidR="00280AAF" w:rsidRPr="003C0E55">
        <w:t>8</w:t>
      </w:r>
      <w:r w:rsidR="001555AD" w:rsidRPr="003C0E55">
        <w:t>3,6</w:t>
      </w:r>
      <w:r w:rsidR="00280AAF" w:rsidRPr="003C0E55">
        <w:t xml:space="preserve"> </w:t>
      </w:r>
      <w:r w:rsidRPr="003C0E55">
        <w:t xml:space="preserve">млн.грн., у тому числі:  </w:t>
      </w:r>
      <w:r w:rsidR="00280AAF" w:rsidRPr="003C0E55">
        <w:t xml:space="preserve">1,6 </w:t>
      </w:r>
      <w:r w:rsidRPr="003C0E55">
        <w:t xml:space="preserve">млн.грн. - з державного бюджету, </w:t>
      </w:r>
      <w:r w:rsidR="00280AAF" w:rsidRPr="003C0E55">
        <w:t xml:space="preserve">0,8 </w:t>
      </w:r>
      <w:r w:rsidRPr="003C0E55">
        <w:t xml:space="preserve">млн.грн. - з місцевих бюджетів,  </w:t>
      </w:r>
      <w:r w:rsidR="001555AD" w:rsidRPr="003C0E55">
        <w:t>79,7</w:t>
      </w:r>
      <w:r w:rsidRPr="003C0E55">
        <w:t xml:space="preserve"> млн.грн.</w:t>
      </w:r>
      <w:r w:rsidR="001555AD" w:rsidRPr="003C0E55">
        <w:t xml:space="preserve"> - власних коштів підприємств, </w:t>
      </w:r>
      <w:r w:rsidR="00280AAF" w:rsidRPr="003C0E55">
        <w:t xml:space="preserve">1,5 </w:t>
      </w:r>
      <w:r w:rsidRPr="003C0E55">
        <w:t xml:space="preserve">млн.грн. - з інших джерел. </w:t>
      </w:r>
    </w:p>
    <w:p w:rsidR="008E0378" w:rsidRPr="00F7290F" w:rsidRDefault="008E0378" w:rsidP="008E0378">
      <w:pPr>
        <w:keepNext/>
        <w:widowControl w:val="0"/>
        <w:tabs>
          <w:tab w:val="left" w:pos="652"/>
          <w:tab w:val="left" w:pos="5580"/>
          <w:tab w:val="left" w:pos="8188"/>
        </w:tabs>
        <w:spacing w:before="240" w:after="240"/>
        <w:jc w:val="center"/>
        <w:rPr>
          <w:b/>
          <w:sz w:val="28"/>
          <w:szCs w:val="28"/>
          <w:lang w:val="uk-UA"/>
        </w:rPr>
      </w:pPr>
      <w:r w:rsidRPr="00F7290F">
        <w:rPr>
          <w:b/>
          <w:sz w:val="28"/>
          <w:szCs w:val="28"/>
          <w:lang w:val="uk-UA"/>
        </w:rPr>
        <w:lastRenderedPageBreak/>
        <w:t xml:space="preserve">6. </w:t>
      </w:r>
      <w:r w:rsidRPr="00F7290F">
        <w:rPr>
          <w:rStyle w:val="af4"/>
          <w:b/>
          <w:color w:val="auto"/>
          <w:sz w:val="28"/>
          <w:szCs w:val="28"/>
          <w:u w:val="none"/>
          <w:lang w:val="uk-UA"/>
        </w:rPr>
        <w:t>Розвиток з</w:t>
      </w:r>
      <w:hyperlink r:id="rId128" w:anchor="_Toc130175773" w:history="1">
        <w:r w:rsidRPr="00F7290F">
          <w:rPr>
            <w:rStyle w:val="af4"/>
            <w:b/>
            <w:color w:val="auto"/>
            <w:sz w:val="28"/>
            <w:szCs w:val="28"/>
            <w:u w:val="none"/>
            <w:lang w:val="uk-UA"/>
          </w:rPr>
          <w:t>овнішньоекономічної діяльност</w:t>
        </w:r>
      </w:hyperlink>
      <w:r w:rsidRPr="00F7290F">
        <w:rPr>
          <w:rStyle w:val="af4"/>
          <w:b/>
          <w:color w:val="auto"/>
          <w:sz w:val="28"/>
          <w:szCs w:val="28"/>
          <w:u w:val="none"/>
          <w:lang w:val="uk-UA"/>
        </w:rPr>
        <w:t>і,                                                    міжнародної і міжрегіональної співпраці</w:t>
      </w:r>
    </w:p>
    <w:p w:rsidR="008E0378" w:rsidRPr="00F7290F" w:rsidRDefault="008E0378" w:rsidP="008E0378">
      <w:pPr>
        <w:pStyle w:val="Style2"/>
        <w:keepNext/>
        <w:spacing w:after="120" w:line="240" w:lineRule="auto"/>
        <w:ind w:firstLine="709"/>
        <w:rPr>
          <w:rStyle w:val="FontStyle13"/>
          <w:sz w:val="24"/>
          <w:szCs w:val="24"/>
        </w:rPr>
      </w:pPr>
      <w:r w:rsidRPr="00F7290F">
        <w:rPr>
          <w:rStyle w:val="FontStyle13"/>
          <w:sz w:val="24"/>
          <w:szCs w:val="24"/>
        </w:rPr>
        <w:t>Донецька область є одним із значних суб’єктів</w:t>
      </w:r>
      <w:r w:rsidRPr="00F7290F">
        <w:rPr>
          <w:rStyle w:val="FontStyle13"/>
          <w:b/>
          <w:i/>
          <w:sz w:val="24"/>
          <w:szCs w:val="24"/>
        </w:rPr>
        <w:t xml:space="preserve"> </w:t>
      </w:r>
      <w:r w:rsidRPr="00F7290F">
        <w:rPr>
          <w:rStyle w:val="FontStyle13"/>
          <w:sz w:val="24"/>
          <w:szCs w:val="24"/>
        </w:rPr>
        <w:t>зовнішньоекономічної діяльності України.  За обсягом зовнішньоторговельного обороту регіон займає друге місце в державі, за експортом – перше.</w:t>
      </w:r>
    </w:p>
    <w:p w:rsidR="008E0378" w:rsidRPr="00F7290F" w:rsidRDefault="008E0378" w:rsidP="008E0378">
      <w:pPr>
        <w:pStyle w:val="Style2"/>
        <w:keepNext/>
        <w:spacing w:line="240" w:lineRule="auto"/>
        <w:ind w:firstLine="709"/>
        <w:rPr>
          <w:rStyle w:val="FontStyle13"/>
          <w:b/>
          <w:sz w:val="24"/>
          <w:szCs w:val="24"/>
        </w:rPr>
      </w:pPr>
      <w:r w:rsidRPr="00F7290F">
        <w:rPr>
          <w:rStyle w:val="FontStyle13"/>
          <w:b/>
          <w:sz w:val="24"/>
          <w:szCs w:val="24"/>
        </w:rPr>
        <w:t>Актуальні проблеми:</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скорочення попиту на традиційних зовнішніх ринках збуту товарів;</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низька частка продукції з високим ступенем обробки значного сегменту експортної продукції;</w:t>
      </w:r>
    </w:p>
    <w:p w:rsidR="008E0378" w:rsidRPr="00F7290F" w:rsidRDefault="008E0378" w:rsidP="008E0378">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sidRPr="00F7290F">
        <w:rPr>
          <w:bCs/>
          <w:lang w:val="uk-UA"/>
        </w:rPr>
        <w:t>загострення міжнародної конкуренції, впровадження іноземними країнами протекціоністських заходів</w:t>
      </w:r>
      <w:r w:rsidRPr="00F7290F">
        <w:rPr>
          <w:lang w:val="uk-UA"/>
        </w:rPr>
        <w:t xml:space="preserve"> щодо захисту власних ринків.</w:t>
      </w:r>
    </w:p>
    <w:p w:rsidR="008E0378" w:rsidRPr="00F7290F" w:rsidRDefault="008E0378" w:rsidP="008E0378">
      <w:pPr>
        <w:pStyle w:val="Style2"/>
        <w:keepNext/>
        <w:spacing w:after="120" w:line="240" w:lineRule="auto"/>
        <w:ind w:firstLine="709"/>
        <w:rPr>
          <w:rStyle w:val="FontStyle13"/>
          <w:sz w:val="24"/>
          <w:szCs w:val="24"/>
        </w:rPr>
      </w:pPr>
      <w:r w:rsidRPr="00F7290F">
        <w:rPr>
          <w:rStyle w:val="FontStyle13"/>
          <w:b/>
          <w:sz w:val="24"/>
          <w:szCs w:val="24"/>
        </w:rPr>
        <w:t>Головна  мета</w:t>
      </w:r>
      <w:r w:rsidRPr="00F7290F">
        <w:rPr>
          <w:rStyle w:val="FontStyle13"/>
          <w:b/>
          <w:i/>
          <w:sz w:val="24"/>
          <w:szCs w:val="24"/>
        </w:rPr>
        <w:t xml:space="preserve"> </w:t>
      </w:r>
      <w:r w:rsidRPr="00F7290F">
        <w:t>–</w:t>
      </w:r>
      <w:r w:rsidRPr="00F7290F">
        <w:rPr>
          <w:rStyle w:val="FontStyle13"/>
          <w:sz w:val="24"/>
          <w:szCs w:val="24"/>
        </w:rPr>
        <w:t xml:space="preserve"> збереження експортного потенціалу області, поліпшення структури зовнішньоторговельного обороту, розширення міжрегіональних зв'язків, формування позитивного міжнародного іміджу регіону.</w:t>
      </w:r>
    </w:p>
    <w:p w:rsidR="008E0378" w:rsidRPr="00F7290F" w:rsidRDefault="008E0378" w:rsidP="008E0378">
      <w:pPr>
        <w:pStyle w:val="Style2"/>
        <w:keepNext/>
        <w:spacing w:line="240" w:lineRule="auto"/>
        <w:ind w:firstLine="709"/>
        <w:rPr>
          <w:rStyle w:val="FontStyle13"/>
          <w:b/>
          <w:sz w:val="24"/>
          <w:szCs w:val="24"/>
        </w:rPr>
      </w:pPr>
      <w:r w:rsidRPr="00F7290F">
        <w:rPr>
          <w:rStyle w:val="FontStyle13"/>
          <w:b/>
          <w:sz w:val="24"/>
          <w:szCs w:val="24"/>
        </w:rPr>
        <w:t>Основні завдання:</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забезпечення реалізації державної політики у сфері зовнішніх зносин та зовнішньоекономічної діяльності;</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сприяння організації та проведенню економічних місій, бізнес-форумів, днів економіки зарубіжних країн, ділових зустрічей, семінарів, «круглих столів» за участю представників ділових кіл зарубіжних країн, а також участі суб’єктів підприємницької діяльності області у заходах міжнародного характеру за межами України;</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збереження позицій області на традиційних ринках і просування продукції товаровиробників-експортерів на нові зовнішні ринки збуту;</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залучення та ефективне використання суб’єктами підприємницької діяльності міжнародної технічної допомоги;</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сприяння інтеграції транспортної інфраструктури Донецької області в європейську транспортну систему, будівництву контейнерних терміналів та створенню логістичних центрів;</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налагодження партнерських відносин та взаємодії з формування та реалізації проектів в рамках Пілотної програми регіонального розвитку ініціативи ЄС «Східне партнерство», а також програм прикордонного співробітництва, зокрема, в рамках Європейського сусідства та партнерства;</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 xml:space="preserve">забезпечення ефективної участі області у транскордонному міжрегіональному об’єднанні Єврорегіон «Донбас», у тому числі з реалізації заходів, спрямованих на підвищення рівня соціально-економічного розвитку прикордонних територій, покращення їх екологічного стану, розбудову прикордонної інфраструктури, розвитку туризму тощо (перелік проектів, які реалізовуватимуться на прикордонних територіях області, наведений у додатку 2); </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укладання Угод про торговельно-економічне, науково-технічне та культурне співробітництво області з регіонами України і іноземних держав та активізація виконання діючих угод (перелік діючих Угод наведений в додатках 3, 4);</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spacing w:val="-4"/>
          <w:lang w:val="uk-UA"/>
        </w:rPr>
      </w:pPr>
      <w:r w:rsidRPr="00F7290F">
        <w:rPr>
          <w:bCs/>
          <w:spacing w:val="-4"/>
          <w:lang w:val="uk-UA"/>
        </w:rPr>
        <w:t>забезпечення обміну інформацією з дипломатичними представництвами України за кордоном, комерційними відділами посольств іноземних держав в Україні, іноземними ЗМІ про пріоритетні інвестиційні проекти, проведення міжнародних виставкових заходів, бізнес-форумів, стан співробітництва з країнами та регіонами, туристичну привабливість області тощо;</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spacing w:val="-6"/>
          <w:lang w:val="uk-UA"/>
        </w:rPr>
      </w:pPr>
      <w:r w:rsidRPr="00F7290F">
        <w:rPr>
          <w:bCs/>
          <w:spacing w:val="-6"/>
          <w:lang w:val="uk-UA"/>
        </w:rPr>
        <w:t>проведення презентацій інвестиційного потенціалу області за кордоном та ознайомлення із соціально-економічним станом регіону іноземних делегацій, які відвідують область;</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проведення в області заходів, присвячених святкуванню Дня Європи, із залученням представників Посольств країн</w:t>
      </w:r>
      <w:r w:rsidRPr="00F7290F">
        <w:rPr>
          <w:bCs/>
          <w:lang w:val="uk-UA"/>
        </w:rPr>
        <w:sym w:font="Symbol" w:char="002D"/>
      </w:r>
      <w:r w:rsidRPr="00F7290F">
        <w:rPr>
          <w:bCs/>
          <w:lang w:val="uk-UA"/>
        </w:rPr>
        <w:t>учасниць Європейського Союзу;</w:t>
      </w:r>
    </w:p>
    <w:p w:rsidR="008E0378" w:rsidRPr="00F7290F" w:rsidRDefault="008E0378" w:rsidP="008E0378">
      <w:pPr>
        <w:keepNext/>
        <w:widowControl w:val="0"/>
        <w:numPr>
          <w:ilvl w:val="0"/>
          <w:numId w:val="9"/>
        </w:numPr>
        <w:tabs>
          <w:tab w:val="num" w:pos="0"/>
          <w:tab w:val="num" w:pos="720"/>
          <w:tab w:val="num" w:pos="900"/>
          <w:tab w:val="num" w:pos="1080"/>
          <w:tab w:val="num" w:pos="1260"/>
        </w:tabs>
        <w:spacing w:after="120"/>
        <w:ind w:left="0" w:firstLine="720"/>
        <w:jc w:val="both"/>
        <w:rPr>
          <w:rStyle w:val="FontStyle13"/>
          <w:sz w:val="24"/>
          <w:szCs w:val="24"/>
          <w:lang w:val="uk-UA"/>
        </w:rPr>
      </w:pPr>
      <w:r w:rsidRPr="00F7290F">
        <w:rPr>
          <w:bCs/>
          <w:lang w:val="uk-UA"/>
        </w:rPr>
        <w:t xml:space="preserve">координація роботи місцевих органів виконавчої влади та місцевого </w:t>
      </w:r>
      <w:r w:rsidRPr="00F7290F">
        <w:rPr>
          <w:bCs/>
          <w:lang w:val="uk-UA"/>
        </w:rPr>
        <w:lastRenderedPageBreak/>
        <w:t>самоврядування з питань здійснення зовнішніх зносин</w:t>
      </w:r>
      <w:r w:rsidRPr="00F7290F">
        <w:rPr>
          <w:rStyle w:val="FontStyle13"/>
          <w:sz w:val="24"/>
          <w:szCs w:val="24"/>
          <w:lang w:val="uk-UA"/>
        </w:rPr>
        <w:t>.</w:t>
      </w:r>
    </w:p>
    <w:p w:rsidR="008E0378" w:rsidRPr="00F7290F" w:rsidRDefault="008E0378" w:rsidP="008E0378">
      <w:pPr>
        <w:keepNext/>
        <w:widowControl w:val="0"/>
        <w:tabs>
          <w:tab w:val="left" w:pos="399"/>
          <w:tab w:val="left" w:pos="851"/>
          <w:tab w:val="left" w:pos="9639"/>
        </w:tabs>
        <w:spacing w:before="120"/>
        <w:ind w:firstLine="709"/>
        <w:jc w:val="both"/>
        <w:rPr>
          <w:lang w:val="uk-UA"/>
        </w:rPr>
      </w:pPr>
      <w:r w:rsidRPr="00F7290F">
        <w:rPr>
          <w:b/>
          <w:bCs/>
          <w:noProof/>
          <w:lang w:val="uk-UA"/>
        </w:rPr>
        <w:t>Критерії досягнення:</w:t>
      </w:r>
      <w:r w:rsidRPr="00F7290F">
        <w:rPr>
          <w:lang w:val="uk-UA"/>
        </w:rPr>
        <w:t xml:space="preserve"> </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збільшення зовнішньоторговельного обороту товарами на 5,2%;</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забезпечення позитивного сальдо зовнішньоторговельного обороту –                                  9,6 млрд.дол.США.</w:t>
      </w:r>
    </w:p>
    <w:p w:rsidR="008E0378" w:rsidRPr="00F7290F" w:rsidRDefault="008E0378" w:rsidP="008E0378">
      <w:pPr>
        <w:keepNext/>
        <w:widowControl w:val="0"/>
        <w:tabs>
          <w:tab w:val="num" w:pos="928"/>
          <w:tab w:val="num" w:pos="1080"/>
          <w:tab w:val="num" w:pos="1260"/>
        </w:tabs>
        <w:jc w:val="center"/>
        <w:rPr>
          <w:bCs/>
          <w:lang w:val="uk-UA"/>
        </w:rPr>
      </w:pPr>
      <w:r w:rsidRPr="00F7290F">
        <w:rPr>
          <w:b/>
          <w:bCs/>
          <w:lang w:val="uk-UA"/>
        </w:rPr>
        <w:t>Динаміка експорту, імпорту товарів, млрд. дол. США</w:t>
      </w:r>
    </w:p>
    <w:p w:rsidR="00F350D2" w:rsidRPr="00F7290F" w:rsidRDefault="00F350D2" w:rsidP="008E0378">
      <w:pPr>
        <w:pStyle w:val="af9"/>
        <w:keepNext/>
        <w:widowControl w:val="0"/>
        <w:jc w:val="center"/>
        <w:rPr>
          <w:rStyle w:val="FontStyle13"/>
          <w:color w:val="FF0000"/>
          <w:sz w:val="24"/>
          <w:szCs w:val="24"/>
          <w:lang w:val="uk-UA"/>
        </w:rPr>
      </w:pPr>
      <w:r w:rsidRPr="00F7290F">
        <w:rPr>
          <w:noProof/>
          <w:color w:val="FF0000"/>
        </w:rPr>
        <w:drawing>
          <wp:inline distT="0" distB="0" distL="0" distR="0">
            <wp:extent cx="5658736" cy="1520456"/>
            <wp:effectExtent l="19050" t="0" r="0" b="0"/>
            <wp:docPr id="5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E0378" w:rsidRPr="00F7290F" w:rsidRDefault="008E0378" w:rsidP="008E0378">
      <w:pPr>
        <w:keepNext/>
        <w:widowControl w:val="0"/>
        <w:spacing w:before="120"/>
        <w:ind w:firstLine="709"/>
        <w:jc w:val="both"/>
        <w:rPr>
          <w:b/>
          <w:snapToGrid w:val="0"/>
          <w:lang w:val="uk-UA"/>
        </w:rPr>
      </w:pPr>
      <w:r w:rsidRPr="00F7290F">
        <w:rPr>
          <w:b/>
          <w:snapToGrid w:val="0"/>
          <w:lang w:val="uk-UA"/>
        </w:rPr>
        <w:t>Ресурсне забезпечення</w:t>
      </w:r>
    </w:p>
    <w:p w:rsidR="008E0378" w:rsidRPr="00F7290F" w:rsidRDefault="008E0378" w:rsidP="008E0378">
      <w:pPr>
        <w:pStyle w:val="Style3"/>
        <w:keepNext/>
        <w:tabs>
          <w:tab w:val="left" w:pos="0"/>
        </w:tabs>
        <w:spacing w:after="120" w:line="240" w:lineRule="auto"/>
        <w:ind w:firstLine="709"/>
        <w:rPr>
          <w:rStyle w:val="FontStyle13"/>
          <w:sz w:val="24"/>
          <w:szCs w:val="24"/>
        </w:rPr>
      </w:pPr>
      <w:r w:rsidRPr="00F7290F">
        <w:rPr>
          <w:rStyle w:val="FontStyle13"/>
          <w:sz w:val="24"/>
          <w:szCs w:val="24"/>
        </w:rPr>
        <w:t xml:space="preserve">На фінансування заходів щодо підвищення позитивного міжнародного іміджу регіону передбачається спрямувати коштів з обласного бюджету в сумі </w:t>
      </w:r>
      <w:r w:rsidR="00DB57FF" w:rsidRPr="00F7290F">
        <w:rPr>
          <w:rStyle w:val="FontStyle13"/>
          <w:sz w:val="24"/>
          <w:szCs w:val="24"/>
        </w:rPr>
        <w:t>1219,1</w:t>
      </w:r>
      <w:r w:rsidRPr="00F7290F">
        <w:rPr>
          <w:rStyle w:val="FontStyle13"/>
          <w:sz w:val="24"/>
          <w:szCs w:val="24"/>
        </w:rPr>
        <w:t xml:space="preserve"> тис.грн.</w:t>
      </w:r>
    </w:p>
    <w:p w:rsidR="008E0378" w:rsidRPr="00F7290F" w:rsidRDefault="008E0378" w:rsidP="008E0378">
      <w:pPr>
        <w:pStyle w:val="Style3"/>
        <w:keepNext/>
        <w:tabs>
          <w:tab w:val="left" w:pos="0"/>
        </w:tabs>
        <w:spacing w:after="120" w:line="240" w:lineRule="auto"/>
        <w:ind w:firstLine="709"/>
        <w:rPr>
          <w:rStyle w:val="FontStyle13"/>
          <w:sz w:val="24"/>
          <w:szCs w:val="24"/>
        </w:rPr>
      </w:pPr>
      <w:r w:rsidRPr="00F7290F">
        <w:rPr>
          <w:rStyle w:val="FontStyle13"/>
          <w:sz w:val="24"/>
          <w:szCs w:val="24"/>
        </w:rPr>
        <w:t>Реалізація Плану  заходів з розвитку та реалізації експортного потенціалу області і розширення зовнішніх ринків збуту товарів вітчизняних товаровиробників на період до 2015 року, Плану заходів Програми міжрегіонального та прикордонного співробітництва між Україною і Російською Федерацією на 2011-2016 роки, Плану заходів щодо стимулювання міжрегіональної співпраці, кооперації та інтеграції, Державної програми розвитку транскордонного співробітництва на 2011-2015 роки.</w:t>
      </w:r>
    </w:p>
    <w:p w:rsidR="00A6311C" w:rsidRPr="00F7290F" w:rsidRDefault="00A6311C" w:rsidP="00A6311C">
      <w:pPr>
        <w:keepNext/>
        <w:widowControl w:val="0"/>
        <w:jc w:val="center"/>
        <w:rPr>
          <w:b/>
          <w:lang w:val="uk-UA"/>
        </w:rPr>
      </w:pPr>
      <w:r w:rsidRPr="00F7290F">
        <w:rPr>
          <w:b/>
          <w:lang w:val="uk-UA"/>
        </w:rPr>
        <w:t>7. Розвиток міст і районів області.</w:t>
      </w:r>
    </w:p>
    <w:p w:rsidR="00A6311C" w:rsidRPr="00F7290F" w:rsidRDefault="00A6311C" w:rsidP="00A6311C">
      <w:pPr>
        <w:keepNext/>
        <w:widowControl w:val="0"/>
        <w:tabs>
          <w:tab w:val="left" w:pos="959"/>
        </w:tabs>
        <w:spacing w:after="120"/>
        <w:ind w:left="108"/>
        <w:jc w:val="center"/>
        <w:rPr>
          <w:rStyle w:val="af4"/>
          <w:b/>
          <w:color w:val="auto"/>
          <w:lang w:val="uk-UA"/>
        </w:rPr>
      </w:pPr>
      <w:r w:rsidRPr="00F7290F">
        <w:rPr>
          <w:b/>
          <w:lang w:val="uk-UA"/>
        </w:rPr>
        <w:t>Впровадження заходів територіального планування</w:t>
      </w:r>
    </w:p>
    <w:p w:rsidR="00A6311C" w:rsidRPr="00F7290F" w:rsidRDefault="00A6311C" w:rsidP="00A6311C">
      <w:pPr>
        <w:keepNext/>
        <w:widowControl w:val="0"/>
        <w:tabs>
          <w:tab w:val="left" w:pos="652"/>
          <w:tab w:val="left" w:pos="8188"/>
        </w:tabs>
        <w:jc w:val="center"/>
        <w:rPr>
          <w:b/>
          <w:lang w:val="uk-UA"/>
        </w:rPr>
      </w:pPr>
      <w:r w:rsidRPr="00F7290F">
        <w:rPr>
          <w:b/>
          <w:lang w:val="uk-UA"/>
        </w:rPr>
        <w:t>7.1. Розвиток міст і районів області</w:t>
      </w:r>
    </w:p>
    <w:p w:rsidR="00C53069" w:rsidRPr="00C53069" w:rsidRDefault="00C53069" w:rsidP="00C53069">
      <w:pPr>
        <w:keepNext/>
        <w:widowControl w:val="0"/>
        <w:ind w:firstLine="720"/>
        <w:jc w:val="both"/>
        <w:rPr>
          <w:b/>
          <w:snapToGrid w:val="0"/>
          <w:lang w:val="uk-UA"/>
        </w:rPr>
      </w:pPr>
      <w:r w:rsidRPr="00C53069">
        <w:rPr>
          <w:b/>
          <w:snapToGrid w:val="0"/>
          <w:lang w:val="uk-UA"/>
        </w:rPr>
        <w:t>Актуальні проблеми:</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складна демографічна ситуація;</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відсутність фінансової самодостатності більшості міст та районів області, низький рівень розвитку містоутворювальної бази;</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дисбаланс </w:t>
      </w:r>
      <w:r w:rsidRPr="00C53069">
        <w:rPr>
          <w:lang w:val="uk-UA"/>
        </w:rPr>
        <w:t xml:space="preserve">соціально-економічного </w:t>
      </w:r>
      <w:r w:rsidRPr="00C53069">
        <w:rPr>
          <w:snapToGrid w:val="0"/>
          <w:lang w:val="uk-UA"/>
        </w:rPr>
        <w:t>розвитку міст, районів;</w:t>
      </w:r>
    </w:p>
    <w:p w:rsidR="00C53069" w:rsidRPr="00C53069" w:rsidRDefault="00C53069" w:rsidP="00C53069">
      <w:pPr>
        <w:keepNext/>
        <w:widowControl w:val="0"/>
        <w:numPr>
          <w:ilvl w:val="0"/>
          <w:numId w:val="14"/>
        </w:numPr>
        <w:tabs>
          <w:tab w:val="clear" w:pos="1724"/>
          <w:tab w:val="num" w:pos="900"/>
        </w:tabs>
        <w:ind w:left="0" w:firstLine="616"/>
        <w:jc w:val="both"/>
        <w:rPr>
          <w:snapToGrid w:val="0"/>
          <w:spacing w:val="-6"/>
          <w:lang w:val="uk-UA"/>
        </w:rPr>
      </w:pPr>
      <w:r w:rsidRPr="00C53069">
        <w:rPr>
          <w:snapToGrid w:val="0"/>
          <w:spacing w:val="-6"/>
          <w:lang w:val="uk-UA"/>
        </w:rPr>
        <w:t xml:space="preserve">аварійний стан об’єктів системи водо -, енерго -, теплопостачання та каналізаційних мереж; </w:t>
      </w:r>
    </w:p>
    <w:p w:rsidR="00C53069" w:rsidRPr="00C53069" w:rsidRDefault="00C53069" w:rsidP="00C53069">
      <w:pPr>
        <w:keepNext/>
        <w:widowControl w:val="0"/>
        <w:numPr>
          <w:ilvl w:val="0"/>
          <w:numId w:val="14"/>
        </w:numPr>
        <w:tabs>
          <w:tab w:val="clear" w:pos="1724"/>
          <w:tab w:val="num" w:pos="900"/>
        </w:tabs>
        <w:ind w:left="0" w:firstLine="616"/>
        <w:jc w:val="both"/>
        <w:rPr>
          <w:b/>
          <w:snapToGrid w:val="0"/>
          <w:lang w:val="uk-UA"/>
        </w:rPr>
      </w:pPr>
      <w:r w:rsidRPr="00C53069">
        <w:rPr>
          <w:bCs/>
          <w:snapToGrid w:val="0"/>
          <w:lang w:val="uk-UA"/>
        </w:rPr>
        <w:t>нерозвинена соціальна, транспортна, житлово-комунальна, прикордонна інфраструктура;</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складна ситуація на ринку праці малих і шахтарських міст, пов’язана, перш за все, із монофункціональністю таких міст, </w:t>
      </w:r>
    </w:p>
    <w:p w:rsidR="00C53069" w:rsidRPr="00C53069" w:rsidRDefault="00C53069" w:rsidP="00C53069">
      <w:pPr>
        <w:keepNext/>
        <w:widowControl w:val="0"/>
        <w:numPr>
          <w:ilvl w:val="0"/>
          <w:numId w:val="14"/>
        </w:numPr>
        <w:tabs>
          <w:tab w:val="clear" w:pos="1724"/>
          <w:tab w:val="num" w:pos="900"/>
        </w:tabs>
        <w:ind w:left="0" w:firstLine="616"/>
        <w:jc w:val="both"/>
        <w:rPr>
          <w:b/>
          <w:snapToGrid w:val="0"/>
          <w:lang w:val="uk-UA"/>
        </w:rPr>
      </w:pPr>
      <w:r w:rsidRPr="00C53069">
        <w:rPr>
          <w:lang w:val="uk-UA"/>
        </w:rPr>
        <w:t>невіднесення населених пунктів області, які мають соціально-економічні та екологічні наслідки через тривале перебування в стадії ліквідації вугледобувних та вуглепереробних підприємств, до категорії депресивних територій;</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lang w:val="uk-UA"/>
        </w:rPr>
        <w:t>проблема незаконного надрокористування в сфері вуглевидобутку на території Донецької області</w:t>
      </w:r>
      <w:r w:rsidRPr="00C53069">
        <w:rPr>
          <w:snapToGrid w:val="0"/>
          <w:lang w:val="uk-UA"/>
        </w:rPr>
        <w:t>.</w:t>
      </w:r>
    </w:p>
    <w:p w:rsidR="00C53069" w:rsidRPr="00C53069" w:rsidRDefault="00C53069" w:rsidP="00C53069">
      <w:pPr>
        <w:keepNext/>
        <w:widowControl w:val="0"/>
        <w:spacing w:after="120"/>
        <w:ind w:firstLine="720"/>
        <w:jc w:val="both"/>
        <w:rPr>
          <w:snapToGrid w:val="0"/>
          <w:lang w:val="uk-UA"/>
        </w:rPr>
      </w:pPr>
      <w:r w:rsidRPr="00C53069">
        <w:rPr>
          <w:b/>
          <w:snapToGrid w:val="0"/>
          <w:lang w:val="uk-UA"/>
        </w:rPr>
        <w:t xml:space="preserve">Головна мета – </w:t>
      </w:r>
      <w:r w:rsidRPr="00C53069">
        <w:rPr>
          <w:snapToGrid w:val="0"/>
          <w:lang w:val="uk-UA"/>
        </w:rPr>
        <w:t>створення сприятливих умов для динамічного і збалансованого розвитку територіальних одиниць області, підвищення конкурентоспроможності їх економік, пом’якшення територіальних диспропорцій, розвитку територіальних громад та активізації місцевих ініціатив.</w:t>
      </w:r>
    </w:p>
    <w:p w:rsidR="00C53069" w:rsidRPr="00C53069" w:rsidRDefault="00C53069" w:rsidP="00C53069">
      <w:pPr>
        <w:keepNext/>
        <w:widowControl w:val="0"/>
        <w:ind w:firstLine="720"/>
        <w:jc w:val="both"/>
        <w:rPr>
          <w:b/>
          <w:caps/>
          <w:snapToGrid w:val="0"/>
          <w:lang w:val="uk-UA"/>
        </w:rPr>
      </w:pPr>
      <w:r w:rsidRPr="00C53069">
        <w:rPr>
          <w:b/>
          <w:snapToGrid w:val="0"/>
          <w:lang w:val="uk-UA"/>
        </w:rPr>
        <w:t>Основні завдання на 2013 рік:</w:t>
      </w:r>
    </w:p>
    <w:p w:rsidR="00C53069" w:rsidRPr="00C53069" w:rsidRDefault="00C53069" w:rsidP="00C53069">
      <w:pPr>
        <w:keepNext/>
        <w:widowControl w:val="0"/>
        <w:numPr>
          <w:ilvl w:val="0"/>
          <w:numId w:val="14"/>
        </w:numPr>
        <w:tabs>
          <w:tab w:val="clear" w:pos="1724"/>
          <w:tab w:val="num" w:pos="900"/>
        </w:tabs>
        <w:ind w:left="0" w:firstLine="616"/>
        <w:jc w:val="both"/>
        <w:rPr>
          <w:snapToGrid w:val="0"/>
          <w:spacing w:val="-6"/>
          <w:lang w:val="uk-UA"/>
        </w:rPr>
      </w:pPr>
      <w:r w:rsidRPr="00C53069">
        <w:rPr>
          <w:snapToGrid w:val="0"/>
          <w:spacing w:val="-6"/>
          <w:lang w:val="uk-UA"/>
        </w:rPr>
        <w:t>пошук нових можливостей розширення фінансово-економічної бази територіальних громад;</w:t>
      </w:r>
    </w:p>
    <w:p w:rsidR="00C53069" w:rsidRPr="00C53069" w:rsidRDefault="00C53069" w:rsidP="00C53069">
      <w:pPr>
        <w:keepNext/>
        <w:widowControl w:val="0"/>
        <w:numPr>
          <w:ilvl w:val="0"/>
          <w:numId w:val="14"/>
        </w:numPr>
        <w:tabs>
          <w:tab w:val="clear" w:pos="1724"/>
          <w:tab w:val="num" w:pos="900"/>
        </w:tabs>
        <w:ind w:left="0" w:firstLine="616"/>
        <w:jc w:val="both"/>
        <w:rPr>
          <w:snapToGrid w:val="0"/>
          <w:spacing w:val="-6"/>
          <w:lang w:val="uk-UA"/>
        </w:rPr>
      </w:pPr>
      <w:r w:rsidRPr="00C53069">
        <w:rPr>
          <w:snapToGrid w:val="0"/>
          <w:spacing w:val="-6"/>
          <w:lang w:val="uk-UA"/>
        </w:rPr>
        <w:lastRenderedPageBreak/>
        <w:t>забезпечення сприятливих умов для залучення інвестицій у розвиток територій регіону;</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розбудова та модернізація соціальної, транспортної, житлово-комунальної, прикордонної інфраструктури;</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забезпечення зайнятості населення, передусім шляхом створення сприятливих умов для самозайнятості і підприємницької діяльності, розвиток та підтримка малого та середнього підприємництва; </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сприяння впровадженню енергозберігаючих технологій;</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реалізація Державної цільової програми підтримки соціально-економічного розвитку малих міст на 2011-2015 роки, затвердженої Постановою Кабінету Міні</w:t>
      </w:r>
      <w:r w:rsidR="005B6977">
        <w:rPr>
          <w:snapToGrid w:val="0"/>
          <w:lang w:val="uk-UA"/>
        </w:rPr>
        <w:t xml:space="preserve">стрів України від  </w:t>
      </w:r>
      <w:r w:rsidRPr="00C53069">
        <w:rPr>
          <w:snapToGrid w:val="0"/>
          <w:lang w:val="uk-UA"/>
        </w:rPr>
        <w:t>29 жовтня 2010 року № 1090;</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проведення оцінки внутрішньорегіональної диференціації соціально-економічного розвитку регіону та моніторингу соціально-економічного розвитку малих міст, рейтингової оцінки міст і районів Донецької області за рівнем соціально-економічного розвитку;</w:t>
      </w:r>
    </w:p>
    <w:p w:rsidR="00C53069" w:rsidRPr="005B6977" w:rsidRDefault="00C53069" w:rsidP="00C53069">
      <w:pPr>
        <w:keepNext/>
        <w:widowControl w:val="0"/>
        <w:numPr>
          <w:ilvl w:val="0"/>
          <w:numId w:val="14"/>
        </w:numPr>
        <w:tabs>
          <w:tab w:val="clear" w:pos="1724"/>
          <w:tab w:val="num" w:pos="900"/>
        </w:tabs>
        <w:ind w:left="0" w:firstLine="616"/>
        <w:jc w:val="both"/>
        <w:rPr>
          <w:snapToGrid w:val="0"/>
          <w:spacing w:val="-4"/>
          <w:lang w:val="uk-UA"/>
        </w:rPr>
      </w:pPr>
      <w:r w:rsidRPr="005B6977">
        <w:rPr>
          <w:snapToGrid w:val="0"/>
          <w:spacing w:val="-4"/>
          <w:lang w:val="uk-UA"/>
        </w:rPr>
        <w:t>виконання угоди про партнерство між  Донецькою облдержадміністрацією, Донецькою обласною радою та Програмою розвитку Організації Об’єднаних Націй, реалізація проекту «Місцевий розвиток, орієнтований на громаду» (реалізація ІІ етапу Програми);</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виконання плану заходів щодо реалізації Державної стратегії регіонального розвитку на період до 2015 року;</w:t>
      </w:r>
    </w:p>
    <w:p w:rsidR="00C53069" w:rsidRPr="005B6977" w:rsidRDefault="00C53069" w:rsidP="00C53069">
      <w:pPr>
        <w:keepNext/>
        <w:widowControl w:val="0"/>
        <w:numPr>
          <w:ilvl w:val="0"/>
          <w:numId w:val="14"/>
        </w:numPr>
        <w:tabs>
          <w:tab w:val="clear" w:pos="1724"/>
          <w:tab w:val="num" w:pos="900"/>
        </w:tabs>
        <w:spacing w:after="120"/>
        <w:ind w:left="0" w:firstLine="618"/>
        <w:jc w:val="both"/>
        <w:rPr>
          <w:spacing w:val="-8"/>
          <w:lang w:val="uk-UA"/>
        </w:rPr>
      </w:pPr>
      <w:r w:rsidRPr="005B6977">
        <w:rPr>
          <w:snapToGrid w:val="0"/>
          <w:spacing w:val="-8"/>
          <w:lang w:val="uk-UA"/>
        </w:rPr>
        <w:t>підвищення</w:t>
      </w:r>
      <w:r w:rsidRPr="005B6977">
        <w:rPr>
          <w:spacing w:val="-8"/>
          <w:lang w:val="uk-UA"/>
        </w:rPr>
        <w:t xml:space="preserve"> ефективності реалізації місцевих, обласних, державних цільових програм.</w:t>
      </w:r>
    </w:p>
    <w:p w:rsidR="00C53069" w:rsidRPr="00C53069" w:rsidRDefault="00C53069" w:rsidP="00C53069">
      <w:pPr>
        <w:keepNext/>
        <w:widowControl w:val="0"/>
        <w:ind w:firstLine="720"/>
        <w:jc w:val="both"/>
        <w:rPr>
          <w:b/>
          <w:caps/>
          <w:snapToGrid w:val="0"/>
          <w:lang w:val="uk-UA"/>
        </w:rPr>
      </w:pPr>
      <w:r w:rsidRPr="00C53069">
        <w:rPr>
          <w:b/>
          <w:snapToGrid w:val="0"/>
          <w:lang w:val="uk-UA"/>
        </w:rPr>
        <w:t>Критерії досягнення:</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покращення добробуту та умов життя населення області;</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покращення соціальної, транспортної, житлово-комунальної, прикордонної інфраструктури, підвищення якості житлово-комунальних та соціальних послуг; </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підвищення рівня зайнятості населення, створення 72,7 тис. нових робочих місць;</w:t>
      </w:r>
    </w:p>
    <w:p w:rsidR="00C53069" w:rsidRPr="00C53069" w:rsidRDefault="00C53069" w:rsidP="00C53069">
      <w:pPr>
        <w:keepNext/>
        <w:widowControl w:val="0"/>
        <w:numPr>
          <w:ilvl w:val="0"/>
          <w:numId w:val="14"/>
        </w:numPr>
        <w:tabs>
          <w:tab w:val="clear" w:pos="1724"/>
          <w:tab w:val="num" w:pos="900"/>
        </w:tabs>
        <w:spacing w:after="120"/>
        <w:ind w:left="0" w:firstLine="618"/>
        <w:jc w:val="both"/>
        <w:rPr>
          <w:bCs/>
          <w:snapToGrid w:val="0"/>
          <w:lang w:val="uk-UA"/>
        </w:rPr>
      </w:pPr>
      <w:r w:rsidRPr="00C53069">
        <w:rPr>
          <w:snapToGrid w:val="0"/>
          <w:lang w:val="uk-UA"/>
        </w:rPr>
        <w:t>поступове зростання спроможності міст та районів вирішувати місцеві проблеми за рахунок власних та залучених коштів.</w:t>
      </w:r>
    </w:p>
    <w:p w:rsidR="00C53069" w:rsidRPr="00C53069" w:rsidRDefault="00C53069" w:rsidP="00C53069">
      <w:pPr>
        <w:keepNext/>
        <w:widowControl w:val="0"/>
        <w:spacing w:after="120"/>
        <w:ind w:firstLine="709"/>
        <w:jc w:val="both"/>
        <w:rPr>
          <w:lang w:val="uk-UA"/>
        </w:rPr>
      </w:pPr>
      <w:r w:rsidRPr="00C53069">
        <w:rPr>
          <w:lang w:val="uk-UA"/>
        </w:rPr>
        <w:t>Складною залишиться демографічна ситуація. В 26 містах та районах області чисельність населення буде знижуватись, в інших – залишиться на рівні 2012 року. Максимальне зниження чисельності населення прогнозується у м. Єнакієве (на 1,3%).</w:t>
      </w:r>
    </w:p>
    <w:p w:rsidR="00C53069" w:rsidRPr="005B6977" w:rsidRDefault="00C53069" w:rsidP="00C53069">
      <w:pPr>
        <w:keepNext/>
        <w:widowControl w:val="0"/>
        <w:spacing w:after="120"/>
        <w:ind w:firstLine="709"/>
        <w:jc w:val="both"/>
        <w:rPr>
          <w:spacing w:val="-6"/>
          <w:lang w:val="uk-UA"/>
        </w:rPr>
      </w:pPr>
      <w:r w:rsidRPr="005B6977">
        <w:rPr>
          <w:spacing w:val="-6"/>
          <w:lang w:val="uk-UA"/>
        </w:rPr>
        <w:t>Нарощування обсягів реалізації промислової продукції (у діючих цінах) в 2013 році передбачається у 19 містах області, найбільше – в містах Сніжне (в 1,6 рази), Димитров  (на 35,6%), Краматорськ (на 31,5%), Слов’янськ (на 21,1%). При цьому найбільше падіння виробництва прогнозується у містах Жданівка (на 36,7%), Торез (на 14,7%), Вугледар (на 12,0%).</w:t>
      </w:r>
    </w:p>
    <w:p w:rsidR="00C53069" w:rsidRPr="00C53069" w:rsidRDefault="00C53069" w:rsidP="00C53069">
      <w:pPr>
        <w:keepNext/>
        <w:widowControl w:val="0"/>
        <w:spacing w:after="120"/>
        <w:ind w:firstLine="709"/>
        <w:jc w:val="both"/>
        <w:rPr>
          <w:lang w:val="uk-UA"/>
        </w:rPr>
      </w:pPr>
      <w:r w:rsidRPr="00C53069">
        <w:rPr>
          <w:lang w:val="uk-UA"/>
        </w:rPr>
        <w:t>В 15 районах області (крім Артемівського і Володарського) у 2013 році прогнозується приріст виробництва сільськогосподарської продукції, найбільший – у Костянтинівському (на 45,3%),  Шахтарському  (на 25,8%), Олександрівському (на 16,8%), Амвросівському (на 15,4%) і Новоазовському (на 15,2%)  районах.</w:t>
      </w:r>
    </w:p>
    <w:p w:rsidR="00C53069" w:rsidRPr="005B6977" w:rsidRDefault="00C53069" w:rsidP="00C53069">
      <w:pPr>
        <w:keepNext/>
        <w:widowControl w:val="0"/>
        <w:spacing w:after="120"/>
        <w:ind w:firstLine="709"/>
        <w:jc w:val="both"/>
        <w:rPr>
          <w:snapToGrid w:val="0"/>
          <w:spacing w:val="-4"/>
          <w:lang w:val="uk-UA"/>
        </w:rPr>
      </w:pPr>
      <w:r w:rsidRPr="005B6977">
        <w:rPr>
          <w:snapToGrid w:val="0"/>
          <w:spacing w:val="-4"/>
          <w:lang w:val="uk-UA"/>
        </w:rPr>
        <w:t xml:space="preserve">Найбільший обсяг капітальних інвестицій за рахунок усіх джерел фінансування на душу населення прогнозується у містах: Кіровське (13964,0 грн.), Димитров (9727,9 грн.), Новогродівка (7775,0 грн.), Єнакієве (7477,1 грн.) та районах: Старобешівському </w:t>
      </w:r>
      <w:r w:rsidR="005B6977" w:rsidRPr="005B6977">
        <w:rPr>
          <w:snapToGrid w:val="0"/>
          <w:spacing w:val="-4"/>
          <w:lang w:val="uk-UA"/>
        </w:rPr>
        <w:t xml:space="preserve">              </w:t>
      </w:r>
      <w:r w:rsidRPr="005B6977">
        <w:rPr>
          <w:snapToGrid w:val="0"/>
          <w:spacing w:val="-4"/>
          <w:lang w:val="uk-UA"/>
        </w:rPr>
        <w:t>(11488,0 грн.),  Ясинуватському (9911,0 грн.). При цьому  найбільший приріст передбачається у містах Дзержинськ (у 7,4 рази),  Слов’янськ (у 6,1 рази) та Ясинувата (у 3,8 рази).</w:t>
      </w:r>
    </w:p>
    <w:p w:rsidR="00C53069" w:rsidRPr="00C53069" w:rsidRDefault="00C53069" w:rsidP="00C53069">
      <w:pPr>
        <w:keepNext/>
        <w:widowControl w:val="0"/>
        <w:spacing w:after="120"/>
        <w:ind w:firstLine="709"/>
        <w:jc w:val="both"/>
        <w:rPr>
          <w:sz w:val="20"/>
          <w:szCs w:val="20"/>
          <w:lang w:val="uk-UA"/>
        </w:rPr>
      </w:pPr>
      <w:r w:rsidRPr="00C53069">
        <w:rPr>
          <w:lang w:val="uk-UA"/>
        </w:rPr>
        <w:t>В усіх містах і районах області прогнозується зростання заробітної плати в межах від 102,5% (Костянтинівський район) до 117,9% (м. Докучаєвськ).</w:t>
      </w:r>
    </w:p>
    <w:p w:rsidR="00C53069" w:rsidRPr="00C53069" w:rsidRDefault="00C53069" w:rsidP="00C53069">
      <w:pPr>
        <w:keepNext/>
        <w:widowControl w:val="0"/>
        <w:tabs>
          <w:tab w:val="left" w:pos="4071"/>
        </w:tabs>
        <w:spacing w:after="120"/>
        <w:ind w:firstLine="709"/>
        <w:jc w:val="both"/>
        <w:rPr>
          <w:lang w:val="uk-UA"/>
        </w:rPr>
      </w:pPr>
      <w:r w:rsidRPr="00C53069">
        <w:rPr>
          <w:lang w:val="uk-UA"/>
        </w:rPr>
        <w:t>В  усіх містах і районах області передбачається створення 72,7 тис. робочих місць, що на 14,1 тис. менше, ніж в 2012 році.</w:t>
      </w:r>
    </w:p>
    <w:p w:rsidR="00C53069" w:rsidRPr="00C53069" w:rsidRDefault="00C53069" w:rsidP="00C53069">
      <w:pPr>
        <w:keepNext/>
        <w:widowControl w:val="0"/>
        <w:ind w:firstLine="720"/>
        <w:jc w:val="both"/>
        <w:rPr>
          <w:b/>
          <w:caps/>
          <w:snapToGrid w:val="0"/>
          <w:lang w:val="uk-UA"/>
        </w:rPr>
      </w:pPr>
      <w:r w:rsidRPr="00C53069">
        <w:rPr>
          <w:b/>
          <w:lang w:val="uk-UA"/>
        </w:rPr>
        <w:t>Ресурсне забезпечення</w:t>
      </w:r>
    </w:p>
    <w:p w:rsidR="00C53069" w:rsidRPr="00F7290F" w:rsidRDefault="00C53069" w:rsidP="00C53069">
      <w:pPr>
        <w:keepNext/>
        <w:widowControl w:val="0"/>
        <w:spacing w:line="276" w:lineRule="auto"/>
        <w:ind w:firstLine="709"/>
        <w:jc w:val="both"/>
        <w:rPr>
          <w:color w:val="FF0000"/>
          <w:spacing w:val="-2"/>
          <w:lang w:val="uk-UA" w:eastAsia="en-US"/>
        </w:rPr>
      </w:pPr>
      <w:r w:rsidRPr="00C53069">
        <w:rPr>
          <w:spacing w:val="2"/>
          <w:lang w:val="uk-UA" w:eastAsia="en-US"/>
        </w:rPr>
        <w:t xml:space="preserve">Фінансування заходів здійснюватиметься в межах видатків, передбачених в </w:t>
      </w:r>
      <w:r w:rsidRPr="00C53069">
        <w:rPr>
          <w:spacing w:val="-2"/>
          <w:lang w:val="uk-UA" w:eastAsia="en-US"/>
        </w:rPr>
        <w:t>обласному бюджеті на 2013 рік.</w:t>
      </w:r>
    </w:p>
    <w:p w:rsidR="00333AE0" w:rsidRPr="00F7290F" w:rsidRDefault="00333AE0" w:rsidP="00D65D2E">
      <w:pPr>
        <w:keepNext/>
        <w:widowControl w:val="0"/>
        <w:spacing w:before="120" w:after="120"/>
        <w:jc w:val="center"/>
        <w:rPr>
          <w:b/>
          <w:i/>
          <w:color w:val="FF0000"/>
          <w:lang w:val="uk-UA"/>
        </w:rPr>
        <w:sectPr w:rsidR="00333AE0" w:rsidRPr="00F7290F" w:rsidSect="00E02EB4">
          <w:pgSz w:w="11906" w:h="16838"/>
          <w:pgMar w:top="1134" w:right="1134" w:bottom="1134" w:left="1134" w:header="709" w:footer="709" w:gutter="0"/>
          <w:cols w:space="708"/>
          <w:docGrid w:linePitch="360"/>
        </w:sectPr>
      </w:pPr>
    </w:p>
    <w:p w:rsidR="00A6311C" w:rsidRDefault="00A6311C" w:rsidP="00A6311C">
      <w:pPr>
        <w:keepNext/>
        <w:widowControl w:val="0"/>
        <w:spacing w:before="120" w:after="120"/>
        <w:jc w:val="center"/>
        <w:rPr>
          <w:b/>
          <w:lang w:val="uk-UA"/>
        </w:rPr>
      </w:pPr>
      <w:r w:rsidRPr="00F7290F">
        <w:rPr>
          <w:b/>
          <w:lang w:val="uk-UA"/>
        </w:rPr>
        <w:lastRenderedPageBreak/>
        <w:t>Окремі показники економічного і соціального  розвитку міст області в 2012-2013 роках</w:t>
      </w:r>
    </w:p>
    <w:tbl>
      <w:tblPr>
        <w:tblW w:w="14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989"/>
        <w:gridCol w:w="1080"/>
        <w:gridCol w:w="1016"/>
        <w:gridCol w:w="1108"/>
        <w:gridCol w:w="1192"/>
        <w:gridCol w:w="1162"/>
        <w:gridCol w:w="996"/>
        <w:gridCol w:w="996"/>
        <w:gridCol w:w="1108"/>
        <w:gridCol w:w="1068"/>
        <w:gridCol w:w="2007"/>
      </w:tblGrid>
      <w:tr w:rsidR="001D327B" w:rsidRPr="00CA0AC7" w:rsidTr="001D327B">
        <w:trPr>
          <w:jc w:val="center"/>
        </w:trPr>
        <w:tc>
          <w:tcPr>
            <w:tcW w:w="2053" w:type="dxa"/>
            <w:vMerge w:val="restart"/>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Адміністративно-територіальні одиниці</w:t>
            </w: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 xml:space="preserve">Середньорічна чисельність наявного населення, </w:t>
            </w:r>
          </w:p>
          <w:p w:rsidR="001D327B" w:rsidRPr="00CA0AC7" w:rsidRDefault="001D327B" w:rsidP="00CC234E">
            <w:pPr>
              <w:keepNext/>
              <w:widowControl w:val="0"/>
              <w:jc w:val="center"/>
              <w:rPr>
                <w:sz w:val="22"/>
                <w:szCs w:val="22"/>
                <w:lang w:val="uk-UA"/>
              </w:rPr>
            </w:pPr>
            <w:r w:rsidRPr="00CA0AC7">
              <w:rPr>
                <w:sz w:val="22"/>
                <w:szCs w:val="22"/>
                <w:lang w:val="uk-UA"/>
              </w:rPr>
              <w:t>тис. чол.</w:t>
            </w:r>
          </w:p>
        </w:tc>
        <w:tc>
          <w:tcPr>
            <w:tcW w:w="2124"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 xml:space="preserve">Обсяг реалізації промислової продукції у діючих цінах, </w:t>
            </w:r>
          </w:p>
          <w:p w:rsidR="001D327B" w:rsidRPr="00CA0AC7" w:rsidRDefault="001D327B" w:rsidP="00CC234E">
            <w:pPr>
              <w:keepNext/>
              <w:widowControl w:val="0"/>
              <w:jc w:val="center"/>
              <w:rPr>
                <w:sz w:val="22"/>
                <w:szCs w:val="22"/>
                <w:lang w:val="uk-UA"/>
              </w:rPr>
            </w:pPr>
            <w:r w:rsidRPr="00CA0AC7">
              <w:rPr>
                <w:sz w:val="22"/>
                <w:szCs w:val="22"/>
                <w:lang w:val="uk-UA"/>
              </w:rPr>
              <w:t>млн.грн.</w:t>
            </w:r>
          </w:p>
        </w:tc>
        <w:tc>
          <w:tcPr>
            <w:tcW w:w="2354"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Обсяг капітальних інвестицій за рахунок усіх джерел фінансування на одну особу, грн.</w:t>
            </w:r>
          </w:p>
        </w:tc>
        <w:tc>
          <w:tcPr>
            <w:tcW w:w="1992"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Розмір  середньомісячної заробітної плати, грн.</w:t>
            </w:r>
          </w:p>
        </w:tc>
        <w:tc>
          <w:tcPr>
            <w:tcW w:w="2176"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Створення нових робочих місць, од.</w:t>
            </w:r>
          </w:p>
        </w:tc>
        <w:tc>
          <w:tcPr>
            <w:tcW w:w="200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sz w:val="22"/>
                <w:szCs w:val="22"/>
                <w:lang w:val="uk-UA"/>
              </w:rPr>
            </w:pPr>
            <w:r w:rsidRPr="00CA0AC7">
              <w:rPr>
                <w:sz w:val="22"/>
                <w:szCs w:val="22"/>
                <w:lang w:val="uk-UA"/>
              </w:rPr>
              <w:t>Місце у зведеному рейтингу за рівнем соціально-економічного розвитку</w:t>
            </w:r>
          </w:p>
        </w:tc>
      </w:tr>
      <w:tr w:rsidR="001D327B" w:rsidRPr="00CA0AC7" w:rsidTr="00CC234E">
        <w:trPr>
          <w:jc w:val="center"/>
        </w:trPr>
        <w:tc>
          <w:tcPr>
            <w:tcW w:w="2053" w:type="dxa"/>
            <w:vMerge/>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color w:val="FF0000"/>
                <w:sz w:val="22"/>
                <w:szCs w:val="22"/>
                <w:lang w:val="uk-UA"/>
              </w:rPr>
            </w:pPr>
          </w:p>
        </w:tc>
        <w:tc>
          <w:tcPr>
            <w:tcW w:w="989"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080"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01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vertAlign w:val="superscript"/>
                <w:lang w:val="en-US"/>
              </w:rPr>
            </w:pPr>
            <w:r w:rsidRPr="00CA0AC7">
              <w:rPr>
                <w:sz w:val="22"/>
                <w:szCs w:val="22"/>
                <w:lang w:val="uk-UA"/>
              </w:rPr>
              <w:t>2012 р.</w:t>
            </w:r>
          </w:p>
        </w:tc>
        <w:tc>
          <w:tcPr>
            <w:tcW w:w="1108"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192"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162"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108"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068"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200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sz w:val="22"/>
                <w:szCs w:val="22"/>
                <w:lang w:val="uk-UA"/>
              </w:rPr>
            </w:pPr>
            <w:r w:rsidRPr="00CA0AC7">
              <w:rPr>
                <w:sz w:val="22"/>
                <w:szCs w:val="22"/>
                <w:lang w:val="uk-UA"/>
              </w:rPr>
              <w:t>9 міс. 2012 р.</w:t>
            </w:r>
          </w:p>
        </w:tc>
      </w:tr>
      <w:tr w:rsidR="001D327B" w:rsidRPr="00CA0AC7" w:rsidTr="00CC234E">
        <w:trPr>
          <w:trHeight w:val="141"/>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Донецьк</w:t>
            </w:r>
          </w:p>
        </w:tc>
        <w:tc>
          <w:tcPr>
            <w:tcW w:w="989"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jc w:val="right"/>
              <w:rPr>
                <w:b/>
                <w:bCs/>
                <w:i/>
                <w:iCs/>
                <w:sz w:val="22"/>
                <w:szCs w:val="22"/>
                <w:lang w:val="uk-UA"/>
              </w:rPr>
            </w:pPr>
            <w:r w:rsidRPr="00CA0AC7">
              <w:rPr>
                <w:b/>
                <w:bCs/>
                <w:i/>
                <w:iCs/>
                <w:sz w:val="22"/>
                <w:szCs w:val="22"/>
                <w:lang w:val="en-US"/>
              </w:rPr>
              <w:t>968</w:t>
            </w:r>
            <w:r w:rsidRPr="00CA0AC7">
              <w:rPr>
                <w:b/>
                <w:bCs/>
                <w:i/>
                <w:iCs/>
                <w:sz w:val="22"/>
                <w:szCs w:val="22"/>
                <w:lang w:val="uk-UA"/>
              </w:rPr>
              <w:t>,0</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jc w:val="right"/>
              <w:rPr>
                <w:b/>
                <w:bCs/>
                <w:i/>
                <w:iCs/>
                <w:sz w:val="22"/>
                <w:szCs w:val="22"/>
              </w:rPr>
            </w:pPr>
            <w:r w:rsidRPr="00CA0AC7">
              <w:rPr>
                <w:b/>
                <w:bCs/>
                <w:i/>
                <w:iCs/>
                <w:sz w:val="22"/>
                <w:szCs w:val="22"/>
                <w:lang w:val="uk-UA"/>
              </w:rPr>
              <w:t>963,0</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49145,8</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51093,4</w:t>
            </w:r>
          </w:p>
        </w:tc>
        <w:tc>
          <w:tcPr>
            <w:tcW w:w="1192"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right"/>
              <w:rPr>
                <w:sz w:val="22"/>
                <w:szCs w:val="22"/>
                <w:lang w:val="uk-UA"/>
              </w:rPr>
            </w:pPr>
            <w:r w:rsidRPr="00CA0AC7">
              <w:rPr>
                <w:sz w:val="22"/>
                <w:szCs w:val="22"/>
                <w:lang w:val="uk-UA"/>
              </w:rPr>
              <w:t>11757,7</w:t>
            </w:r>
          </w:p>
        </w:tc>
        <w:tc>
          <w:tcPr>
            <w:tcW w:w="1162"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right"/>
              <w:rPr>
                <w:sz w:val="22"/>
                <w:szCs w:val="22"/>
                <w:lang w:val="uk-UA"/>
              </w:rPr>
            </w:pPr>
            <w:r w:rsidRPr="00CA0AC7">
              <w:rPr>
                <w:sz w:val="22"/>
                <w:szCs w:val="22"/>
                <w:lang w:val="uk-UA"/>
              </w:rPr>
              <w:t>2922,0</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right"/>
              <w:rPr>
                <w:sz w:val="22"/>
                <w:szCs w:val="22"/>
                <w:lang w:val="uk-UA"/>
              </w:rPr>
            </w:pPr>
            <w:r w:rsidRPr="00CA0AC7">
              <w:rPr>
                <w:sz w:val="22"/>
                <w:szCs w:val="22"/>
                <w:lang w:val="uk-UA"/>
              </w:rPr>
              <w:t>3765,0</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right"/>
              <w:rPr>
                <w:sz w:val="22"/>
                <w:szCs w:val="22"/>
                <w:lang w:val="uk-UA"/>
              </w:rPr>
            </w:pPr>
            <w:r w:rsidRPr="00CA0AC7">
              <w:rPr>
                <w:sz w:val="22"/>
                <w:szCs w:val="22"/>
                <w:lang w:val="uk-UA"/>
              </w:rPr>
              <w:t>4300,0</w:t>
            </w:r>
          </w:p>
        </w:tc>
        <w:tc>
          <w:tcPr>
            <w:tcW w:w="1108" w:type="dxa"/>
            <w:tcBorders>
              <w:top w:val="single" w:sz="4" w:space="0" w:color="auto"/>
              <w:left w:val="single" w:sz="4" w:space="0" w:color="auto"/>
              <w:bottom w:val="single" w:sz="4" w:space="0" w:color="auto"/>
              <w:right w:val="single" w:sz="4" w:space="0" w:color="auto"/>
            </w:tcBorders>
            <w:shd w:val="clear" w:color="auto" w:fill="CCFFCC"/>
            <w:vAlign w:val="center"/>
          </w:tcPr>
          <w:p w:rsidR="001D327B" w:rsidRPr="00CA0AC7" w:rsidRDefault="001D327B" w:rsidP="00CC234E">
            <w:pPr>
              <w:keepNext/>
              <w:widowControl w:val="0"/>
              <w:jc w:val="right"/>
              <w:rPr>
                <w:b/>
                <w:i/>
                <w:sz w:val="22"/>
                <w:szCs w:val="22"/>
                <w:lang w:val="uk-UA"/>
              </w:rPr>
            </w:pPr>
            <w:r w:rsidRPr="00CA0AC7">
              <w:rPr>
                <w:b/>
                <w:i/>
                <w:sz w:val="22"/>
                <w:szCs w:val="22"/>
                <w:lang w:val="uk-UA"/>
              </w:rPr>
              <w:t>25000</w:t>
            </w:r>
          </w:p>
        </w:tc>
        <w:tc>
          <w:tcPr>
            <w:tcW w:w="1068" w:type="dxa"/>
            <w:tcBorders>
              <w:top w:val="single" w:sz="4" w:space="0" w:color="auto"/>
              <w:left w:val="single" w:sz="4" w:space="0" w:color="auto"/>
              <w:bottom w:val="single" w:sz="4" w:space="0" w:color="auto"/>
              <w:right w:val="single" w:sz="4" w:space="0" w:color="auto"/>
            </w:tcBorders>
            <w:shd w:val="clear" w:color="auto" w:fill="CCFFCC"/>
            <w:vAlign w:val="center"/>
          </w:tcPr>
          <w:p w:rsidR="001D327B" w:rsidRPr="00CA0AC7" w:rsidRDefault="001D327B" w:rsidP="00CC234E">
            <w:pPr>
              <w:keepNext/>
              <w:widowControl w:val="0"/>
              <w:jc w:val="right"/>
              <w:rPr>
                <w:b/>
                <w:i/>
                <w:sz w:val="22"/>
                <w:szCs w:val="22"/>
                <w:lang w:val="uk-UA"/>
              </w:rPr>
            </w:pPr>
            <w:r w:rsidRPr="00CA0AC7">
              <w:rPr>
                <w:b/>
                <w:i/>
                <w:sz w:val="22"/>
                <w:szCs w:val="22"/>
                <w:lang w:val="uk-UA"/>
              </w:rPr>
              <w:t>22500</w:t>
            </w:r>
          </w:p>
        </w:tc>
        <w:tc>
          <w:tcPr>
            <w:tcW w:w="2007" w:type="dxa"/>
            <w:tcBorders>
              <w:top w:val="single" w:sz="4" w:space="0" w:color="auto"/>
              <w:left w:val="single" w:sz="4" w:space="0" w:color="auto"/>
              <w:bottom w:val="single" w:sz="4" w:space="0" w:color="auto"/>
              <w:right w:val="single" w:sz="4" w:space="0" w:color="auto"/>
            </w:tcBorders>
            <w:shd w:val="clear" w:color="auto" w:fill="CCFFCC"/>
            <w:vAlign w:val="center"/>
          </w:tcPr>
          <w:p w:rsidR="001D327B" w:rsidRPr="00CA0AC7" w:rsidRDefault="001D327B" w:rsidP="00CC234E">
            <w:pPr>
              <w:keepNext/>
              <w:widowControl w:val="0"/>
              <w:spacing w:line="192" w:lineRule="auto"/>
              <w:jc w:val="right"/>
              <w:rPr>
                <w:b/>
                <w:bCs/>
                <w:i/>
                <w:sz w:val="22"/>
                <w:szCs w:val="22"/>
              </w:rPr>
            </w:pPr>
            <w:r w:rsidRPr="00CA0AC7">
              <w:rPr>
                <w:b/>
                <w:bCs/>
                <w:i/>
                <w:sz w:val="22"/>
                <w:szCs w:val="22"/>
              </w:rPr>
              <w:t>1</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Авдіївка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35,1</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9338,9</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8430,2</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6851,2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7122,5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3671,0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3808,0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510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510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25</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Артемівськ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104,2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103,9</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5699,5</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6008,4</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3362,2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2649,9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3200,0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3500,0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1100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3</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Вугледар</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15,5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15,5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766,8</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674,8</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3548,4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2800,3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5076,0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5487,0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13</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Горлівка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278,4</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276,3</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11430,2</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12051,9</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2983,2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3065,9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3344,0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3762,0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7</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Дебальцеве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46,2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45,9</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3401,4</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3462,9</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1763,2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2241,6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3599,0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3967,5</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14</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Дзержинськ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74,3</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74,2</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855,3</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845,7</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468,4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3458,0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3550,0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3859,9</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620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26</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Димитров</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50,9</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50,9</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568,1</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770,6</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3764,7</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9727,9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3806,0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3951,0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10</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Добропілля</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64,0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64,0</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2315,7</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2517,0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8749,4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4882,8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4334,0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4550,0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16</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Докучаєвськ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24,5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24,5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730,9</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800,5</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1073,4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1277,5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3452,0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4070,0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758</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551</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24</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Дружківка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69,8</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69,7</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2712,3</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2925,0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3138,4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3667,4</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2620,0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2875,0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1500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1500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19</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Єнакієве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131,2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129,5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7127,7</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7600,0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8307,5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7477,1</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3364,8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3633,8</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1500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8</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Жданівка</w:t>
            </w:r>
          </w:p>
        </w:tc>
        <w:tc>
          <w:tcPr>
            <w:tcW w:w="989"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jc w:val="right"/>
              <w:rPr>
                <w:b/>
                <w:bCs/>
                <w:i/>
                <w:iCs/>
                <w:sz w:val="22"/>
                <w:szCs w:val="22"/>
              </w:rPr>
            </w:pPr>
            <w:r w:rsidRPr="00CA0AC7">
              <w:rPr>
                <w:b/>
                <w:bCs/>
                <w:i/>
                <w:iCs/>
                <w:sz w:val="22"/>
                <w:szCs w:val="22"/>
                <w:lang w:val="uk-UA"/>
              </w:rPr>
              <w:t>13,3</w:t>
            </w:r>
          </w:p>
        </w:tc>
        <w:tc>
          <w:tcPr>
            <w:tcW w:w="1080"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jc w:val="right"/>
              <w:rPr>
                <w:b/>
                <w:bCs/>
                <w:i/>
                <w:iCs/>
                <w:sz w:val="22"/>
                <w:szCs w:val="22"/>
              </w:rPr>
            </w:pPr>
            <w:r w:rsidRPr="00CA0AC7">
              <w:rPr>
                <w:b/>
                <w:bCs/>
                <w:i/>
                <w:iCs/>
                <w:sz w:val="22"/>
                <w:szCs w:val="22"/>
                <w:lang w:val="uk-UA"/>
              </w:rPr>
              <w:t>13,3</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877,8</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555,6</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3298,5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3684,9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4920,6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5500,0</w:t>
            </w:r>
          </w:p>
        </w:tc>
        <w:tc>
          <w:tcPr>
            <w:tcW w:w="1108"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230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180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23</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Кіровське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28,4</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28,4</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2575,1</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2761,2</w:t>
            </w:r>
          </w:p>
        </w:tc>
        <w:tc>
          <w:tcPr>
            <w:tcW w:w="1192"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13960,0</w:t>
            </w:r>
          </w:p>
        </w:tc>
        <w:tc>
          <w:tcPr>
            <w:tcW w:w="1162"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13964,0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4880,0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5332,0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4</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Костянтинівка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77,8</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77,8</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1663,6</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1892,1</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622,2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859,7</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2620,0</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2800,0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1800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11</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Краматорськ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198,5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197,7</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5636,8</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7410,0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5623,0</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4907,8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3032,0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3324,0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5240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3510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15</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Красний Лиман</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45,3</w:t>
            </w:r>
          </w:p>
        </w:tc>
        <w:tc>
          <w:tcPr>
            <w:tcW w:w="1016" w:type="dxa"/>
            <w:tcBorders>
              <w:top w:val="single" w:sz="4" w:space="0" w:color="auto"/>
              <w:left w:val="single" w:sz="4" w:space="0" w:color="auto"/>
              <w:bottom w:val="single" w:sz="4" w:space="0" w:color="auto"/>
              <w:right w:val="single" w:sz="4" w:space="0" w:color="auto"/>
            </w:tcBorders>
            <w:shd w:val="clear" w:color="auto" w:fill="CCFFFF"/>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75,0</w:t>
            </w:r>
          </w:p>
        </w:tc>
        <w:tc>
          <w:tcPr>
            <w:tcW w:w="1108" w:type="dxa"/>
            <w:tcBorders>
              <w:top w:val="single" w:sz="4" w:space="0" w:color="auto"/>
              <w:left w:val="single" w:sz="4" w:space="0" w:color="auto"/>
              <w:bottom w:val="single" w:sz="4" w:space="0" w:color="auto"/>
              <w:right w:val="single" w:sz="4" w:space="0" w:color="auto"/>
            </w:tcBorders>
            <w:shd w:val="clear" w:color="auto" w:fill="CCFFFF"/>
            <w:vAlign w:val="bottom"/>
          </w:tcPr>
          <w:p w:rsidR="001D327B" w:rsidRPr="00CA0AC7" w:rsidRDefault="001D327B" w:rsidP="00CC234E">
            <w:pPr>
              <w:keepNext/>
              <w:widowControl w:val="0"/>
              <w:jc w:val="right"/>
              <w:rPr>
                <w:b/>
                <w:i/>
                <w:sz w:val="22"/>
                <w:szCs w:val="22"/>
              </w:rPr>
            </w:pPr>
            <w:r w:rsidRPr="00CA0AC7">
              <w:rPr>
                <w:b/>
                <w:i/>
                <w:sz w:val="22"/>
                <w:szCs w:val="22"/>
              </w:rPr>
              <w:t>85,9</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2551,5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3088,9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2937,0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3251,0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545</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lang w:val="uk-UA"/>
              </w:rPr>
            </w:pPr>
            <w:r w:rsidRPr="00CA0AC7">
              <w:rPr>
                <w:bCs/>
                <w:sz w:val="22"/>
                <w:szCs w:val="22"/>
                <w:lang w:val="uk-UA"/>
              </w:rPr>
              <w:t>17</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Красноармійськ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77,7</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77,5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5339,2</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4824,5</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7773,5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3438,7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5221,3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5499,4</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1770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830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lang w:val="uk-UA"/>
              </w:rPr>
            </w:pPr>
            <w:r w:rsidRPr="00CA0AC7">
              <w:rPr>
                <w:bCs/>
                <w:sz w:val="22"/>
                <w:szCs w:val="22"/>
                <w:lang w:val="uk-UA"/>
              </w:rPr>
              <w:t>5</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Макіївка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392,1</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390,1</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17919,6</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18056,0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1360,9</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1846,6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3241,0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3424,0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22</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Маріуполь</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485,3</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481,5</w:t>
            </w:r>
          </w:p>
        </w:tc>
        <w:tc>
          <w:tcPr>
            <w:tcW w:w="1016"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64041,0</w:t>
            </w:r>
          </w:p>
        </w:tc>
        <w:tc>
          <w:tcPr>
            <w:tcW w:w="1108"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keepNext/>
              <w:widowControl w:val="0"/>
              <w:jc w:val="right"/>
              <w:rPr>
                <w:b/>
                <w:i/>
                <w:sz w:val="22"/>
                <w:szCs w:val="22"/>
              </w:rPr>
            </w:pPr>
            <w:r w:rsidRPr="00CA0AC7">
              <w:rPr>
                <w:b/>
                <w:i/>
                <w:sz w:val="22"/>
                <w:szCs w:val="22"/>
              </w:rPr>
              <w:t>57332,7</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5193,0</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5520,0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3443,7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3832,8</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10000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10000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Новогродівка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15,5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15,5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592,5</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571,7</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7083,0</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7775,0</w:t>
            </w:r>
          </w:p>
        </w:tc>
        <w:tc>
          <w:tcPr>
            <w:tcW w:w="99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5239,0</w:t>
            </w:r>
          </w:p>
        </w:tc>
        <w:tc>
          <w:tcPr>
            <w:tcW w:w="99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5644,0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258</w:t>
            </w:r>
          </w:p>
        </w:tc>
        <w:tc>
          <w:tcPr>
            <w:tcW w:w="1068"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150</w:t>
            </w:r>
          </w:p>
        </w:tc>
        <w:tc>
          <w:tcPr>
            <w:tcW w:w="2007" w:type="dxa"/>
            <w:tcBorders>
              <w:top w:val="single" w:sz="4" w:space="0" w:color="auto"/>
              <w:left w:val="single" w:sz="4" w:space="0" w:color="auto"/>
              <w:bottom w:val="single" w:sz="4" w:space="0" w:color="auto"/>
              <w:right w:val="single" w:sz="4" w:space="0" w:color="auto"/>
            </w:tcBorders>
            <w:shd w:val="clear" w:color="auto" w:fill="FFFFFF"/>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27</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Селидове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54,3</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54,1</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381,2</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396,8</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2748,5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3705,5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3572,0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4079,0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1446</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w:t>
            </w:r>
          </w:p>
        </w:tc>
        <w:tc>
          <w:tcPr>
            <w:tcW w:w="2007" w:type="dxa"/>
            <w:tcBorders>
              <w:top w:val="single" w:sz="4" w:space="0" w:color="auto"/>
              <w:left w:val="single" w:sz="4" w:space="0" w:color="auto"/>
              <w:bottom w:val="single" w:sz="4" w:space="0" w:color="auto"/>
              <w:right w:val="single" w:sz="4" w:space="0" w:color="auto"/>
            </w:tcBorders>
            <w:shd w:val="clear" w:color="auto" w:fill="CCFFFF"/>
            <w:vAlign w:val="center"/>
          </w:tcPr>
          <w:p w:rsidR="001D327B" w:rsidRPr="00CA0AC7" w:rsidRDefault="001D327B" w:rsidP="00CC234E">
            <w:pPr>
              <w:keepNext/>
              <w:widowControl w:val="0"/>
              <w:spacing w:line="192" w:lineRule="auto"/>
              <w:jc w:val="right"/>
              <w:rPr>
                <w:b/>
                <w:bCs/>
                <w:i/>
                <w:sz w:val="22"/>
                <w:szCs w:val="22"/>
              </w:rPr>
            </w:pPr>
            <w:r w:rsidRPr="00CA0AC7">
              <w:rPr>
                <w:b/>
                <w:bCs/>
                <w:i/>
                <w:sz w:val="22"/>
                <w:szCs w:val="22"/>
              </w:rPr>
              <w:t>28</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 xml:space="preserve">Слов’янськ </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137,7</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137,4</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2664,3</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3227,0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433,5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2649,8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2830,0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3100,0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20</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Сніжне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71,1</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71,0</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502,9</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823,6</w:t>
            </w:r>
          </w:p>
        </w:tc>
        <w:tc>
          <w:tcPr>
            <w:tcW w:w="1192"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284,2</w:t>
            </w:r>
          </w:p>
        </w:tc>
        <w:tc>
          <w:tcPr>
            <w:tcW w:w="1162"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685,0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3150,0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3478,0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1310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1200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18</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Торез</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81,4</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80,8</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1363,9</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1163,1</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1732,7</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1915,3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3595,0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4025,0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1200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1200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6</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Харцизьк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104,9</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104,5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9462,0</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9471,7</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432,1</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1433,0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3358,5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3632,3</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1139</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21</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Шахтарськ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61,2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61,2</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737,7</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818,6</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2276,9</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4862,7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3254,0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3725,0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12</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Ясинувата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35,8</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35,8</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418,2</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408,1</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521,4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1971,5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3249,8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3474,9</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820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9</w:t>
            </w:r>
          </w:p>
        </w:tc>
      </w:tr>
      <w:tr w:rsidR="001D327B" w:rsidRPr="00CA0AC7" w:rsidTr="00CC234E">
        <w:trPr>
          <w:jc w:val="center"/>
        </w:trPr>
        <w:tc>
          <w:tcPr>
            <w:tcW w:w="14775" w:type="dxa"/>
            <w:gridSpan w:val="12"/>
            <w:tcBorders>
              <w:top w:val="single" w:sz="4" w:space="0" w:color="auto"/>
              <w:left w:val="nil"/>
              <w:bottom w:val="nil"/>
              <w:right w:val="nil"/>
            </w:tcBorders>
            <w:vAlign w:val="center"/>
          </w:tcPr>
          <w:p w:rsidR="001D327B" w:rsidRPr="00CA0AC7" w:rsidRDefault="001D327B" w:rsidP="00CC234E">
            <w:pPr>
              <w:keepNext/>
              <w:widowControl w:val="0"/>
              <w:rPr>
                <w:i/>
                <w:sz w:val="20"/>
                <w:szCs w:val="20"/>
                <w:lang w:val="uk-UA"/>
              </w:rPr>
            </w:pPr>
            <w:r w:rsidRPr="00CA0AC7">
              <w:rPr>
                <w:i/>
                <w:sz w:val="20"/>
                <w:szCs w:val="20"/>
                <w:vertAlign w:val="superscript"/>
              </w:rPr>
              <w:t xml:space="preserve">1  </w:t>
            </w:r>
            <w:r w:rsidRPr="00CA0AC7">
              <w:rPr>
                <w:i/>
                <w:sz w:val="20"/>
                <w:szCs w:val="20"/>
                <w:lang w:val="uk-UA"/>
              </w:rPr>
              <w:t>– очікувані дані;</w:t>
            </w:r>
          </w:p>
          <w:p w:rsidR="001D327B" w:rsidRPr="00CA0AC7" w:rsidRDefault="001D327B" w:rsidP="00CC234E">
            <w:pPr>
              <w:keepNext/>
              <w:widowControl w:val="0"/>
              <w:rPr>
                <w:i/>
                <w:color w:val="FF0000"/>
                <w:sz w:val="20"/>
                <w:szCs w:val="20"/>
                <w:lang w:val="uk-UA"/>
              </w:rPr>
            </w:pPr>
            <w:r w:rsidRPr="00CA0AC7">
              <w:rPr>
                <w:i/>
                <w:sz w:val="20"/>
                <w:szCs w:val="20"/>
                <w:vertAlign w:val="superscript"/>
                <w:lang w:val="uk-UA"/>
              </w:rPr>
              <w:t xml:space="preserve">2 </w:t>
            </w:r>
            <w:r w:rsidRPr="00CA0AC7">
              <w:rPr>
                <w:i/>
                <w:sz w:val="20"/>
                <w:szCs w:val="20"/>
                <w:lang w:val="uk-UA"/>
              </w:rPr>
              <w:t>– прогноз за даними міст</w:t>
            </w:r>
          </w:p>
        </w:tc>
      </w:tr>
    </w:tbl>
    <w:p w:rsidR="00A6311C" w:rsidRPr="00CA0AC7" w:rsidRDefault="00A6311C" w:rsidP="00A6311C">
      <w:pPr>
        <w:keepNext/>
        <w:widowControl w:val="0"/>
        <w:spacing w:before="120" w:after="120"/>
        <w:jc w:val="center"/>
        <w:rPr>
          <w:b/>
          <w:lang w:val="uk-UA"/>
        </w:rPr>
      </w:pPr>
      <w:r w:rsidRPr="00CA0AC7">
        <w:rPr>
          <w:b/>
          <w:lang w:val="uk-UA"/>
        </w:rPr>
        <w:lastRenderedPageBreak/>
        <w:t>Окремі показники економічного і соціального  розвитку районів  області в 2012-2013 роках</w:t>
      </w:r>
    </w:p>
    <w:tbl>
      <w:tblPr>
        <w:tblW w:w="15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1"/>
        <w:gridCol w:w="973"/>
        <w:gridCol w:w="973"/>
        <w:gridCol w:w="1498"/>
        <w:gridCol w:w="1533"/>
        <w:gridCol w:w="1127"/>
        <w:gridCol w:w="996"/>
        <w:gridCol w:w="996"/>
        <w:gridCol w:w="969"/>
        <w:gridCol w:w="1076"/>
        <w:gridCol w:w="1080"/>
        <w:gridCol w:w="1298"/>
        <w:gridCol w:w="482"/>
      </w:tblGrid>
      <w:tr w:rsidR="001D327B" w:rsidRPr="00CA0AC7" w:rsidTr="001D327B">
        <w:trPr>
          <w:jc w:val="center"/>
        </w:trPr>
        <w:tc>
          <w:tcPr>
            <w:tcW w:w="2261" w:type="dxa"/>
            <w:vMerge w:val="restart"/>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Адміністративно-територіальні одиниці</w:t>
            </w:r>
          </w:p>
        </w:tc>
        <w:tc>
          <w:tcPr>
            <w:tcW w:w="1946"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Середньорічна чисельність наявного населення,</w:t>
            </w:r>
          </w:p>
          <w:p w:rsidR="001D327B" w:rsidRPr="00CA0AC7" w:rsidRDefault="001D327B" w:rsidP="00CC234E">
            <w:pPr>
              <w:keepNext/>
              <w:widowControl w:val="0"/>
              <w:jc w:val="center"/>
              <w:rPr>
                <w:sz w:val="22"/>
                <w:szCs w:val="22"/>
                <w:lang w:val="uk-UA"/>
              </w:rPr>
            </w:pPr>
            <w:r w:rsidRPr="00CA0AC7">
              <w:rPr>
                <w:sz w:val="22"/>
                <w:szCs w:val="22"/>
                <w:lang w:val="uk-UA"/>
              </w:rPr>
              <w:t>тис. чол.</w:t>
            </w:r>
          </w:p>
        </w:tc>
        <w:tc>
          <w:tcPr>
            <w:tcW w:w="3031"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 xml:space="preserve">Темп зростання (зниження) виробництва валової продукції сільського господарства у порівняльних цінах </w:t>
            </w:r>
          </w:p>
          <w:p w:rsidR="001D327B" w:rsidRPr="00CA0AC7" w:rsidRDefault="001D327B" w:rsidP="00CC234E">
            <w:pPr>
              <w:keepNext/>
              <w:widowControl w:val="0"/>
              <w:jc w:val="center"/>
              <w:rPr>
                <w:sz w:val="22"/>
                <w:szCs w:val="22"/>
                <w:lang w:val="uk-UA"/>
              </w:rPr>
            </w:pPr>
            <w:r w:rsidRPr="00CA0AC7">
              <w:rPr>
                <w:sz w:val="22"/>
                <w:szCs w:val="22"/>
                <w:lang w:val="uk-UA"/>
              </w:rPr>
              <w:t>2010 року (у % до попереднього року)</w:t>
            </w: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Обсяг капітальних інвестицій за рахунок усіх джерел фінансування на одну особу, грн.</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Розмір  середньомісячної заробітної плати, грн.</w:t>
            </w:r>
          </w:p>
        </w:tc>
        <w:tc>
          <w:tcPr>
            <w:tcW w:w="2156"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Створення нових робочих місць, од.</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Місце у зведеному рейтингу за рівнем соціально-економічного розвитку</w:t>
            </w:r>
          </w:p>
        </w:tc>
      </w:tr>
      <w:tr w:rsidR="001D327B" w:rsidRPr="00CA0AC7" w:rsidTr="00CC234E">
        <w:trPr>
          <w:jc w:val="center"/>
        </w:trPr>
        <w:tc>
          <w:tcPr>
            <w:tcW w:w="2261" w:type="dxa"/>
            <w:vMerge/>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sz w:val="22"/>
                <w:szCs w:val="22"/>
                <w:lang w:val="uk-UA"/>
              </w:rPr>
            </w:pPr>
          </w:p>
        </w:tc>
        <w:tc>
          <w:tcPr>
            <w:tcW w:w="97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color w:val="FF0000"/>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97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498"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53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12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969"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07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080"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780" w:type="dxa"/>
            <w:gridSpan w:val="2"/>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sz w:val="22"/>
                <w:szCs w:val="22"/>
                <w:lang w:val="uk-UA"/>
              </w:rPr>
            </w:pPr>
            <w:r w:rsidRPr="00CA0AC7">
              <w:rPr>
                <w:sz w:val="22"/>
                <w:szCs w:val="22"/>
                <w:lang w:val="uk-UA"/>
              </w:rPr>
              <w:t>9 міс. 2012 р.</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Амвросіївський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45,8</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45,4</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77,1</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115,4</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1086,4</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2417,4</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2325,0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2512,0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870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11</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Артемівський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45,2</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44,8</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90,6</w:t>
            </w:r>
          </w:p>
        </w:tc>
        <w:tc>
          <w:tcPr>
            <w:tcW w:w="1533" w:type="dxa"/>
            <w:tcBorders>
              <w:top w:val="single" w:sz="4" w:space="0" w:color="auto"/>
              <w:left w:val="single" w:sz="4" w:space="0" w:color="auto"/>
              <w:bottom w:val="single" w:sz="4" w:space="0" w:color="auto"/>
              <w:right w:val="single" w:sz="4" w:space="0" w:color="auto"/>
            </w:tcBorders>
            <w:shd w:val="clear" w:color="auto" w:fill="CCFFFF"/>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86,4</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885,0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1160,8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2265,0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2465,0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13</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pacing w:val="-8"/>
                <w:sz w:val="22"/>
                <w:szCs w:val="22"/>
                <w:lang w:val="uk-UA"/>
              </w:rPr>
            </w:pPr>
            <w:r w:rsidRPr="00CA0AC7">
              <w:rPr>
                <w:spacing w:val="-8"/>
                <w:sz w:val="22"/>
                <w:szCs w:val="22"/>
                <w:lang w:val="uk-UA"/>
              </w:rPr>
              <w:t>Великоновосілківський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41,8</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41,8</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78,3</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112,2</w:t>
            </w:r>
          </w:p>
        </w:tc>
        <w:tc>
          <w:tcPr>
            <w:tcW w:w="1127"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239,0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787,3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2045,0</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1D327B" w:rsidRPr="00CA0AC7" w:rsidRDefault="001D327B" w:rsidP="00CC234E">
            <w:pPr>
              <w:keepNext/>
              <w:widowControl w:val="0"/>
              <w:jc w:val="right"/>
              <w:rPr>
                <w:sz w:val="22"/>
                <w:szCs w:val="22"/>
                <w:lang w:val="uk-UA"/>
              </w:rPr>
            </w:pPr>
            <w:r w:rsidRPr="00CA0AC7">
              <w:rPr>
                <w:sz w:val="22"/>
                <w:szCs w:val="22"/>
                <w:lang w:val="uk-UA"/>
              </w:rPr>
              <w:t>2265,0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695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12</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Волноваський</w:t>
            </w:r>
          </w:p>
        </w:tc>
        <w:tc>
          <w:tcPr>
            <w:tcW w:w="973"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jc w:val="right"/>
              <w:rPr>
                <w:b/>
                <w:i/>
                <w:sz w:val="22"/>
                <w:szCs w:val="22"/>
              </w:rPr>
            </w:pPr>
            <w:r w:rsidRPr="00CA0AC7">
              <w:rPr>
                <w:b/>
                <w:i/>
                <w:sz w:val="22"/>
                <w:szCs w:val="22"/>
                <w:lang w:val="uk-UA"/>
              </w:rPr>
              <w:t>84,5</w:t>
            </w:r>
          </w:p>
        </w:tc>
        <w:tc>
          <w:tcPr>
            <w:tcW w:w="973"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jc w:val="right"/>
              <w:rPr>
                <w:b/>
                <w:i/>
                <w:sz w:val="22"/>
                <w:szCs w:val="22"/>
              </w:rPr>
            </w:pPr>
            <w:r w:rsidRPr="00CA0AC7">
              <w:rPr>
                <w:b/>
                <w:i/>
                <w:sz w:val="22"/>
                <w:szCs w:val="22"/>
                <w:lang w:val="uk-UA"/>
              </w:rPr>
              <w:t>84,5</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86,9</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102,4</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421,8</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426,0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2717,0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2956,0</w:t>
            </w:r>
          </w:p>
        </w:tc>
        <w:tc>
          <w:tcPr>
            <w:tcW w:w="107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1058</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870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2</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Володарський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29,4</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29,3</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80,9</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92,5</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962,0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3298,9</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2041,4</w:t>
            </w:r>
          </w:p>
        </w:tc>
        <w:tc>
          <w:tcPr>
            <w:tcW w:w="969"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2203,0</w:t>
            </w:r>
          </w:p>
        </w:tc>
        <w:tc>
          <w:tcPr>
            <w:tcW w:w="107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3</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Добропільський</w:t>
            </w:r>
          </w:p>
        </w:tc>
        <w:tc>
          <w:tcPr>
            <w:tcW w:w="973"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jc w:val="right"/>
              <w:rPr>
                <w:b/>
                <w:bCs/>
                <w:i/>
                <w:iCs/>
                <w:sz w:val="22"/>
                <w:szCs w:val="22"/>
              </w:rPr>
            </w:pPr>
            <w:r w:rsidRPr="00CA0AC7">
              <w:rPr>
                <w:b/>
                <w:bCs/>
                <w:i/>
                <w:iCs/>
                <w:sz w:val="22"/>
                <w:szCs w:val="22"/>
                <w:lang w:val="uk-UA"/>
              </w:rPr>
              <w:t>16,9</w:t>
            </w:r>
          </w:p>
        </w:tc>
        <w:tc>
          <w:tcPr>
            <w:tcW w:w="973"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jc w:val="right"/>
              <w:rPr>
                <w:b/>
                <w:bCs/>
                <w:i/>
                <w:iCs/>
                <w:sz w:val="22"/>
                <w:szCs w:val="22"/>
              </w:rPr>
            </w:pPr>
            <w:r w:rsidRPr="00CA0AC7">
              <w:rPr>
                <w:b/>
                <w:bCs/>
                <w:i/>
                <w:iCs/>
                <w:sz w:val="22"/>
                <w:szCs w:val="22"/>
                <w:lang w:val="uk-UA"/>
              </w:rPr>
              <w:t>16,9</w:t>
            </w:r>
          </w:p>
        </w:tc>
        <w:tc>
          <w:tcPr>
            <w:tcW w:w="1498" w:type="dxa"/>
            <w:tcBorders>
              <w:top w:val="single" w:sz="4" w:space="0" w:color="auto"/>
              <w:left w:val="single" w:sz="4" w:space="0" w:color="auto"/>
              <w:bottom w:val="single" w:sz="4" w:space="0" w:color="auto"/>
              <w:right w:val="single" w:sz="4" w:space="0" w:color="auto"/>
            </w:tcBorders>
            <w:shd w:val="clear" w:color="auto" w:fill="CCFFFF"/>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67,8</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104,7</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2210,0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2122,0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2776,3</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3193,0</w:t>
            </w:r>
          </w:p>
        </w:tc>
        <w:tc>
          <w:tcPr>
            <w:tcW w:w="107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200</w:t>
            </w:r>
          </w:p>
        </w:tc>
        <w:tc>
          <w:tcPr>
            <w:tcW w:w="1080"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160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15</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Костянтинівський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19,3</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19,3</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90,3</w:t>
            </w:r>
          </w:p>
        </w:tc>
        <w:tc>
          <w:tcPr>
            <w:tcW w:w="1533"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145,3</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2336,8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3251,7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2390,0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2450,0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5</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Красноармійський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32,2</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32,2</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106,3</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107,0</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326,0</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1D327B" w:rsidRPr="00CA0AC7" w:rsidRDefault="001D327B" w:rsidP="00CC234E">
            <w:pPr>
              <w:keepNext/>
              <w:widowControl w:val="0"/>
              <w:jc w:val="right"/>
              <w:rPr>
                <w:sz w:val="22"/>
                <w:szCs w:val="22"/>
                <w:lang w:val="uk-UA"/>
              </w:rPr>
            </w:pPr>
            <w:r w:rsidRPr="00CA0AC7">
              <w:rPr>
                <w:sz w:val="22"/>
                <w:szCs w:val="22"/>
                <w:lang w:val="uk-UA"/>
              </w:rPr>
              <w:t>612,4</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3263,0</w:t>
            </w:r>
          </w:p>
        </w:tc>
        <w:tc>
          <w:tcPr>
            <w:tcW w:w="969"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sz w:val="22"/>
                <w:szCs w:val="22"/>
                <w:lang w:val="uk-UA"/>
              </w:rPr>
            </w:pPr>
            <w:r w:rsidRPr="00CA0AC7">
              <w:rPr>
                <w:sz w:val="22"/>
                <w:szCs w:val="22"/>
                <w:lang w:val="uk-UA"/>
              </w:rPr>
              <w:t>3524,0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750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16</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 xml:space="preserve">Мар’їнський </w:t>
            </w:r>
          </w:p>
        </w:tc>
        <w:tc>
          <w:tcPr>
            <w:tcW w:w="973"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jc w:val="right"/>
              <w:rPr>
                <w:b/>
                <w:i/>
                <w:sz w:val="22"/>
                <w:szCs w:val="22"/>
              </w:rPr>
            </w:pPr>
            <w:r w:rsidRPr="00CA0AC7">
              <w:rPr>
                <w:b/>
                <w:i/>
                <w:sz w:val="22"/>
                <w:szCs w:val="22"/>
                <w:lang w:val="uk-UA"/>
              </w:rPr>
              <w:t>84,5</w:t>
            </w:r>
          </w:p>
        </w:tc>
        <w:tc>
          <w:tcPr>
            <w:tcW w:w="973"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jc w:val="right"/>
              <w:rPr>
                <w:b/>
                <w:i/>
                <w:sz w:val="22"/>
                <w:szCs w:val="22"/>
              </w:rPr>
            </w:pPr>
            <w:r w:rsidRPr="00CA0AC7">
              <w:rPr>
                <w:b/>
                <w:i/>
                <w:sz w:val="22"/>
                <w:szCs w:val="22"/>
                <w:lang w:val="uk-UA"/>
              </w:rPr>
              <w:t>84,5</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90,3</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101,0</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414,2</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1448,7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2863,2</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3108,6</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1050</w:t>
            </w:r>
          </w:p>
        </w:tc>
        <w:tc>
          <w:tcPr>
            <w:tcW w:w="1080"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920</w:t>
            </w:r>
          </w:p>
        </w:tc>
        <w:tc>
          <w:tcPr>
            <w:tcW w:w="178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D327B" w:rsidRPr="00CA0AC7" w:rsidRDefault="001D327B" w:rsidP="00CC234E">
            <w:pPr>
              <w:keepNext/>
              <w:widowControl w:val="0"/>
              <w:spacing w:line="206" w:lineRule="auto"/>
              <w:jc w:val="right"/>
              <w:rPr>
                <w:b/>
                <w:bCs/>
                <w:i/>
                <w:sz w:val="22"/>
                <w:szCs w:val="22"/>
              </w:rPr>
            </w:pPr>
            <w:r w:rsidRPr="00CA0AC7">
              <w:rPr>
                <w:b/>
                <w:bCs/>
                <w:i/>
                <w:sz w:val="22"/>
                <w:szCs w:val="22"/>
              </w:rPr>
              <w:t>1</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Новоазовський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35,7</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35,5</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76,8</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115,2</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3939,9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1063,4</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2441,0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2685,0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8</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Олександрівський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19,7</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19,6</w:t>
            </w:r>
          </w:p>
        </w:tc>
        <w:tc>
          <w:tcPr>
            <w:tcW w:w="149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85,7</w:t>
            </w:r>
          </w:p>
        </w:tc>
        <w:tc>
          <w:tcPr>
            <w:tcW w:w="153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116,8</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887,6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3075,2</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2220,0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2331,0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410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410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14</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Першотравневий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27,3</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27,2</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69,7</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107,1</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2381,0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2573,5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2335,0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2700,0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7</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 xml:space="preserve">Слов’янський </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34,3</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34,3</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90,3</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108,3</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2142,0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1948,5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2127,0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2429,0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463</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6</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Старобешівський</w:t>
            </w:r>
          </w:p>
        </w:tc>
        <w:tc>
          <w:tcPr>
            <w:tcW w:w="973" w:type="dxa"/>
            <w:tcBorders>
              <w:top w:val="single" w:sz="4" w:space="0" w:color="auto"/>
              <w:left w:val="single" w:sz="4" w:space="0" w:color="auto"/>
              <w:bottom w:val="single" w:sz="4" w:space="0" w:color="auto"/>
              <w:right w:val="single" w:sz="4" w:space="0" w:color="auto"/>
            </w:tcBorders>
            <w:shd w:val="clear" w:color="auto" w:fill="auto"/>
          </w:tcPr>
          <w:p w:rsidR="001D327B" w:rsidRPr="00CA0AC7" w:rsidRDefault="001D327B" w:rsidP="00CC234E">
            <w:pPr>
              <w:jc w:val="right"/>
              <w:rPr>
                <w:bCs/>
                <w:iCs/>
                <w:sz w:val="22"/>
                <w:szCs w:val="22"/>
              </w:rPr>
            </w:pPr>
            <w:r w:rsidRPr="00CA0AC7">
              <w:rPr>
                <w:bCs/>
                <w:iCs/>
                <w:sz w:val="22"/>
                <w:szCs w:val="22"/>
                <w:lang w:val="uk-UA"/>
              </w:rPr>
              <w:t>50,9</w:t>
            </w:r>
          </w:p>
        </w:tc>
        <w:tc>
          <w:tcPr>
            <w:tcW w:w="973" w:type="dxa"/>
            <w:tcBorders>
              <w:top w:val="single" w:sz="4" w:space="0" w:color="auto"/>
              <w:left w:val="single" w:sz="4" w:space="0" w:color="auto"/>
              <w:bottom w:val="single" w:sz="4" w:space="0" w:color="auto"/>
              <w:right w:val="single" w:sz="4" w:space="0" w:color="auto"/>
            </w:tcBorders>
            <w:shd w:val="clear" w:color="auto" w:fill="auto"/>
          </w:tcPr>
          <w:p w:rsidR="001D327B" w:rsidRPr="00CA0AC7" w:rsidRDefault="001D327B" w:rsidP="00CC234E">
            <w:pPr>
              <w:jc w:val="right"/>
              <w:rPr>
                <w:bCs/>
                <w:iCs/>
                <w:sz w:val="22"/>
                <w:szCs w:val="22"/>
              </w:rPr>
            </w:pPr>
            <w:r w:rsidRPr="00CA0AC7">
              <w:rPr>
                <w:bCs/>
                <w:iCs/>
                <w:sz w:val="22"/>
                <w:szCs w:val="22"/>
                <w:lang w:val="uk-UA"/>
              </w:rPr>
              <w:t>50,6</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75,9</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103,3</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5500,0</w:t>
            </w:r>
          </w:p>
        </w:tc>
        <w:tc>
          <w:tcPr>
            <w:tcW w:w="99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11488,0</w:t>
            </w:r>
          </w:p>
        </w:tc>
        <w:tc>
          <w:tcPr>
            <w:tcW w:w="99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3302,0</w:t>
            </w:r>
          </w:p>
        </w:tc>
        <w:tc>
          <w:tcPr>
            <w:tcW w:w="969"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3562,0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1056</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420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10</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Тельманівський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29,8</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29,7</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85,6</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103,7</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856,6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1370,8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2317,0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2500,0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570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570</w:t>
            </w:r>
          </w:p>
        </w:tc>
        <w:tc>
          <w:tcPr>
            <w:tcW w:w="178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1D327B" w:rsidRPr="00CA0AC7" w:rsidRDefault="001D327B" w:rsidP="00CC234E">
            <w:pPr>
              <w:keepNext/>
              <w:widowControl w:val="0"/>
              <w:spacing w:line="206" w:lineRule="auto"/>
              <w:jc w:val="right"/>
              <w:rPr>
                <w:b/>
                <w:bCs/>
                <w:i/>
                <w:sz w:val="22"/>
                <w:szCs w:val="22"/>
              </w:rPr>
            </w:pPr>
            <w:r w:rsidRPr="00CA0AC7">
              <w:rPr>
                <w:b/>
                <w:bCs/>
                <w:i/>
                <w:sz w:val="22"/>
                <w:szCs w:val="22"/>
              </w:rPr>
              <w:t>17</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Шахтарський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19,9</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19,9</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76,6</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125,8</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1582,9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1972,3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2811,0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3194,0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4</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Ясинуватський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27,9</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27,9</w:t>
            </w:r>
          </w:p>
        </w:tc>
        <w:tc>
          <w:tcPr>
            <w:tcW w:w="1498"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111,6</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105,0</w:t>
            </w:r>
          </w:p>
        </w:tc>
        <w:tc>
          <w:tcPr>
            <w:tcW w:w="1127"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16421,0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9911,0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2760,0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2850,0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660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9</w:t>
            </w:r>
          </w:p>
        </w:tc>
      </w:tr>
      <w:tr w:rsidR="001D327B" w:rsidRPr="00CC5085" w:rsidTr="00CC234E">
        <w:trPr>
          <w:gridAfter w:val="1"/>
          <w:wAfter w:w="482" w:type="dxa"/>
          <w:jc w:val="center"/>
        </w:trPr>
        <w:tc>
          <w:tcPr>
            <w:tcW w:w="14780" w:type="dxa"/>
            <w:gridSpan w:val="12"/>
            <w:tcBorders>
              <w:top w:val="nil"/>
              <w:left w:val="nil"/>
              <w:bottom w:val="nil"/>
              <w:right w:val="nil"/>
            </w:tcBorders>
            <w:vAlign w:val="center"/>
          </w:tcPr>
          <w:p w:rsidR="001D327B" w:rsidRPr="00CA0AC7" w:rsidRDefault="001D327B" w:rsidP="00CC234E">
            <w:pPr>
              <w:keepNext/>
              <w:widowControl w:val="0"/>
              <w:rPr>
                <w:i/>
                <w:sz w:val="20"/>
                <w:szCs w:val="20"/>
                <w:lang w:val="uk-UA"/>
              </w:rPr>
            </w:pPr>
            <w:r w:rsidRPr="00CA0AC7">
              <w:rPr>
                <w:i/>
                <w:sz w:val="20"/>
                <w:szCs w:val="20"/>
                <w:vertAlign w:val="superscript"/>
              </w:rPr>
              <w:t xml:space="preserve">1  </w:t>
            </w:r>
            <w:r w:rsidRPr="00CA0AC7">
              <w:rPr>
                <w:i/>
                <w:sz w:val="20"/>
                <w:szCs w:val="20"/>
                <w:lang w:val="uk-UA"/>
              </w:rPr>
              <w:t>– очікувані дані;</w:t>
            </w:r>
          </w:p>
          <w:p w:rsidR="001D327B" w:rsidRPr="00CC5085" w:rsidRDefault="001D327B" w:rsidP="00CC234E">
            <w:pPr>
              <w:keepNext/>
              <w:widowControl w:val="0"/>
              <w:rPr>
                <w:i/>
                <w:sz w:val="20"/>
                <w:szCs w:val="20"/>
                <w:lang w:val="uk-UA"/>
              </w:rPr>
            </w:pPr>
            <w:r w:rsidRPr="00CA0AC7">
              <w:rPr>
                <w:i/>
                <w:sz w:val="20"/>
                <w:szCs w:val="20"/>
                <w:vertAlign w:val="superscript"/>
                <w:lang w:val="uk-UA"/>
              </w:rPr>
              <w:t xml:space="preserve">2 </w:t>
            </w:r>
            <w:r w:rsidRPr="00CA0AC7">
              <w:rPr>
                <w:i/>
                <w:sz w:val="20"/>
                <w:szCs w:val="20"/>
                <w:lang w:val="uk-UA"/>
              </w:rPr>
              <w:t>– прогноз за даними районів</w:t>
            </w:r>
          </w:p>
        </w:tc>
      </w:tr>
    </w:tbl>
    <w:p w:rsidR="00333AE0" w:rsidRPr="00F7290F" w:rsidRDefault="00333AE0" w:rsidP="00D65D2E">
      <w:pPr>
        <w:keepNext/>
        <w:widowControl w:val="0"/>
        <w:ind w:hanging="567"/>
        <w:rPr>
          <w:i/>
          <w:color w:val="FF0000"/>
          <w:sz w:val="20"/>
          <w:szCs w:val="20"/>
          <w:lang w:val="uk-UA"/>
        </w:rPr>
        <w:sectPr w:rsidR="00333AE0" w:rsidRPr="00F7290F" w:rsidSect="00333AE0">
          <w:pgSz w:w="16838" w:h="11906" w:orient="landscape"/>
          <w:pgMar w:top="1418" w:right="1134" w:bottom="567" w:left="1134" w:header="709" w:footer="709" w:gutter="0"/>
          <w:cols w:space="708"/>
          <w:docGrid w:linePitch="360"/>
        </w:sectPr>
      </w:pPr>
    </w:p>
    <w:p w:rsidR="00EB09F0" w:rsidRPr="00F7290F" w:rsidRDefault="00EB09F0" w:rsidP="00EB09F0">
      <w:pPr>
        <w:keepNext/>
        <w:widowControl w:val="0"/>
        <w:tabs>
          <w:tab w:val="left" w:pos="652"/>
          <w:tab w:val="left" w:pos="8188"/>
        </w:tabs>
        <w:spacing w:after="120"/>
        <w:jc w:val="center"/>
        <w:rPr>
          <w:b/>
          <w:lang w:val="uk-UA"/>
        </w:rPr>
      </w:pPr>
      <w:r w:rsidRPr="00F7290F">
        <w:rPr>
          <w:b/>
          <w:lang w:val="uk-UA"/>
        </w:rPr>
        <w:lastRenderedPageBreak/>
        <w:t>7.2. Впровадження заходів територіального планування</w:t>
      </w:r>
    </w:p>
    <w:p w:rsidR="00EB09F0" w:rsidRPr="00F7290F" w:rsidRDefault="00EB09F0" w:rsidP="00EB09F0">
      <w:pPr>
        <w:pStyle w:val="23"/>
        <w:keepNext/>
        <w:widowControl w:val="0"/>
        <w:tabs>
          <w:tab w:val="num" w:pos="720"/>
          <w:tab w:val="num" w:pos="1611"/>
        </w:tabs>
        <w:spacing w:after="0"/>
        <w:rPr>
          <w:b/>
          <w:snapToGrid w:val="0"/>
        </w:rPr>
      </w:pPr>
      <w:r w:rsidRPr="00F7290F">
        <w:rPr>
          <w:b/>
          <w:snapToGrid w:val="0"/>
        </w:rPr>
        <w:t>Актуальні проблеми:</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застаріла містобудівна документація, термін реалізації якої вичерпаний і яка потребує оновлення;</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відсутність розділів містобудівної документації, передбаченої прийнятими у             2011-2012 роках законодавчими та нормативними актами у сфері містобудівної діяльності;</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відсутність містобудівного кадастру регіонального рівня;</w:t>
      </w:r>
    </w:p>
    <w:p w:rsidR="00EB09F0" w:rsidRPr="00F7290F" w:rsidRDefault="00EB09F0" w:rsidP="00EB09F0">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sidRPr="00F7290F">
        <w:rPr>
          <w:bCs/>
          <w:lang w:val="uk-UA"/>
        </w:rPr>
        <w:t>низький рівень інформаційного</w:t>
      </w:r>
      <w:r w:rsidRPr="00F7290F">
        <w:rPr>
          <w:lang w:val="uk-UA"/>
        </w:rPr>
        <w:t xml:space="preserve"> забезпечення суб’єктів містобудівної діяльності.</w:t>
      </w:r>
    </w:p>
    <w:p w:rsidR="00EB09F0" w:rsidRPr="00F7290F" w:rsidRDefault="00EB09F0" w:rsidP="00EB09F0">
      <w:pPr>
        <w:pStyle w:val="23"/>
        <w:keepNext/>
        <w:widowControl w:val="0"/>
        <w:tabs>
          <w:tab w:val="num" w:pos="720"/>
          <w:tab w:val="num" w:pos="1611"/>
        </w:tabs>
        <w:rPr>
          <w:snapToGrid w:val="0"/>
        </w:rPr>
      </w:pPr>
      <w:r w:rsidRPr="00F7290F">
        <w:rPr>
          <w:b/>
          <w:snapToGrid w:val="0"/>
        </w:rPr>
        <w:t xml:space="preserve">Головна мета </w:t>
      </w:r>
      <w:r w:rsidRPr="00F7290F">
        <w:rPr>
          <w:snapToGrid w:val="0"/>
        </w:rPr>
        <w:t>– забезпечення територій регіону містобудівною документацією відповідно до чинного законодавства,  р</w:t>
      </w:r>
      <w:r w:rsidRPr="00F7290F">
        <w:t>еалізація першого етапу створення містобудівного кадастру регіонального рівня.</w:t>
      </w:r>
    </w:p>
    <w:p w:rsidR="00EB09F0" w:rsidRPr="00F7290F" w:rsidRDefault="00EB09F0" w:rsidP="00EB09F0">
      <w:pPr>
        <w:keepNext/>
        <w:widowControl w:val="0"/>
        <w:ind w:firstLine="720"/>
        <w:jc w:val="both"/>
        <w:rPr>
          <w:b/>
          <w:caps/>
          <w:snapToGrid w:val="0"/>
          <w:lang w:val="uk-UA"/>
        </w:rPr>
      </w:pPr>
      <w:r w:rsidRPr="00F7290F">
        <w:rPr>
          <w:b/>
          <w:snapToGrid w:val="0"/>
          <w:lang w:val="uk-UA"/>
        </w:rPr>
        <w:t>Основні завдання на 2013 рік:</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розробка схем планування територій районів;</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розробка генеральних планів населених пунктів, іншої містобудівної документації місцевого рівня;</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розробка техніко-економічного обґрунтування створення регіональної геоінформаційної системи містобудівного кадастру;</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придбання та встановлення програмно-технічного комплексу геоінформаційної системи та геопорталу містобудівного кадастру;</w:t>
      </w:r>
    </w:p>
    <w:p w:rsidR="00EB09F0" w:rsidRPr="00F7290F" w:rsidRDefault="00EB09F0" w:rsidP="00EB09F0">
      <w:pPr>
        <w:keepNext/>
        <w:widowControl w:val="0"/>
        <w:numPr>
          <w:ilvl w:val="0"/>
          <w:numId w:val="9"/>
        </w:numPr>
        <w:tabs>
          <w:tab w:val="num" w:pos="0"/>
          <w:tab w:val="num" w:pos="720"/>
          <w:tab w:val="num" w:pos="900"/>
          <w:tab w:val="num" w:pos="1080"/>
          <w:tab w:val="num" w:pos="1260"/>
        </w:tabs>
        <w:spacing w:after="120"/>
        <w:ind w:left="0" w:firstLine="720"/>
        <w:jc w:val="both"/>
        <w:rPr>
          <w:b/>
          <w:snapToGrid w:val="0"/>
          <w:lang w:val="uk-UA"/>
        </w:rPr>
      </w:pPr>
      <w:r w:rsidRPr="00F7290F">
        <w:rPr>
          <w:bCs/>
          <w:lang w:val="uk-UA"/>
        </w:rPr>
        <w:t>створення єдиної</w:t>
      </w:r>
      <w:r w:rsidRPr="00F7290F">
        <w:rPr>
          <w:lang w:val="uk-UA"/>
        </w:rPr>
        <w:t xml:space="preserve"> цифрової топографічної основи території області на основі існуючих топографічних карт.</w:t>
      </w:r>
    </w:p>
    <w:p w:rsidR="00EB09F0" w:rsidRPr="00F7290F" w:rsidRDefault="00EB09F0" w:rsidP="00EB09F0">
      <w:pPr>
        <w:keepNext/>
        <w:widowControl w:val="0"/>
        <w:ind w:firstLine="720"/>
        <w:jc w:val="both"/>
        <w:rPr>
          <w:b/>
          <w:caps/>
          <w:snapToGrid w:val="0"/>
          <w:lang w:val="uk-UA"/>
        </w:rPr>
      </w:pPr>
      <w:r w:rsidRPr="00F7290F">
        <w:rPr>
          <w:b/>
          <w:snapToGrid w:val="0"/>
          <w:lang w:val="uk-UA"/>
        </w:rPr>
        <w:t>Критерії досягнення:</w:t>
      </w:r>
    </w:p>
    <w:p w:rsidR="00EB09F0" w:rsidRPr="00F7290F" w:rsidRDefault="00EB09F0" w:rsidP="00EB09F0">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F7290F">
        <w:rPr>
          <w:bCs/>
          <w:lang w:val="uk-UA"/>
        </w:rPr>
        <w:t>моніторинг реалізації Схеми планування території Донецької області;</w:t>
      </w:r>
    </w:p>
    <w:p w:rsidR="00EB09F0" w:rsidRPr="00F7290F" w:rsidRDefault="00EB09F0" w:rsidP="00EB09F0">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F7290F">
        <w:rPr>
          <w:bCs/>
          <w:lang w:val="uk-UA"/>
        </w:rPr>
        <w:t>забезпеченість територій відповідною містобудівною документацією, на підставі якої надаються вихідні дані на забудову конкретних земельних ділянок;</w:t>
      </w:r>
    </w:p>
    <w:p w:rsidR="00EB09F0" w:rsidRPr="00F7290F" w:rsidRDefault="00EB09F0" w:rsidP="00EB09F0">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F7290F">
        <w:rPr>
          <w:bCs/>
          <w:lang w:val="uk-UA"/>
        </w:rPr>
        <w:t>визначення на основі розрахунків компонентів та структури регіональної геоінформаційної системи, необхідного технічного, кадрового та матеріального забезпечення Служб містобудівного кадастру;</w:t>
      </w:r>
    </w:p>
    <w:p w:rsidR="00EB09F0" w:rsidRPr="00F7290F" w:rsidRDefault="00EB09F0" w:rsidP="00EB09F0">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F7290F">
        <w:rPr>
          <w:bCs/>
          <w:lang w:val="uk-UA"/>
        </w:rPr>
        <w:t>забезпеченість обласної Служби містобудівного кадастру технічними засобами та програмними продуктами для організації ведення містобудівного кадастру;</w:t>
      </w:r>
    </w:p>
    <w:p w:rsidR="00EB09F0" w:rsidRPr="00F7290F" w:rsidRDefault="00EB09F0" w:rsidP="00EB09F0">
      <w:pPr>
        <w:keepNext/>
        <w:widowControl w:val="0"/>
        <w:numPr>
          <w:ilvl w:val="0"/>
          <w:numId w:val="9"/>
        </w:numPr>
        <w:tabs>
          <w:tab w:val="num" w:pos="0"/>
          <w:tab w:val="num" w:pos="720"/>
          <w:tab w:val="num" w:pos="900"/>
          <w:tab w:val="num" w:pos="1080"/>
          <w:tab w:val="num" w:pos="1260"/>
          <w:tab w:val="num" w:pos="2160"/>
        </w:tabs>
        <w:spacing w:after="120"/>
        <w:ind w:left="0" w:firstLine="720"/>
        <w:jc w:val="both"/>
        <w:rPr>
          <w:b/>
          <w:lang w:val="uk-UA"/>
        </w:rPr>
      </w:pPr>
      <w:r w:rsidRPr="00F7290F">
        <w:rPr>
          <w:bCs/>
          <w:lang w:val="uk-UA"/>
        </w:rPr>
        <w:t>одержання сучасних топографо-геодезичних матеріалів на територію області, які  відповідають вимогам і</w:t>
      </w:r>
      <w:r w:rsidRPr="00F7290F">
        <w:rPr>
          <w:lang w:val="uk-UA"/>
        </w:rPr>
        <w:t xml:space="preserve"> умовам ведення містобудівного кадастру обласного рівня та будуть використовуватись для розроблення схем планування територій районів.</w:t>
      </w:r>
    </w:p>
    <w:p w:rsidR="000B1EFD" w:rsidRPr="003C76DA" w:rsidRDefault="000B1EFD" w:rsidP="00D65D2E">
      <w:pPr>
        <w:keepNext/>
        <w:widowControl w:val="0"/>
        <w:ind w:firstLine="720"/>
        <w:jc w:val="both"/>
        <w:rPr>
          <w:b/>
          <w:caps/>
          <w:snapToGrid w:val="0"/>
          <w:color w:val="000000" w:themeColor="text1"/>
          <w:lang w:val="uk-UA"/>
        </w:rPr>
      </w:pPr>
      <w:r w:rsidRPr="003C76DA">
        <w:rPr>
          <w:b/>
          <w:color w:val="000000" w:themeColor="text1"/>
          <w:lang w:val="uk-UA"/>
        </w:rPr>
        <w:t>Ресурсне забезпечення</w:t>
      </w:r>
    </w:p>
    <w:p w:rsidR="000B1EFD" w:rsidRDefault="000B1EFD" w:rsidP="00D65D2E">
      <w:pPr>
        <w:keepNext/>
        <w:widowControl w:val="0"/>
        <w:spacing w:after="60"/>
        <w:ind w:firstLine="709"/>
        <w:jc w:val="both"/>
        <w:rPr>
          <w:color w:val="000000" w:themeColor="text1"/>
          <w:lang w:val="uk-UA"/>
        </w:rPr>
      </w:pPr>
      <w:r w:rsidRPr="003C76DA">
        <w:rPr>
          <w:color w:val="000000" w:themeColor="text1"/>
          <w:lang w:val="uk-UA"/>
        </w:rPr>
        <w:t xml:space="preserve">На фінансування зазначених заходів всього передбачено </w:t>
      </w:r>
      <w:r w:rsidR="003C76DA" w:rsidRPr="003C76DA">
        <w:rPr>
          <w:color w:val="000000" w:themeColor="text1"/>
          <w:lang w:val="uk-UA"/>
        </w:rPr>
        <w:t>3</w:t>
      </w:r>
      <w:r w:rsidR="00E755F6">
        <w:rPr>
          <w:color w:val="000000" w:themeColor="text1"/>
          <w:lang w:val="uk-UA"/>
        </w:rPr>
        <w:t>1,9</w:t>
      </w:r>
      <w:r w:rsidR="003C76DA" w:rsidRPr="003C76DA">
        <w:rPr>
          <w:color w:val="000000" w:themeColor="text1"/>
          <w:lang w:val="uk-UA"/>
        </w:rPr>
        <w:t xml:space="preserve"> млн</w:t>
      </w:r>
      <w:r w:rsidRPr="003C76DA">
        <w:rPr>
          <w:color w:val="000000" w:themeColor="text1"/>
          <w:lang w:val="uk-UA"/>
        </w:rPr>
        <w:t xml:space="preserve">.грн., у тому числі за рахунок коштів державного бюджету – </w:t>
      </w:r>
      <w:r w:rsidR="003C76DA" w:rsidRPr="003C76DA">
        <w:rPr>
          <w:color w:val="000000" w:themeColor="text1"/>
          <w:lang w:val="uk-UA"/>
        </w:rPr>
        <w:t>1,0 млн.</w:t>
      </w:r>
      <w:r w:rsidRPr="003C76DA">
        <w:rPr>
          <w:color w:val="000000" w:themeColor="text1"/>
          <w:lang w:val="uk-UA"/>
        </w:rPr>
        <w:t xml:space="preserve">грн., обласного бюджету </w:t>
      </w:r>
      <w:r w:rsidR="003C76DA" w:rsidRPr="003C76DA">
        <w:rPr>
          <w:color w:val="000000" w:themeColor="text1"/>
          <w:lang w:val="uk-UA"/>
        </w:rPr>
        <w:t>– 0,</w:t>
      </w:r>
      <w:r w:rsidR="00E755F6">
        <w:rPr>
          <w:color w:val="000000" w:themeColor="text1"/>
          <w:lang w:val="uk-UA"/>
        </w:rPr>
        <w:t>5</w:t>
      </w:r>
      <w:r w:rsidR="003C76DA" w:rsidRPr="003C76DA">
        <w:rPr>
          <w:color w:val="000000" w:themeColor="text1"/>
          <w:lang w:val="uk-UA"/>
        </w:rPr>
        <w:t xml:space="preserve"> млн</w:t>
      </w:r>
      <w:r w:rsidRPr="003C76DA">
        <w:rPr>
          <w:color w:val="000000" w:themeColor="text1"/>
          <w:lang w:val="uk-UA"/>
        </w:rPr>
        <w:t>.грн., бюджетів міст і районів –</w:t>
      </w:r>
      <w:r w:rsidR="003C76DA" w:rsidRPr="003C76DA">
        <w:rPr>
          <w:color w:val="000000" w:themeColor="text1"/>
          <w:lang w:val="uk-UA"/>
        </w:rPr>
        <w:t xml:space="preserve"> 27,8 млн</w:t>
      </w:r>
      <w:r w:rsidRPr="003C76DA">
        <w:rPr>
          <w:color w:val="000000" w:themeColor="text1"/>
          <w:lang w:val="uk-UA"/>
        </w:rPr>
        <w:t>.грн, інших джерел – 2</w:t>
      </w:r>
      <w:r w:rsidR="003C76DA" w:rsidRPr="003C76DA">
        <w:rPr>
          <w:color w:val="000000" w:themeColor="text1"/>
          <w:lang w:val="uk-UA"/>
        </w:rPr>
        <w:t>,7 млн</w:t>
      </w:r>
      <w:r w:rsidRPr="003C76DA">
        <w:rPr>
          <w:color w:val="000000" w:themeColor="text1"/>
          <w:lang w:val="uk-UA"/>
        </w:rPr>
        <w:t xml:space="preserve">.грн. </w:t>
      </w:r>
    </w:p>
    <w:p w:rsidR="00577BBC" w:rsidRPr="00F7290F" w:rsidRDefault="007C6D11" w:rsidP="00D65D2E">
      <w:pPr>
        <w:keepNext/>
        <w:widowControl w:val="0"/>
        <w:tabs>
          <w:tab w:val="left" w:pos="959"/>
        </w:tabs>
        <w:spacing w:after="120"/>
        <w:ind w:left="108"/>
        <w:jc w:val="center"/>
        <w:rPr>
          <w:b/>
          <w:color w:val="000000" w:themeColor="text1"/>
          <w:lang w:val="uk-UA"/>
        </w:rPr>
      </w:pPr>
      <w:r w:rsidRPr="00F7290F">
        <w:rPr>
          <w:b/>
          <w:color w:val="000000" w:themeColor="text1"/>
          <w:lang w:val="uk-UA"/>
        </w:rPr>
        <w:t xml:space="preserve">8. </w:t>
      </w:r>
      <w:r w:rsidR="00577BBC" w:rsidRPr="00F7290F">
        <w:rPr>
          <w:b/>
          <w:color w:val="000000" w:themeColor="text1"/>
          <w:lang w:val="uk-UA"/>
        </w:rPr>
        <w:t>Організаційне забезпечення виконання Програми</w:t>
      </w:r>
    </w:p>
    <w:p w:rsidR="00577BBC" w:rsidRPr="00F7290F" w:rsidRDefault="00ED1F54" w:rsidP="00D65D2E">
      <w:pPr>
        <w:pStyle w:val="af9"/>
        <w:keepNext/>
        <w:widowControl w:val="0"/>
        <w:tabs>
          <w:tab w:val="left" w:pos="0"/>
        </w:tabs>
        <w:ind w:firstLine="709"/>
        <w:jc w:val="both"/>
        <w:rPr>
          <w:color w:val="000000" w:themeColor="text1"/>
          <w:lang w:val="uk-UA"/>
        </w:rPr>
      </w:pPr>
      <w:r w:rsidRPr="00F7290F">
        <w:rPr>
          <w:b/>
          <w:snapToGrid w:val="0"/>
          <w:color w:val="000000" w:themeColor="text1"/>
          <w:lang w:val="uk-UA"/>
        </w:rPr>
        <w:t>Головна мета -</w:t>
      </w:r>
      <w:r w:rsidR="00577BBC" w:rsidRPr="00F7290F">
        <w:rPr>
          <w:color w:val="000000" w:themeColor="text1"/>
          <w:lang w:val="uk-UA"/>
        </w:rPr>
        <w:t xml:space="preserve"> адаптація процесів управління в структурних підрозділах облдержадміністрації внаслідок проведення реорганізації, продовження роботи по взаємодії із місцевими органами виконавчої влади, органами місцевого самоврядування для забезпечення ефективного виконання завдань Президента України, Кабінету Міністрів України, Програми економічного і соціального розвитку Донецької області на 2013 рік, укріплення інституту державної служби, забезпечення високого професіоналізму управлінського процесу, комплектування органів виконавчої влади висококваліфікованими фахівцями, підбір та підготовка нової генерації кадрів для органів виконавчої влади області.</w:t>
      </w:r>
    </w:p>
    <w:p w:rsidR="00ED1F54" w:rsidRPr="00F7290F" w:rsidRDefault="00ED1F54" w:rsidP="00D65D2E">
      <w:pPr>
        <w:keepNext/>
        <w:widowControl w:val="0"/>
        <w:ind w:firstLine="720"/>
        <w:jc w:val="both"/>
        <w:rPr>
          <w:b/>
          <w:caps/>
          <w:snapToGrid w:val="0"/>
          <w:color w:val="000000" w:themeColor="text1"/>
          <w:lang w:val="uk-UA"/>
        </w:rPr>
      </w:pPr>
      <w:r w:rsidRPr="00F7290F">
        <w:rPr>
          <w:b/>
          <w:snapToGrid w:val="0"/>
          <w:color w:val="000000" w:themeColor="text1"/>
          <w:lang w:val="uk-UA"/>
        </w:rPr>
        <w:t>Основні завдання на 2013 рік:</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удосконалення структури облдержадміністрації та райдержадміністрацій;</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 xml:space="preserve">забезпечення ефективної взаємодії органів місцевої виконавчої влади і органів </w:t>
      </w:r>
      <w:r w:rsidRPr="00F7290F">
        <w:rPr>
          <w:bCs/>
          <w:color w:val="000000" w:themeColor="text1"/>
          <w:lang w:val="uk-UA"/>
        </w:rPr>
        <w:lastRenderedPageBreak/>
        <w:t>місцевого самоврядування; контролю за здійсненням органами місцевого самоврядування делегованих повноважень органів виконавчої влади;</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координації діяльності територіальних органів міністерств та інших центральних органів виконавчої влади;</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забезпечення інформування громадськості щодо діяльності облдержадміністрації через засоби масової інформації, офіційний веб-сайт облдержадміністрації, проведення відеоконференцій, брифінгів тощо;</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 xml:space="preserve">реалізації регіональної Програми з розвитку та управління персоналом в місцевих органах влади  на 2012-2015 роки; </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підвищення якості і конкурентоспроможності державних службовців;</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створення умов для залучення перспективної молоді на державну службу;</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управління мобільністю кадрів, планування кар’єри державних службовців;</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формування системи адміністративної культури, психологічного клімату в колективах державних органів;</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ефективного застосування нових інформаційних технологій;</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запровадження сучасної практики та технологій управління персоналом на основі підвищення професійного рівня державних службовців;</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snapToGrid w:val="0"/>
          <w:color w:val="000000" w:themeColor="text1"/>
          <w:lang w:val="uk-UA"/>
        </w:rPr>
      </w:pPr>
      <w:r w:rsidRPr="00F7290F">
        <w:rPr>
          <w:bCs/>
          <w:color w:val="000000" w:themeColor="text1"/>
          <w:lang w:val="uk-UA"/>
        </w:rPr>
        <w:t>створення матеріально</w:t>
      </w:r>
      <w:r w:rsidRPr="00F7290F">
        <w:rPr>
          <w:bCs/>
          <w:snapToGrid w:val="0"/>
          <w:color w:val="000000" w:themeColor="text1"/>
          <w:lang w:val="uk-UA"/>
        </w:rPr>
        <w:t>-технічних умов для ефективного функціонування державної служби.</w:t>
      </w:r>
    </w:p>
    <w:p w:rsidR="00ED1F54" w:rsidRPr="00F7290F" w:rsidRDefault="00ED1F54" w:rsidP="00D65D2E">
      <w:pPr>
        <w:keepNext/>
        <w:widowControl w:val="0"/>
        <w:spacing w:before="120"/>
        <w:ind w:firstLine="709"/>
        <w:jc w:val="both"/>
        <w:rPr>
          <w:b/>
          <w:caps/>
          <w:snapToGrid w:val="0"/>
          <w:color w:val="000000" w:themeColor="text1"/>
          <w:lang w:val="uk-UA"/>
        </w:rPr>
      </w:pPr>
      <w:r w:rsidRPr="00F7290F">
        <w:rPr>
          <w:b/>
          <w:color w:val="000000" w:themeColor="text1"/>
          <w:lang w:val="uk-UA"/>
        </w:rPr>
        <w:t>Ресурсне забезпечення</w:t>
      </w:r>
    </w:p>
    <w:p w:rsidR="00577BBC" w:rsidRPr="00F7290F" w:rsidRDefault="00577BBC" w:rsidP="00D65D2E">
      <w:pPr>
        <w:keepNext/>
        <w:widowControl w:val="0"/>
        <w:ind w:firstLine="709"/>
        <w:jc w:val="both"/>
        <w:rPr>
          <w:color w:val="000000" w:themeColor="text1"/>
          <w:spacing w:val="-2"/>
          <w:lang w:val="uk-UA" w:eastAsia="en-US"/>
        </w:rPr>
      </w:pPr>
      <w:r w:rsidRPr="00F7290F">
        <w:rPr>
          <w:color w:val="000000" w:themeColor="text1"/>
          <w:spacing w:val="2"/>
          <w:lang w:val="uk-UA" w:eastAsia="en-US"/>
        </w:rPr>
        <w:t xml:space="preserve">Фінансування заходів здійснюватиметься в межах видатків, передбачених в </w:t>
      </w:r>
      <w:r w:rsidRPr="00F7290F">
        <w:rPr>
          <w:color w:val="000000" w:themeColor="text1"/>
          <w:spacing w:val="-2"/>
          <w:lang w:val="uk-UA" w:eastAsia="en-US"/>
        </w:rPr>
        <w:t>обласному бюджеті на 2013 рік.</w:t>
      </w:r>
    </w:p>
    <w:p w:rsidR="002C340B" w:rsidRPr="00F7290F" w:rsidRDefault="002C340B" w:rsidP="00D65D2E">
      <w:pPr>
        <w:keepNext/>
        <w:widowControl w:val="0"/>
        <w:rPr>
          <w:b/>
          <w:color w:val="000000" w:themeColor="text1"/>
          <w:lang w:val="uk-UA"/>
        </w:rPr>
      </w:pPr>
    </w:p>
    <w:p w:rsidR="00577BBC" w:rsidRPr="00F7290F" w:rsidRDefault="00577BBC" w:rsidP="00D65D2E">
      <w:pPr>
        <w:pStyle w:val="23"/>
        <w:keepNext/>
        <w:widowControl w:val="0"/>
        <w:tabs>
          <w:tab w:val="num" w:pos="1083"/>
        </w:tabs>
        <w:spacing w:after="0"/>
        <w:ind w:firstLine="0"/>
        <w:jc w:val="center"/>
        <w:rPr>
          <w:b/>
          <w:color w:val="000000" w:themeColor="text1"/>
        </w:rPr>
      </w:pPr>
      <w:r w:rsidRPr="00F7290F">
        <w:rPr>
          <w:b/>
          <w:color w:val="000000" w:themeColor="text1"/>
        </w:rPr>
        <w:t>Схема</w:t>
      </w:r>
    </w:p>
    <w:p w:rsidR="00ED1F54" w:rsidRPr="00F7290F" w:rsidRDefault="00577BBC" w:rsidP="00D65D2E">
      <w:pPr>
        <w:pStyle w:val="23"/>
        <w:keepNext/>
        <w:widowControl w:val="0"/>
        <w:tabs>
          <w:tab w:val="num" w:pos="1083"/>
        </w:tabs>
        <w:spacing w:after="0"/>
        <w:ind w:firstLine="0"/>
        <w:jc w:val="center"/>
        <w:rPr>
          <w:b/>
          <w:color w:val="000000" w:themeColor="text1"/>
        </w:rPr>
      </w:pPr>
      <w:r w:rsidRPr="00F7290F">
        <w:rPr>
          <w:b/>
          <w:color w:val="000000" w:themeColor="text1"/>
        </w:rPr>
        <w:t xml:space="preserve">організації управління ходом виконання Програми   економічного </w:t>
      </w:r>
    </w:p>
    <w:p w:rsidR="00577BBC" w:rsidRPr="00F7290F" w:rsidRDefault="00577BBC" w:rsidP="00D65D2E">
      <w:pPr>
        <w:pStyle w:val="23"/>
        <w:keepNext/>
        <w:widowControl w:val="0"/>
        <w:tabs>
          <w:tab w:val="num" w:pos="1083"/>
        </w:tabs>
        <w:spacing w:after="0"/>
        <w:ind w:firstLine="0"/>
        <w:jc w:val="center"/>
        <w:rPr>
          <w:b/>
          <w:color w:val="000000" w:themeColor="text1"/>
        </w:rPr>
      </w:pPr>
      <w:r w:rsidRPr="00F7290F">
        <w:rPr>
          <w:b/>
          <w:color w:val="000000" w:themeColor="text1"/>
        </w:rPr>
        <w:t>і соціального розвитку Донецької області на 2013 рік</w:t>
      </w:r>
    </w:p>
    <w:p w:rsidR="00577BBC" w:rsidRPr="00F7290F" w:rsidRDefault="00577BBC" w:rsidP="00D65D2E">
      <w:pPr>
        <w:pStyle w:val="af9"/>
        <w:keepNext/>
        <w:widowControl w:val="0"/>
        <w:spacing w:after="0"/>
        <w:ind w:firstLine="709"/>
        <w:jc w:val="center"/>
        <w:rPr>
          <w:b/>
          <w:bCs/>
          <w:color w:val="FF0000"/>
          <w:lang w:val="uk-UA"/>
        </w:rPr>
      </w:pPr>
    </w:p>
    <w:p w:rsidR="00577BBC" w:rsidRPr="00F7290F" w:rsidRDefault="00914A69" w:rsidP="00D65D2E">
      <w:pPr>
        <w:keepNext/>
        <w:widowControl w:val="0"/>
        <w:rPr>
          <w:color w:val="FF0000"/>
          <w:lang w:val="uk-UA"/>
        </w:rPr>
      </w:pPr>
      <w:r w:rsidRPr="00914A69">
        <w:rPr>
          <w:color w:val="FF0000"/>
          <w:lang w:val="uk-UA"/>
        </w:rPr>
      </w:r>
      <w:r>
        <w:rPr>
          <w:color w:val="FF0000"/>
          <w:lang w:val="uk-UA"/>
        </w:rPr>
        <w:pict>
          <v:group id="_x0000_s1347" style="width:510pt;height:261.75pt;mso-position-horizontal-relative:char;mso-position-vertical-relative:line" coordorigin="1155,10905" coordsize="10200,5235">
            <v:rect id="_x0000_s1348" style="position:absolute;left:2040;top:15660;width:8595;height:480" fillcolor="#d6e3bc [1302]">
              <v:textbox>
                <w:txbxContent>
                  <w:p w:rsidR="00FC0B4D" w:rsidRPr="0056493E" w:rsidRDefault="00FC0B4D" w:rsidP="007F1169">
                    <w:pPr>
                      <w:jc w:val="center"/>
                      <w:rPr>
                        <w:lang w:val="uk-UA"/>
                      </w:rPr>
                    </w:pPr>
                    <w:r>
                      <w:rPr>
                        <w:lang w:val="uk-UA"/>
                      </w:rPr>
                      <w:t>Підприємства, організації, установи галузей економіки, соціальної сфери</w:t>
                    </w:r>
                  </w:p>
                </w:txbxContent>
              </v:textbox>
            </v:rect>
            <v:rect id="_x0000_s1349" style="position:absolute;left:1800;top:11715;width:3930;height:480" fillcolor="#c6d9f1 [671]">
              <v:textbox style="mso-next-textbox:#_x0000_s1349">
                <w:txbxContent>
                  <w:p w:rsidR="00FC0B4D" w:rsidRPr="00682D55" w:rsidRDefault="00FC0B4D" w:rsidP="007F1169">
                    <w:pPr>
                      <w:jc w:val="center"/>
                      <w:rPr>
                        <w:b/>
                        <w:i/>
                        <w:lang w:val="uk-UA"/>
                      </w:rPr>
                    </w:pPr>
                    <w:r w:rsidRPr="00682D55">
                      <w:rPr>
                        <w:b/>
                        <w:i/>
                        <w:lang w:val="uk-UA"/>
                      </w:rPr>
                      <w:t>Заступники голови обласної ради</w:t>
                    </w:r>
                  </w:p>
                </w:txbxContent>
              </v:textbox>
            </v:rect>
            <v:rect id="_x0000_s1350" style="position:absolute;left:6560;top:14595;width:4590;height:795" fillcolor="#ff6">
              <v:textbox style="mso-next-textbox:#_x0000_s1350">
                <w:txbxContent>
                  <w:p w:rsidR="00FC0B4D" w:rsidRPr="00577BBC" w:rsidRDefault="00FC0B4D" w:rsidP="007F1169">
                    <w:pPr>
                      <w:jc w:val="center"/>
                      <w:rPr>
                        <w:lang w:val="uk-UA"/>
                      </w:rPr>
                    </w:pPr>
                    <w:r>
                      <w:rPr>
                        <w:lang w:val="uk-UA"/>
                      </w:rPr>
                      <w:t>Виконавчі органи міських рад, райдержадміністрації</w:t>
                    </w:r>
                  </w:p>
                </w:txbxContent>
              </v:textbox>
            </v:rect>
            <v:shapetype id="_x0000_t32" coordsize="21600,21600" o:spt="32" o:oned="t" path="m,l21600,21600e" filled="f">
              <v:path arrowok="t" fillok="f" o:connecttype="none"/>
              <o:lock v:ext="edit" shapetype="t"/>
            </v:shapetype>
            <v:shape id="_x0000_s1351" type="#_x0000_t32" style="position:absolute;left:3630;top:11250;width:0;height:465" o:connectortype="straight">
              <v:stroke endarrow="block"/>
            </v:shape>
            <v:shape id="_x0000_s1352" type="#_x0000_t32" style="position:absolute;left:8640;top:11265;width:0;height:465" o:connectortype="straight">
              <v:stroke endarrow="block"/>
            </v:shape>
            <v:shape id="_x0000_s1353" type="#_x0000_t32" style="position:absolute;left:2445;top:12195;width:1;height:585" o:connectortype="straight">
              <v:stroke endarrow="block"/>
            </v:shape>
            <v:shape id="_x0000_s1354" type="#_x0000_t32" style="position:absolute;left:7515;top:12315;width:0;height:465" o:connectortype="straight">
              <v:stroke endarrow="block"/>
            </v:shape>
            <v:shape id="_x0000_s1355" type="#_x0000_t32" style="position:absolute;left:4905;top:12195;width:1;height:570" o:connectortype="straight">
              <v:stroke endarrow="block"/>
            </v:shape>
            <v:shape id="_x0000_s1356" type="#_x0000_t32" style="position:absolute;left:9990;top:12330;width:0;height:465" o:connectortype="straight">
              <v:stroke endarrow="block"/>
            </v:shape>
            <v:shape id="_x0000_s1357" type="#_x0000_t32" style="position:absolute;left:3630;top:14370;width:1;height:240" o:connectortype="straight">
              <v:stroke endarrow="block"/>
            </v:shape>
            <v:shape id="_x0000_s1358" type="#_x0000_t32" style="position:absolute;left:8880;top:15390;width:1;height:255" o:connectortype="straight">
              <v:stroke endarrow="block"/>
            </v:shape>
            <v:shape id="_x0000_s1359" type="#_x0000_t32" style="position:absolute;left:2295;top:14370;width:7800;height:1" o:connectortype="straight"/>
            <v:shape id="_x0000_s1360" type="#_x0000_t32" style="position:absolute;left:1155;top:14370;width:1140;height:0;flip:x" o:connectortype="straight">
              <v:stroke dashstyle="dash"/>
            </v:shape>
            <v:shape id="_x0000_s1361" type="#_x0000_t32" style="position:absolute;left:10095;top:14370;width:1140;height:0;flip:x" o:connectortype="straight">
              <v:stroke dashstyle="dash"/>
            </v:shape>
            <v:shape id="_x0000_s1362" type="#_x0000_t32" style="position:absolute;left:1215;top:14355;width:0;height:1545" o:connectortype="straight">
              <v:stroke dashstyle="dash"/>
            </v:shape>
            <v:shape id="_x0000_s1363" type="#_x0000_t32" style="position:absolute;left:11355;top:14371;width:0;height:1545" o:connectortype="straight">
              <v:stroke dashstyle="dash"/>
            </v:shape>
            <v:shape id="_x0000_s1364" type="#_x0000_t32" style="position:absolute;left:10635;top:15903;width:660;height:0;flip:x" o:connectortype="straight">
              <v:stroke dashstyle="dash" endarrow="classic"/>
            </v:shape>
            <v:shape id="_x0000_s1365" type="#_x0000_t32" style="position:absolute;left:1215;top:15903;width:825;height:1;flip:x" o:connectortype="straight">
              <v:stroke dashstyle="dash" startarrow="classic"/>
            </v:shape>
            <v:shape id="_x0000_s1366" type="#_x0000_t32" style="position:absolute;left:7590;top:13860;width:0;height:465" o:connectortype="straight">
              <v:stroke endarrow="block"/>
            </v:shape>
            <v:shape id="_x0000_s1367" type="#_x0000_t32" style="position:absolute;left:10065;top:13875;width:0;height:465" o:connectortype="straight">
              <v:stroke endarrow="block"/>
            </v:shape>
            <v:shape id="_x0000_s1368" type="#_x0000_t32" style="position:absolute;left:2430;top:13890;width:0;height:465" o:connectortype="straight">
              <v:stroke endarrow="block"/>
            </v:shape>
            <v:shape id="_x0000_s1369" type="#_x0000_t32" style="position:absolute;left:4890;top:13875;width:0;height:465" o:connectortype="straight">
              <v:stroke endarrow="block"/>
            </v:shape>
            <v:shape id="_x0000_s1370" type="#_x0000_t32" style="position:absolute;left:3645;top:15075;width:0;height:585" o:connectortype="straight">
              <v:stroke endarrow="block"/>
            </v:shape>
            <v:shape id="_x0000_s1371" type="#_x0000_t32" style="position:absolute;left:8880;top:14370;width:0;height:225" o:connectortype="straight">
              <v:stroke endarrow="block"/>
            </v:shape>
            <v:rect id="_x0000_s1372" style="position:absolute;left:1370;top:12780;width:1885;height:1260" fillcolor="#c6d9f1 [671]">
              <v:textbox style="mso-next-textbox:#_x0000_s1372">
                <w:txbxContent>
                  <w:p w:rsidR="00FC0B4D" w:rsidRPr="00577BBC" w:rsidRDefault="00FC0B4D" w:rsidP="007F1169">
                    <w:pPr>
                      <w:jc w:val="center"/>
                      <w:rPr>
                        <w:lang w:val="uk-UA"/>
                      </w:rPr>
                    </w:pPr>
                    <w:r>
                      <w:rPr>
                        <w:lang w:val="uk-UA"/>
                      </w:rPr>
                      <w:t>Виконавчий апарат обласної ради</w:t>
                    </w:r>
                  </w:p>
                </w:txbxContent>
              </v:textbox>
            </v:rect>
            <v:rect id="_x0000_s1373" style="position:absolute;left:4025;top:12780;width:1885;height:1260" fillcolor="#c6d9f1 [671]">
              <v:textbox style="mso-next-textbox:#_x0000_s1373">
                <w:txbxContent>
                  <w:p w:rsidR="00FC0B4D" w:rsidRPr="00577BBC" w:rsidRDefault="00FC0B4D" w:rsidP="007F1169">
                    <w:pPr>
                      <w:jc w:val="center"/>
                      <w:rPr>
                        <w:lang w:val="uk-UA"/>
                      </w:rPr>
                    </w:pPr>
                    <w:r>
                      <w:rPr>
                        <w:lang w:val="uk-UA"/>
                      </w:rPr>
                      <w:t>Постійні комісії обласної ради</w:t>
                    </w:r>
                  </w:p>
                </w:txbxContent>
              </v:textbox>
            </v:rect>
            <v:rect id="_x0000_s1374" style="position:absolute;left:6560;top:12780;width:1885;height:1260" fillcolor="#ff6">
              <v:textbox style="mso-next-textbox:#_x0000_s1374">
                <w:txbxContent>
                  <w:p w:rsidR="00FC0B4D" w:rsidRPr="00577BBC" w:rsidRDefault="00FC0B4D" w:rsidP="007F1169">
                    <w:pPr>
                      <w:jc w:val="center"/>
                      <w:rPr>
                        <w:lang w:val="uk-UA"/>
                      </w:rPr>
                    </w:pPr>
                    <w:r>
                      <w:rPr>
                        <w:lang w:val="uk-UA"/>
                      </w:rPr>
                      <w:t>Управління та структурні підрозділи ОДА</w:t>
                    </w:r>
                  </w:p>
                </w:txbxContent>
              </v:textbox>
            </v:rect>
            <v:rect id="_x0000_s1375" style="position:absolute;left:9095;top:12780;width:1885;height:1260" fillcolor="#ff6">
              <v:textbox style="mso-next-textbox:#_x0000_s1375">
                <w:txbxContent>
                  <w:p w:rsidR="00FC0B4D" w:rsidRPr="0056493E" w:rsidRDefault="00FC0B4D" w:rsidP="007F1169">
                    <w:pPr>
                      <w:jc w:val="center"/>
                      <w:rPr>
                        <w:lang w:val="uk-UA"/>
                      </w:rPr>
                    </w:pPr>
                    <w:r>
                      <w:rPr>
                        <w:lang w:val="uk-UA"/>
                      </w:rPr>
                      <w:t>Органи центральної виконавчої влади в області</w:t>
                    </w:r>
                  </w:p>
                </w:txbxContent>
              </v:textbox>
            </v:rect>
            <v:rect id="_x0000_s1376" style="position:absolute;left:6465;top:11715;width:4590;height:795" fillcolor="#ff6">
              <v:textbox style="mso-next-textbox:#_x0000_s1376">
                <w:txbxContent>
                  <w:p w:rsidR="00FC0B4D" w:rsidRPr="00682D55" w:rsidRDefault="00FC0B4D" w:rsidP="007F1169">
                    <w:pPr>
                      <w:jc w:val="center"/>
                      <w:rPr>
                        <w:b/>
                        <w:i/>
                        <w:lang w:val="uk-UA"/>
                      </w:rPr>
                    </w:pPr>
                    <w:r w:rsidRPr="00682D55">
                      <w:rPr>
                        <w:b/>
                        <w:i/>
                        <w:lang w:val="uk-UA"/>
                      </w:rPr>
                      <w:t>Перший заступник, заступники голови облдержадміністрації</w:t>
                    </w:r>
                  </w:p>
                </w:txbxContent>
              </v:textbox>
            </v:rect>
            <v:rect id="_x0000_s1377" style="position:absolute;left:1663;top:14610;width:4097;height:480" fillcolor="#c6d9f1 [671]">
              <v:textbox style="mso-next-textbox:#_x0000_s1377">
                <w:txbxContent>
                  <w:p w:rsidR="00FC0B4D" w:rsidRPr="00577BBC" w:rsidRDefault="00FC0B4D" w:rsidP="007F1169">
                    <w:pPr>
                      <w:jc w:val="center"/>
                      <w:rPr>
                        <w:lang w:val="uk-UA"/>
                      </w:rPr>
                    </w:pPr>
                    <w:r>
                      <w:rPr>
                        <w:lang w:val="uk-UA"/>
                      </w:rPr>
                      <w:t>Органи місцевого самоврядування</w:t>
                    </w:r>
                  </w:p>
                </w:txbxContent>
              </v:textbox>
            </v:rect>
            <v:rect id="_x0000_s1378" style="position:absolute;left:1800;top:10905;width:3930;height:480" fillcolor="#c6d9f1 [671]">
              <v:textbox>
                <w:txbxContent>
                  <w:p w:rsidR="00FC0B4D" w:rsidRPr="00682D55" w:rsidRDefault="00FC0B4D" w:rsidP="007F1169">
                    <w:pPr>
                      <w:jc w:val="center"/>
                      <w:rPr>
                        <w:b/>
                        <w:lang w:val="uk-UA"/>
                      </w:rPr>
                    </w:pPr>
                    <w:r w:rsidRPr="00682D55">
                      <w:rPr>
                        <w:b/>
                        <w:lang w:val="uk-UA"/>
                      </w:rPr>
                      <w:t>Голова обласної ради</w:t>
                    </w:r>
                  </w:p>
                </w:txbxContent>
              </v:textbox>
            </v:rect>
            <v:rect id="_x0000_s1379" style="position:absolute;left:6465;top:10905;width:4590;height:480" fillcolor="#ff6">
              <v:textbox style="mso-next-textbox:#_x0000_s1379">
                <w:txbxContent>
                  <w:p w:rsidR="00FC0B4D" w:rsidRPr="00682D55" w:rsidRDefault="00FC0B4D" w:rsidP="007F1169">
                    <w:pPr>
                      <w:jc w:val="center"/>
                      <w:rPr>
                        <w:b/>
                        <w:lang w:val="uk-UA"/>
                      </w:rPr>
                    </w:pPr>
                    <w:r w:rsidRPr="00682D55">
                      <w:rPr>
                        <w:b/>
                        <w:lang w:val="uk-UA"/>
                      </w:rPr>
                      <w:t>Голова облдержадміністрації</w:t>
                    </w:r>
                  </w:p>
                </w:txbxContent>
              </v:textbox>
            </v:rect>
            <v:shape id="_x0000_s1380" type="#_x0000_t32" style="position:absolute;left:5727;top:11115;width:735;height:0" o:connectortype="straight">
              <v:stroke startarrow="classic" endarrow="classic"/>
            </v:shape>
            <w10:wrap type="none"/>
            <w10:anchorlock/>
          </v:group>
        </w:pict>
      </w:r>
    </w:p>
    <w:p w:rsidR="00577BBC" w:rsidRPr="00F7290F" w:rsidRDefault="00577BBC" w:rsidP="00D65D2E">
      <w:pPr>
        <w:keepNext/>
        <w:widowControl w:val="0"/>
        <w:tabs>
          <w:tab w:val="left" w:pos="652"/>
          <w:tab w:val="left" w:pos="8188"/>
        </w:tabs>
        <w:spacing w:after="120"/>
        <w:jc w:val="center"/>
        <w:rPr>
          <w:b/>
          <w:color w:val="FF0000"/>
          <w:sz w:val="28"/>
          <w:szCs w:val="28"/>
          <w:lang w:val="uk-UA"/>
        </w:rPr>
      </w:pPr>
    </w:p>
    <w:p w:rsidR="003C53BC" w:rsidRPr="00F7290F" w:rsidRDefault="003C53BC" w:rsidP="00D65D2E">
      <w:pPr>
        <w:keepNext/>
        <w:widowControl w:val="0"/>
        <w:rPr>
          <w:color w:val="FF0000"/>
          <w:lang w:val="uk-UA"/>
        </w:rPr>
      </w:pPr>
    </w:p>
    <w:p w:rsidR="003C53BC" w:rsidRPr="00F7290F" w:rsidRDefault="003C53BC" w:rsidP="00D65D2E">
      <w:pPr>
        <w:keepNext/>
        <w:widowControl w:val="0"/>
        <w:rPr>
          <w:color w:val="FF0000"/>
          <w:lang w:val="uk-UA"/>
        </w:rPr>
      </w:pPr>
    </w:p>
    <w:p w:rsidR="003C53BC" w:rsidRPr="00F7290F" w:rsidRDefault="003C53BC" w:rsidP="00D65D2E">
      <w:pPr>
        <w:keepNext/>
        <w:widowControl w:val="0"/>
        <w:rPr>
          <w:color w:val="FF0000"/>
          <w:lang w:val="uk-UA"/>
        </w:rPr>
      </w:pPr>
    </w:p>
    <w:sectPr w:rsidR="003C53BC" w:rsidRPr="00F7290F" w:rsidSect="00E02EB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905" w:rsidRDefault="00EA3905" w:rsidP="00471103">
      <w:r>
        <w:separator/>
      </w:r>
    </w:p>
  </w:endnote>
  <w:endnote w:type="continuationSeparator" w:id="1">
    <w:p w:rsidR="00EA3905" w:rsidRDefault="00EA3905" w:rsidP="004711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MV Boli">
    <w:charset w:val="00"/>
    <w:family w:val="auto"/>
    <w:pitch w:val="variable"/>
    <w:sig w:usb0="00000003" w:usb1="00000000" w:usb2="000001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ntiqua">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Arial,Bold">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905" w:rsidRDefault="00EA3905" w:rsidP="00471103">
      <w:r>
        <w:separator/>
      </w:r>
    </w:p>
  </w:footnote>
  <w:footnote w:type="continuationSeparator" w:id="1">
    <w:p w:rsidR="00EA3905" w:rsidRDefault="00EA3905" w:rsidP="004711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39160"/>
    </w:sdtPr>
    <w:sdtContent>
      <w:p w:rsidR="00FC0B4D" w:rsidRDefault="00914A69">
        <w:pPr>
          <w:pStyle w:val="af5"/>
          <w:jc w:val="center"/>
        </w:pPr>
        <w:fldSimple w:instr=" PAGE   \* MERGEFORMAT ">
          <w:r w:rsidR="008E4FA0">
            <w:rPr>
              <w:noProof/>
            </w:rPr>
            <w:t>1</w:t>
          </w:r>
        </w:fldSimple>
      </w:p>
    </w:sdtContent>
  </w:sdt>
  <w:p w:rsidR="00FC0B4D" w:rsidRDefault="00FC0B4D">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39163"/>
    </w:sdtPr>
    <w:sdtContent>
      <w:p w:rsidR="00FC0B4D" w:rsidRDefault="00914A69">
        <w:pPr>
          <w:pStyle w:val="af5"/>
          <w:jc w:val="center"/>
        </w:pPr>
        <w:fldSimple w:instr=" PAGE   \* MERGEFORMAT ">
          <w:r w:rsidR="008E4FA0">
            <w:rPr>
              <w:noProof/>
            </w:rPr>
            <w:t>67</w:t>
          </w:r>
        </w:fldSimple>
      </w:p>
    </w:sdtContent>
  </w:sdt>
  <w:p w:rsidR="00FC0B4D" w:rsidRDefault="00FC0B4D">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4D" w:rsidRDefault="00914A69">
    <w:pPr>
      <w:pStyle w:val="af5"/>
      <w:jc w:val="center"/>
    </w:pPr>
    <w:fldSimple w:instr=" PAGE   \* MERGEFORMAT ">
      <w:r w:rsidR="008E4FA0">
        <w:rPr>
          <w:noProof/>
        </w:rPr>
        <w:t>89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nsid w:val="12E50E0E"/>
    <w:multiLevelType w:val="hybridMultilevel"/>
    <w:tmpl w:val="D4F09A0E"/>
    <w:lvl w:ilvl="0" w:tplc="F876561A">
      <w:start w:val="1"/>
      <w:numFmt w:val="bullet"/>
      <w:lvlText w:val="-"/>
      <w:lvlJc w:val="left"/>
      <w:pPr>
        <w:tabs>
          <w:tab w:val="num" w:pos="1920"/>
        </w:tabs>
        <w:ind w:left="1920" w:hanging="360"/>
      </w:pPr>
      <w:rPr>
        <w:rFonts w:ascii="MV Boli" w:hAnsi="MV Boli"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3816B71"/>
    <w:multiLevelType w:val="hybridMultilevel"/>
    <w:tmpl w:val="FFBEB216"/>
    <w:lvl w:ilvl="0" w:tplc="23B8A81E">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A2F3F41"/>
    <w:multiLevelType w:val="multilevel"/>
    <w:tmpl w:val="CBB0C1F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D2A7CC8"/>
    <w:multiLevelType w:val="hybridMultilevel"/>
    <w:tmpl w:val="2B305FB6"/>
    <w:lvl w:ilvl="0" w:tplc="F4A0609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2A3554"/>
    <w:multiLevelType w:val="hybridMultilevel"/>
    <w:tmpl w:val="371ECC0E"/>
    <w:lvl w:ilvl="0" w:tplc="27A44128">
      <w:start w:val="1"/>
      <w:numFmt w:val="bullet"/>
      <w:lvlText w:val=""/>
      <w:lvlJc w:val="left"/>
      <w:pPr>
        <w:tabs>
          <w:tab w:val="num" w:pos="928"/>
        </w:tabs>
        <w:ind w:left="928" w:hanging="360"/>
      </w:pPr>
      <w:rPr>
        <w:rFonts w:ascii="Symbol" w:hAnsi="Symbol" w:hint="default"/>
        <w:sz w:val="16"/>
        <w:szCs w:val="16"/>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6">
    <w:nsid w:val="2F4D5376"/>
    <w:multiLevelType w:val="hybridMultilevel"/>
    <w:tmpl w:val="3A263BE2"/>
    <w:lvl w:ilvl="0" w:tplc="1B1C6B00">
      <w:numFmt w:val="bullet"/>
      <w:lvlText w:val="-"/>
      <w:lvlJc w:val="left"/>
      <w:pPr>
        <w:ind w:left="1004" w:hanging="360"/>
      </w:pPr>
      <w:rPr>
        <w:rFonts w:ascii="Times New Roman" w:eastAsia="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31542B63"/>
    <w:multiLevelType w:val="hybridMultilevel"/>
    <w:tmpl w:val="5980E986"/>
    <w:lvl w:ilvl="0" w:tplc="27A44128">
      <w:start w:val="1"/>
      <w:numFmt w:val="bullet"/>
      <w:lvlText w:val=""/>
      <w:lvlJc w:val="left"/>
      <w:pPr>
        <w:tabs>
          <w:tab w:val="num" w:pos="1724"/>
        </w:tabs>
        <w:ind w:left="1724" w:hanging="360"/>
      </w:pPr>
      <w:rPr>
        <w:rFonts w:ascii="Symbol" w:hAnsi="Symbol" w:hint="default"/>
        <w:sz w:val="16"/>
        <w:szCs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32DF5086"/>
    <w:multiLevelType w:val="hybridMultilevel"/>
    <w:tmpl w:val="BB5C6128"/>
    <w:lvl w:ilvl="0" w:tplc="27A44128">
      <w:start w:val="1"/>
      <w:numFmt w:val="bullet"/>
      <w:lvlText w:val=""/>
      <w:lvlJc w:val="left"/>
      <w:pPr>
        <w:tabs>
          <w:tab w:val="num" w:pos="1724"/>
        </w:tabs>
        <w:ind w:left="1724" w:hanging="360"/>
      </w:pPr>
      <w:rPr>
        <w:rFonts w:ascii="Symbol" w:hAnsi="Symbol" w:hint="default"/>
        <w:sz w:val="16"/>
        <w:szCs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45284FDA"/>
    <w:multiLevelType w:val="hybridMultilevel"/>
    <w:tmpl w:val="BEA2FA10"/>
    <w:lvl w:ilvl="0" w:tplc="A8D0E75E">
      <w:start w:val="3"/>
      <w:numFmt w:val="bullet"/>
      <w:lvlText w:val="-"/>
      <w:lvlJc w:val="left"/>
      <w:pPr>
        <w:tabs>
          <w:tab w:val="num" w:pos="1080"/>
        </w:tabs>
        <w:ind w:left="1080" w:hanging="360"/>
      </w:pPr>
      <w:rPr>
        <w:rFonts w:ascii="Times New Roman" w:eastAsia="Calibri"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4AD46643"/>
    <w:multiLevelType w:val="hybridMultilevel"/>
    <w:tmpl w:val="B32047DA"/>
    <w:lvl w:ilvl="0" w:tplc="53B25626">
      <w:start w:val="1"/>
      <w:numFmt w:val="bullet"/>
      <w:lvlText w:val=""/>
      <w:lvlJc w:val="left"/>
      <w:pPr>
        <w:ind w:left="644"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
    <w:nsid w:val="5CDC3E4B"/>
    <w:multiLevelType w:val="multilevel"/>
    <w:tmpl w:val="096A9730"/>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D4D1BF4"/>
    <w:multiLevelType w:val="multilevel"/>
    <w:tmpl w:val="15B65210"/>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
    <w:nsid w:val="5DFE1263"/>
    <w:multiLevelType w:val="hybridMultilevel"/>
    <w:tmpl w:val="4A286050"/>
    <w:lvl w:ilvl="0" w:tplc="27A44128">
      <w:start w:val="1"/>
      <w:numFmt w:val="bullet"/>
      <w:lvlText w:val=""/>
      <w:lvlJc w:val="left"/>
      <w:pPr>
        <w:tabs>
          <w:tab w:val="num" w:pos="928"/>
        </w:tabs>
        <w:ind w:left="928" w:hanging="360"/>
      </w:pPr>
      <w:rPr>
        <w:rFonts w:ascii="Symbol" w:hAnsi="Symbol" w:hint="default"/>
        <w:sz w:val="16"/>
        <w:szCs w:val="16"/>
      </w:rPr>
    </w:lvl>
    <w:lvl w:ilvl="1" w:tplc="57FA7440">
      <w:start w:val="1"/>
      <w:numFmt w:val="bullet"/>
      <w:lvlText w:val="-"/>
      <w:lvlJc w:val="left"/>
      <w:pPr>
        <w:tabs>
          <w:tab w:val="num" w:pos="1931"/>
        </w:tabs>
        <w:ind w:left="1931" w:hanging="360"/>
      </w:pPr>
      <w:rPr>
        <w:rFonts w:ascii="Verdana" w:hAnsi="Verdana" w:hint="default"/>
        <w:sz w:val="24"/>
        <w:szCs w:val="16"/>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4">
    <w:nsid w:val="66A879ED"/>
    <w:multiLevelType w:val="hybridMultilevel"/>
    <w:tmpl w:val="971CA416"/>
    <w:lvl w:ilvl="0" w:tplc="04190001">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5">
    <w:nsid w:val="66DD7702"/>
    <w:multiLevelType w:val="hybridMultilevel"/>
    <w:tmpl w:val="AD9227D8"/>
    <w:lvl w:ilvl="0" w:tplc="04190001">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
    <w:nsid w:val="6C7F0EA2"/>
    <w:multiLevelType w:val="hybridMultilevel"/>
    <w:tmpl w:val="45986AE8"/>
    <w:lvl w:ilvl="0" w:tplc="1B1C6B00">
      <w:numFmt w:val="bullet"/>
      <w:lvlText w:val="-"/>
      <w:lvlJc w:val="left"/>
      <w:pPr>
        <w:tabs>
          <w:tab w:val="num" w:pos="719"/>
        </w:tabs>
        <w:ind w:left="719" w:hanging="43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2A32B73"/>
    <w:multiLevelType w:val="hybridMultilevel"/>
    <w:tmpl w:val="1F4E6B16"/>
    <w:lvl w:ilvl="0" w:tplc="53B25626">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
    <w:nsid w:val="745D61C8"/>
    <w:multiLevelType w:val="hybridMultilevel"/>
    <w:tmpl w:val="A4A6ECF0"/>
    <w:lvl w:ilvl="0" w:tplc="2020CE4E">
      <w:start w:val="1"/>
      <w:numFmt w:val="none"/>
      <w:lvlText w:val="-"/>
      <w:lvlJc w:val="left"/>
      <w:pPr>
        <w:tabs>
          <w:tab w:val="num" w:pos="960"/>
        </w:tabs>
        <w:ind w:left="960" w:hanging="360"/>
      </w:pPr>
      <w:rPr>
        <w:rFonts w:hint="default"/>
        <w:b/>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9">
    <w:nsid w:val="75923EA4"/>
    <w:multiLevelType w:val="multilevel"/>
    <w:tmpl w:val="635C55AE"/>
    <w:lvl w:ilvl="0">
      <w:numFmt w:val="bullet"/>
      <w:lvlText w:val=""/>
      <w:lvlJc w:val="left"/>
      <w:pPr>
        <w:tabs>
          <w:tab w:val="num" w:pos="1069"/>
        </w:tabs>
        <w:ind w:left="1069" w:hanging="360"/>
      </w:pPr>
      <w:rPr>
        <w:rFonts w:ascii="Symbol" w:hAnsi="Symbol" w:hint="default"/>
        <w:sz w:val="20"/>
      </w:rPr>
    </w:lvl>
    <w:lvl w:ilvl="1">
      <w:start w:val="1"/>
      <w:numFmt w:val="lowerLetter"/>
      <w:lvlText w:val="%2."/>
      <w:lvlJc w:val="left"/>
      <w:pPr>
        <w:tabs>
          <w:tab w:val="num" w:pos="1969"/>
        </w:tabs>
        <w:ind w:left="1969" w:hanging="360"/>
      </w:pPr>
      <w:rPr>
        <w:rFonts w:cs="Times New Roman" w:hint="default"/>
      </w:rPr>
    </w:lvl>
    <w:lvl w:ilvl="2">
      <w:start w:val="1"/>
      <w:numFmt w:val="lowerRoman"/>
      <w:lvlText w:val="%3."/>
      <w:lvlJc w:val="right"/>
      <w:pPr>
        <w:tabs>
          <w:tab w:val="num" w:pos="2689"/>
        </w:tabs>
        <w:ind w:left="2689" w:hanging="180"/>
      </w:pPr>
      <w:rPr>
        <w:rFonts w:cs="Times New Roman" w:hint="default"/>
      </w:rPr>
    </w:lvl>
    <w:lvl w:ilvl="3">
      <w:start w:val="1"/>
      <w:numFmt w:val="decimal"/>
      <w:lvlText w:val="%4."/>
      <w:lvlJc w:val="left"/>
      <w:pPr>
        <w:tabs>
          <w:tab w:val="num" w:pos="3409"/>
        </w:tabs>
        <w:ind w:left="3409" w:hanging="360"/>
      </w:pPr>
      <w:rPr>
        <w:rFonts w:cs="Times New Roman" w:hint="default"/>
      </w:rPr>
    </w:lvl>
    <w:lvl w:ilvl="4">
      <w:start w:val="1"/>
      <w:numFmt w:val="lowerLetter"/>
      <w:lvlText w:val="%5."/>
      <w:lvlJc w:val="left"/>
      <w:pPr>
        <w:tabs>
          <w:tab w:val="num" w:pos="4129"/>
        </w:tabs>
        <w:ind w:left="4129" w:hanging="360"/>
      </w:pPr>
      <w:rPr>
        <w:rFonts w:cs="Times New Roman" w:hint="default"/>
      </w:rPr>
    </w:lvl>
    <w:lvl w:ilvl="5">
      <w:start w:val="1"/>
      <w:numFmt w:val="lowerRoman"/>
      <w:lvlText w:val="%6."/>
      <w:lvlJc w:val="right"/>
      <w:pPr>
        <w:tabs>
          <w:tab w:val="num" w:pos="4849"/>
        </w:tabs>
        <w:ind w:left="4849" w:hanging="180"/>
      </w:pPr>
      <w:rPr>
        <w:rFonts w:cs="Times New Roman" w:hint="default"/>
      </w:rPr>
    </w:lvl>
    <w:lvl w:ilvl="6">
      <w:start w:val="1"/>
      <w:numFmt w:val="decimal"/>
      <w:lvlText w:val="%7."/>
      <w:lvlJc w:val="left"/>
      <w:pPr>
        <w:tabs>
          <w:tab w:val="num" w:pos="5569"/>
        </w:tabs>
        <w:ind w:left="5569" w:hanging="360"/>
      </w:pPr>
      <w:rPr>
        <w:rFonts w:cs="Times New Roman" w:hint="default"/>
      </w:rPr>
    </w:lvl>
    <w:lvl w:ilvl="7">
      <w:start w:val="1"/>
      <w:numFmt w:val="lowerLetter"/>
      <w:lvlText w:val="%8."/>
      <w:lvlJc w:val="left"/>
      <w:pPr>
        <w:tabs>
          <w:tab w:val="num" w:pos="6289"/>
        </w:tabs>
        <w:ind w:left="6289" w:hanging="360"/>
      </w:pPr>
      <w:rPr>
        <w:rFonts w:cs="Times New Roman" w:hint="default"/>
      </w:rPr>
    </w:lvl>
    <w:lvl w:ilvl="8">
      <w:start w:val="1"/>
      <w:numFmt w:val="lowerRoman"/>
      <w:lvlText w:val="%9."/>
      <w:lvlJc w:val="right"/>
      <w:pPr>
        <w:tabs>
          <w:tab w:val="num" w:pos="7009"/>
        </w:tabs>
        <w:ind w:left="7009" w:hanging="180"/>
      </w:pPr>
      <w:rPr>
        <w:rFonts w:cs="Times New Roman" w:hint="default"/>
      </w:rPr>
    </w:lvl>
  </w:abstractNum>
  <w:num w:numId="1">
    <w:abstractNumId w:val="3"/>
  </w:num>
  <w:num w:numId="2">
    <w:abstractNumId w:val="10"/>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16"/>
  </w:num>
  <w:num w:numId="7">
    <w:abstractNumId w:val="1"/>
  </w:num>
  <w:num w:numId="8">
    <w:abstractNumId w:val="7"/>
  </w:num>
  <w:num w:numId="9">
    <w:abstractNumId w:val="5"/>
  </w:num>
  <w:num w:numId="10">
    <w:abstractNumId w:val="11"/>
  </w:num>
  <w:num w:numId="11">
    <w:abstractNumId w:val="19"/>
  </w:num>
  <w:num w:numId="12">
    <w:abstractNumId w:val="9"/>
  </w:num>
  <w:num w:numId="13">
    <w:abstractNumId w:val="17"/>
  </w:num>
  <w:num w:numId="14">
    <w:abstractNumId w:val="8"/>
  </w:num>
  <w:num w:numId="15">
    <w:abstractNumId w:val="18"/>
  </w:num>
  <w:num w:numId="16">
    <w:abstractNumId w:val="13"/>
  </w:num>
  <w:num w:numId="17">
    <w:abstractNumId w:val="12"/>
  </w:num>
  <w:num w:numId="18">
    <w:abstractNumId w:val="4"/>
  </w:num>
  <w:num w:numId="19">
    <w:abstractNumId w:val="15"/>
  </w:num>
  <w:num w:numId="20">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defaultTabStop w:val="708"/>
  <w:characterSpacingControl w:val="doNotCompress"/>
  <w:hdrShapeDefaults>
    <o:shapedefaults v:ext="edit" spidmax="578562"/>
  </w:hdrShapeDefaults>
  <w:footnotePr>
    <w:footnote w:id="0"/>
    <w:footnote w:id="1"/>
  </w:footnotePr>
  <w:endnotePr>
    <w:endnote w:id="0"/>
    <w:endnote w:id="1"/>
  </w:endnotePr>
  <w:compat/>
  <w:rsids>
    <w:rsidRoot w:val="00E322E1"/>
    <w:rsid w:val="000009EF"/>
    <w:rsid w:val="00002124"/>
    <w:rsid w:val="0000274D"/>
    <w:rsid w:val="00002EB4"/>
    <w:rsid w:val="00004687"/>
    <w:rsid w:val="00004A3A"/>
    <w:rsid w:val="00004ED9"/>
    <w:rsid w:val="00005D0B"/>
    <w:rsid w:val="00010A33"/>
    <w:rsid w:val="00010EB5"/>
    <w:rsid w:val="00011254"/>
    <w:rsid w:val="0001163A"/>
    <w:rsid w:val="00011991"/>
    <w:rsid w:val="00011E41"/>
    <w:rsid w:val="00011EAB"/>
    <w:rsid w:val="00012175"/>
    <w:rsid w:val="00015578"/>
    <w:rsid w:val="00015FFD"/>
    <w:rsid w:val="00016EAA"/>
    <w:rsid w:val="00017231"/>
    <w:rsid w:val="00020EC6"/>
    <w:rsid w:val="00022B47"/>
    <w:rsid w:val="00022C29"/>
    <w:rsid w:val="00023124"/>
    <w:rsid w:val="00023E4D"/>
    <w:rsid w:val="00025390"/>
    <w:rsid w:val="000262AC"/>
    <w:rsid w:val="00026319"/>
    <w:rsid w:val="00030BBF"/>
    <w:rsid w:val="00031265"/>
    <w:rsid w:val="00032B02"/>
    <w:rsid w:val="00032E2C"/>
    <w:rsid w:val="0003324A"/>
    <w:rsid w:val="000346D1"/>
    <w:rsid w:val="00034757"/>
    <w:rsid w:val="00037CF2"/>
    <w:rsid w:val="00037E9C"/>
    <w:rsid w:val="000407C8"/>
    <w:rsid w:val="00040AE9"/>
    <w:rsid w:val="00040C23"/>
    <w:rsid w:val="00040D3F"/>
    <w:rsid w:val="00040D74"/>
    <w:rsid w:val="00040F34"/>
    <w:rsid w:val="0004101F"/>
    <w:rsid w:val="000413AB"/>
    <w:rsid w:val="0004262B"/>
    <w:rsid w:val="00042719"/>
    <w:rsid w:val="00042E95"/>
    <w:rsid w:val="00044604"/>
    <w:rsid w:val="000453D2"/>
    <w:rsid w:val="00045CFC"/>
    <w:rsid w:val="00045F10"/>
    <w:rsid w:val="00046030"/>
    <w:rsid w:val="000469C8"/>
    <w:rsid w:val="00047A26"/>
    <w:rsid w:val="00047A38"/>
    <w:rsid w:val="00051B4D"/>
    <w:rsid w:val="00053B50"/>
    <w:rsid w:val="00054783"/>
    <w:rsid w:val="000547D9"/>
    <w:rsid w:val="00055125"/>
    <w:rsid w:val="000557EC"/>
    <w:rsid w:val="00056243"/>
    <w:rsid w:val="00056948"/>
    <w:rsid w:val="00060205"/>
    <w:rsid w:val="000616AC"/>
    <w:rsid w:val="000618F6"/>
    <w:rsid w:val="00063F81"/>
    <w:rsid w:val="00064428"/>
    <w:rsid w:val="000645E8"/>
    <w:rsid w:val="000647F6"/>
    <w:rsid w:val="00065CF6"/>
    <w:rsid w:val="00066EE4"/>
    <w:rsid w:val="00067A22"/>
    <w:rsid w:val="00067E97"/>
    <w:rsid w:val="000712FE"/>
    <w:rsid w:val="00072D1D"/>
    <w:rsid w:val="000730FF"/>
    <w:rsid w:val="00073564"/>
    <w:rsid w:val="000737F2"/>
    <w:rsid w:val="00073AED"/>
    <w:rsid w:val="000756F6"/>
    <w:rsid w:val="000763E9"/>
    <w:rsid w:val="000768CE"/>
    <w:rsid w:val="000772FC"/>
    <w:rsid w:val="00077FE5"/>
    <w:rsid w:val="00082B52"/>
    <w:rsid w:val="00083477"/>
    <w:rsid w:val="000839DB"/>
    <w:rsid w:val="00084198"/>
    <w:rsid w:val="00085A85"/>
    <w:rsid w:val="00087FF6"/>
    <w:rsid w:val="000903D1"/>
    <w:rsid w:val="00090E4C"/>
    <w:rsid w:val="000912E3"/>
    <w:rsid w:val="000913F7"/>
    <w:rsid w:val="00091C14"/>
    <w:rsid w:val="00091E96"/>
    <w:rsid w:val="00092B97"/>
    <w:rsid w:val="0009385A"/>
    <w:rsid w:val="00093A89"/>
    <w:rsid w:val="000941F8"/>
    <w:rsid w:val="00095A24"/>
    <w:rsid w:val="00095AAE"/>
    <w:rsid w:val="00095AF2"/>
    <w:rsid w:val="00096FF7"/>
    <w:rsid w:val="00097031"/>
    <w:rsid w:val="000977E7"/>
    <w:rsid w:val="000A27E5"/>
    <w:rsid w:val="000A5D86"/>
    <w:rsid w:val="000A5E6A"/>
    <w:rsid w:val="000A6118"/>
    <w:rsid w:val="000A6D4F"/>
    <w:rsid w:val="000B03DE"/>
    <w:rsid w:val="000B0765"/>
    <w:rsid w:val="000B0DC4"/>
    <w:rsid w:val="000B1EFD"/>
    <w:rsid w:val="000B1FB7"/>
    <w:rsid w:val="000B2243"/>
    <w:rsid w:val="000B3B30"/>
    <w:rsid w:val="000B42B4"/>
    <w:rsid w:val="000B470C"/>
    <w:rsid w:val="000B49DC"/>
    <w:rsid w:val="000B4BFA"/>
    <w:rsid w:val="000B4C63"/>
    <w:rsid w:val="000B5DDB"/>
    <w:rsid w:val="000B6756"/>
    <w:rsid w:val="000B6A58"/>
    <w:rsid w:val="000B6D70"/>
    <w:rsid w:val="000C2A86"/>
    <w:rsid w:val="000C2F1F"/>
    <w:rsid w:val="000C4ACC"/>
    <w:rsid w:val="000C4CDB"/>
    <w:rsid w:val="000C55A7"/>
    <w:rsid w:val="000C6E49"/>
    <w:rsid w:val="000C7016"/>
    <w:rsid w:val="000D19EC"/>
    <w:rsid w:val="000D1E59"/>
    <w:rsid w:val="000D1E64"/>
    <w:rsid w:val="000D20E0"/>
    <w:rsid w:val="000D3035"/>
    <w:rsid w:val="000D3A42"/>
    <w:rsid w:val="000D5268"/>
    <w:rsid w:val="000D537E"/>
    <w:rsid w:val="000D5BB8"/>
    <w:rsid w:val="000E079E"/>
    <w:rsid w:val="000E0998"/>
    <w:rsid w:val="000E1449"/>
    <w:rsid w:val="000E15ED"/>
    <w:rsid w:val="000E296D"/>
    <w:rsid w:val="000E3325"/>
    <w:rsid w:val="000E3C9B"/>
    <w:rsid w:val="000E6EE8"/>
    <w:rsid w:val="000F0694"/>
    <w:rsid w:val="000F1758"/>
    <w:rsid w:val="000F3761"/>
    <w:rsid w:val="000F3AE2"/>
    <w:rsid w:val="000F6E26"/>
    <w:rsid w:val="000F799C"/>
    <w:rsid w:val="00100565"/>
    <w:rsid w:val="00103054"/>
    <w:rsid w:val="00103413"/>
    <w:rsid w:val="001036ED"/>
    <w:rsid w:val="00103B7A"/>
    <w:rsid w:val="001043CE"/>
    <w:rsid w:val="00104B4C"/>
    <w:rsid w:val="00105071"/>
    <w:rsid w:val="001059E9"/>
    <w:rsid w:val="00106958"/>
    <w:rsid w:val="00110B10"/>
    <w:rsid w:val="00110DFB"/>
    <w:rsid w:val="00111DAC"/>
    <w:rsid w:val="00114653"/>
    <w:rsid w:val="0011513A"/>
    <w:rsid w:val="00115815"/>
    <w:rsid w:val="001179FA"/>
    <w:rsid w:val="001206E7"/>
    <w:rsid w:val="001231DD"/>
    <w:rsid w:val="0012364D"/>
    <w:rsid w:val="00124618"/>
    <w:rsid w:val="00124B92"/>
    <w:rsid w:val="00125C41"/>
    <w:rsid w:val="00125FF0"/>
    <w:rsid w:val="00126698"/>
    <w:rsid w:val="001270BF"/>
    <w:rsid w:val="00127347"/>
    <w:rsid w:val="001301E5"/>
    <w:rsid w:val="00131802"/>
    <w:rsid w:val="00132810"/>
    <w:rsid w:val="00134134"/>
    <w:rsid w:val="00134F90"/>
    <w:rsid w:val="001356DF"/>
    <w:rsid w:val="00137206"/>
    <w:rsid w:val="001379F7"/>
    <w:rsid w:val="00137FD3"/>
    <w:rsid w:val="00140B11"/>
    <w:rsid w:val="001413B8"/>
    <w:rsid w:val="001417B4"/>
    <w:rsid w:val="00141942"/>
    <w:rsid w:val="00142374"/>
    <w:rsid w:val="00142453"/>
    <w:rsid w:val="001431CC"/>
    <w:rsid w:val="00143600"/>
    <w:rsid w:val="001437F8"/>
    <w:rsid w:val="00145E17"/>
    <w:rsid w:val="00147E98"/>
    <w:rsid w:val="00150C10"/>
    <w:rsid w:val="00153C9E"/>
    <w:rsid w:val="00153E78"/>
    <w:rsid w:val="001543FF"/>
    <w:rsid w:val="001545EB"/>
    <w:rsid w:val="001545FC"/>
    <w:rsid w:val="001555AD"/>
    <w:rsid w:val="00155A99"/>
    <w:rsid w:val="001566DE"/>
    <w:rsid w:val="001601D4"/>
    <w:rsid w:val="001618CD"/>
    <w:rsid w:val="00161D1E"/>
    <w:rsid w:val="00161E8B"/>
    <w:rsid w:val="00162611"/>
    <w:rsid w:val="001631B1"/>
    <w:rsid w:val="00165355"/>
    <w:rsid w:val="0016731F"/>
    <w:rsid w:val="00167895"/>
    <w:rsid w:val="00167FF2"/>
    <w:rsid w:val="001732F1"/>
    <w:rsid w:val="00173755"/>
    <w:rsid w:val="00174499"/>
    <w:rsid w:val="00174A56"/>
    <w:rsid w:val="00174E94"/>
    <w:rsid w:val="00175615"/>
    <w:rsid w:val="00175D87"/>
    <w:rsid w:val="0017730A"/>
    <w:rsid w:val="0018075B"/>
    <w:rsid w:val="00180CD1"/>
    <w:rsid w:val="00181C52"/>
    <w:rsid w:val="001845F2"/>
    <w:rsid w:val="00185219"/>
    <w:rsid w:val="00185D74"/>
    <w:rsid w:val="001905D3"/>
    <w:rsid w:val="00190BC0"/>
    <w:rsid w:val="0019104A"/>
    <w:rsid w:val="001917D8"/>
    <w:rsid w:val="00191923"/>
    <w:rsid w:val="001932CE"/>
    <w:rsid w:val="001938CB"/>
    <w:rsid w:val="001969D1"/>
    <w:rsid w:val="001974F6"/>
    <w:rsid w:val="001A0762"/>
    <w:rsid w:val="001A1F91"/>
    <w:rsid w:val="001A2FE1"/>
    <w:rsid w:val="001A31DA"/>
    <w:rsid w:val="001A37E8"/>
    <w:rsid w:val="001A4E0A"/>
    <w:rsid w:val="001A6389"/>
    <w:rsid w:val="001B0487"/>
    <w:rsid w:val="001B09EF"/>
    <w:rsid w:val="001B0EB5"/>
    <w:rsid w:val="001B2990"/>
    <w:rsid w:val="001B432C"/>
    <w:rsid w:val="001B6676"/>
    <w:rsid w:val="001B6FAF"/>
    <w:rsid w:val="001C1A9D"/>
    <w:rsid w:val="001C3D71"/>
    <w:rsid w:val="001C4114"/>
    <w:rsid w:val="001C41EA"/>
    <w:rsid w:val="001C4A55"/>
    <w:rsid w:val="001C502D"/>
    <w:rsid w:val="001C53E4"/>
    <w:rsid w:val="001C5F91"/>
    <w:rsid w:val="001C697B"/>
    <w:rsid w:val="001C7710"/>
    <w:rsid w:val="001C7B48"/>
    <w:rsid w:val="001D0605"/>
    <w:rsid w:val="001D3069"/>
    <w:rsid w:val="001D3265"/>
    <w:rsid w:val="001D327B"/>
    <w:rsid w:val="001D3DF8"/>
    <w:rsid w:val="001D48A9"/>
    <w:rsid w:val="001D4BFF"/>
    <w:rsid w:val="001D4E04"/>
    <w:rsid w:val="001D58AE"/>
    <w:rsid w:val="001D5A3D"/>
    <w:rsid w:val="001D5BBB"/>
    <w:rsid w:val="001D6C2D"/>
    <w:rsid w:val="001D6D3B"/>
    <w:rsid w:val="001E1765"/>
    <w:rsid w:val="001E2916"/>
    <w:rsid w:val="001E4A62"/>
    <w:rsid w:val="001E4E17"/>
    <w:rsid w:val="001E4FF2"/>
    <w:rsid w:val="001E7F54"/>
    <w:rsid w:val="001F0EF9"/>
    <w:rsid w:val="001F31C2"/>
    <w:rsid w:val="001F3300"/>
    <w:rsid w:val="001F3953"/>
    <w:rsid w:val="001F3A08"/>
    <w:rsid w:val="001F3FD1"/>
    <w:rsid w:val="001F4CE9"/>
    <w:rsid w:val="001F5241"/>
    <w:rsid w:val="00200AA3"/>
    <w:rsid w:val="00200E74"/>
    <w:rsid w:val="002010DB"/>
    <w:rsid w:val="00201660"/>
    <w:rsid w:val="00203280"/>
    <w:rsid w:val="00204AED"/>
    <w:rsid w:val="00207DD6"/>
    <w:rsid w:val="00211EA0"/>
    <w:rsid w:val="0021353F"/>
    <w:rsid w:val="0021426F"/>
    <w:rsid w:val="00215D0E"/>
    <w:rsid w:val="00216370"/>
    <w:rsid w:val="00216708"/>
    <w:rsid w:val="002175E5"/>
    <w:rsid w:val="0022014C"/>
    <w:rsid w:val="002202F4"/>
    <w:rsid w:val="00221023"/>
    <w:rsid w:val="00221A82"/>
    <w:rsid w:val="00222CE6"/>
    <w:rsid w:val="00224CBF"/>
    <w:rsid w:val="00224CCC"/>
    <w:rsid w:val="00225CA2"/>
    <w:rsid w:val="00226448"/>
    <w:rsid w:val="00226D34"/>
    <w:rsid w:val="00227180"/>
    <w:rsid w:val="00227AE5"/>
    <w:rsid w:val="002304A0"/>
    <w:rsid w:val="00233F1D"/>
    <w:rsid w:val="00235882"/>
    <w:rsid w:val="00236425"/>
    <w:rsid w:val="0023674D"/>
    <w:rsid w:val="00236DD2"/>
    <w:rsid w:val="00237279"/>
    <w:rsid w:val="00240DE7"/>
    <w:rsid w:val="00244D97"/>
    <w:rsid w:val="00244DBB"/>
    <w:rsid w:val="00244F89"/>
    <w:rsid w:val="00245F8B"/>
    <w:rsid w:val="00246686"/>
    <w:rsid w:val="00247F65"/>
    <w:rsid w:val="002507D8"/>
    <w:rsid w:val="0025080F"/>
    <w:rsid w:val="00252FF3"/>
    <w:rsid w:val="002530D1"/>
    <w:rsid w:val="00253DE9"/>
    <w:rsid w:val="00253EDD"/>
    <w:rsid w:val="00254452"/>
    <w:rsid w:val="002558A1"/>
    <w:rsid w:val="00257055"/>
    <w:rsid w:val="0025784E"/>
    <w:rsid w:val="002578EF"/>
    <w:rsid w:val="0026216F"/>
    <w:rsid w:val="00263BA8"/>
    <w:rsid w:val="0026429C"/>
    <w:rsid w:val="00265081"/>
    <w:rsid w:val="00265904"/>
    <w:rsid w:val="0027081A"/>
    <w:rsid w:val="00270BBC"/>
    <w:rsid w:val="00270DFA"/>
    <w:rsid w:val="00273A49"/>
    <w:rsid w:val="00274177"/>
    <w:rsid w:val="00274CA0"/>
    <w:rsid w:val="0027513A"/>
    <w:rsid w:val="00276617"/>
    <w:rsid w:val="00276856"/>
    <w:rsid w:val="0027772D"/>
    <w:rsid w:val="002800FF"/>
    <w:rsid w:val="00280362"/>
    <w:rsid w:val="00280AAF"/>
    <w:rsid w:val="00280B5B"/>
    <w:rsid w:val="00280BBE"/>
    <w:rsid w:val="002812B0"/>
    <w:rsid w:val="002832FE"/>
    <w:rsid w:val="002849F4"/>
    <w:rsid w:val="0029280D"/>
    <w:rsid w:val="002932B0"/>
    <w:rsid w:val="00293996"/>
    <w:rsid w:val="002942A7"/>
    <w:rsid w:val="00294CBA"/>
    <w:rsid w:val="00295285"/>
    <w:rsid w:val="002956F6"/>
    <w:rsid w:val="00295F34"/>
    <w:rsid w:val="002A05C0"/>
    <w:rsid w:val="002A0846"/>
    <w:rsid w:val="002A2F09"/>
    <w:rsid w:val="002A4602"/>
    <w:rsid w:val="002A48B2"/>
    <w:rsid w:val="002A5B04"/>
    <w:rsid w:val="002A615E"/>
    <w:rsid w:val="002A7594"/>
    <w:rsid w:val="002A78DC"/>
    <w:rsid w:val="002B086F"/>
    <w:rsid w:val="002B27A9"/>
    <w:rsid w:val="002B2CB0"/>
    <w:rsid w:val="002B325C"/>
    <w:rsid w:val="002B3581"/>
    <w:rsid w:val="002B3F36"/>
    <w:rsid w:val="002B3FF3"/>
    <w:rsid w:val="002B506B"/>
    <w:rsid w:val="002B513E"/>
    <w:rsid w:val="002B7F78"/>
    <w:rsid w:val="002C340B"/>
    <w:rsid w:val="002C3624"/>
    <w:rsid w:val="002C3BE3"/>
    <w:rsid w:val="002C3FBE"/>
    <w:rsid w:val="002C484E"/>
    <w:rsid w:val="002C5752"/>
    <w:rsid w:val="002C5AB4"/>
    <w:rsid w:val="002C68C6"/>
    <w:rsid w:val="002C7177"/>
    <w:rsid w:val="002C7558"/>
    <w:rsid w:val="002C7CA6"/>
    <w:rsid w:val="002D03F4"/>
    <w:rsid w:val="002D17C4"/>
    <w:rsid w:val="002D21A4"/>
    <w:rsid w:val="002D21DB"/>
    <w:rsid w:val="002D5213"/>
    <w:rsid w:val="002D605B"/>
    <w:rsid w:val="002D6A7F"/>
    <w:rsid w:val="002D6AF6"/>
    <w:rsid w:val="002D6CEC"/>
    <w:rsid w:val="002D7951"/>
    <w:rsid w:val="002D7F22"/>
    <w:rsid w:val="002E011D"/>
    <w:rsid w:val="002E1499"/>
    <w:rsid w:val="002E3EF9"/>
    <w:rsid w:val="002E4F49"/>
    <w:rsid w:val="002E76B2"/>
    <w:rsid w:val="002F069B"/>
    <w:rsid w:val="002F0DB8"/>
    <w:rsid w:val="002F2343"/>
    <w:rsid w:val="002F2FE0"/>
    <w:rsid w:val="002F73B4"/>
    <w:rsid w:val="002F79B8"/>
    <w:rsid w:val="002F7F03"/>
    <w:rsid w:val="00300855"/>
    <w:rsid w:val="00301958"/>
    <w:rsid w:val="00301DB5"/>
    <w:rsid w:val="003025D3"/>
    <w:rsid w:val="0030344B"/>
    <w:rsid w:val="00303575"/>
    <w:rsid w:val="00310662"/>
    <w:rsid w:val="00310840"/>
    <w:rsid w:val="00310E2D"/>
    <w:rsid w:val="00311BCE"/>
    <w:rsid w:val="003121F9"/>
    <w:rsid w:val="003134C3"/>
    <w:rsid w:val="00314182"/>
    <w:rsid w:val="00314E2E"/>
    <w:rsid w:val="00314E3C"/>
    <w:rsid w:val="00314EB5"/>
    <w:rsid w:val="00315D29"/>
    <w:rsid w:val="0031714F"/>
    <w:rsid w:val="003214D6"/>
    <w:rsid w:val="00322302"/>
    <w:rsid w:val="00323153"/>
    <w:rsid w:val="00323B5C"/>
    <w:rsid w:val="00324B9F"/>
    <w:rsid w:val="00324F78"/>
    <w:rsid w:val="0032752D"/>
    <w:rsid w:val="00327B93"/>
    <w:rsid w:val="003305AF"/>
    <w:rsid w:val="003306EB"/>
    <w:rsid w:val="00330709"/>
    <w:rsid w:val="003315B6"/>
    <w:rsid w:val="00333AE0"/>
    <w:rsid w:val="003343A3"/>
    <w:rsid w:val="00335541"/>
    <w:rsid w:val="0033675C"/>
    <w:rsid w:val="0033762A"/>
    <w:rsid w:val="00341EDA"/>
    <w:rsid w:val="00342011"/>
    <w:rsid w:val="00344170"/>
    <w:rsid w:val="003442E5"/>
    <w:rsid w:val="00344702"/>
    <w:rsid w:val="0034487C"/>
    <w:rsid w:val="0034520B"/>
    <w:rsid w:val="00345386"/>
    <w:rsid w:val="00345BD4"/>
    <w:rsid w:val="00345F47"/>
    <w:rsid w:val="0034760A"/>
    <w:rsid w:val="00350D44"/>
    <w:rsid w:val="00351667"/>
    <w:rsid w:val="0035251A"/>
    <w:rsid w:val="003528D0"/>
    <w:rsid w:val="00352BB6"/>
    <w:rsid w:val="00353399"/>
    <w:rsid w:val="00353772"/>
    <w:rsid w:val="003538FF"/>
    <w:rsid w:val="00357C7A"/>
    <w:rsid w:val="00357DF9"/>
    <w:rsid w:val="00361219"/>
    <w:rsid w:val="0036166A"/>
    <w:rsid w:val="00362A6E"/>
    <w:rsid w:val="00363B36"/>
    <w:rsid w:val="0036502E"/>
    <w:rsid w:val="00366BCA"/>
    <w:rsid w:val="00373001"/>
    <w:rsid w:val="003755AF"/>
    <w:rsid w:val="00380454"/>
    <w:rsid w:val="00383B6B"/>
    <w:rsid w:val="00383F12"/>
    <w:rsid w:val="00387970"/>
    <w:rsid w:val="003903EB"/>
    <w:rsid w:val="00390752"/>
    <w:rsid w:val="00391731"/>
    <w:rsid w:val="00391F86"/>
    <w:rsid w:val="0039260C"/>
    <w:rsid w:val="003935D2"/>
    <w:rsid w:val="0039396A"/>
    <w:rsid w:val="00393F5A"/>
    <w:rsid w:val="00394536"/>
    <w:rsid w:val="00394977"/>
    <w:rsid w:val="00395061"/>
    <w:rsid w:val="00396F0E"/>
    <w:rsid w:val="00397973"/>
    <w:rsid w:val="003A1783"/>
    <w:rsid w:val="003A3531"/>
    <w:rsid w:val="003A3ADD"/>
    <w:rsid w:val="003A4419"/>
    <w:rsid w:val="003A4807"/>
    <w:rsid w:val="003A6B23"/>
    <w:rsid w:val="003B0DC8"/>
    <w:rsid w:val="003B2675"/>
    <w:rsid w:val="003B2779"/>
    <w:rsid w:val="003B3E84"/>
    <w:rsid w:val="003B43FC"/>
    <w:rsid w:val="003B448A"/>
    <w:rsid w:val="003B5A7E"/>
    <w:rsid w:val="003B6130"/>
    <w:rsid w:val="003B65D2"/>
    <w:rsid w:val="003B784A"/>
    <w:rsid w:val="003B7BEA"/>
    <w:rsid w:val="003C0E55"/>
    <w:rsid w:val="003C1AE9"/>
    <w:rsid w:val="003C1DF6"/>
    <w:rsid w:val="003C2364"/>
    <w:rsid w:val="003C318C"/>
    <w:rsid w:val="003C3406"/>
    <w:rsid w:val="003C366B"/>
    <w:rsid w:val="003C37A0"/>
    <w:rsid w:val="003C4320"/>
    <w:rsid w:val="003C4B6E"/>
    <w:rsid w:val="003C50A2"/>
    <w:rsid w:val="003C53BC"/>
    <w:rsid w:val="003C6985"/>
    <w:rsid w:val="003C70D6"/>
    <w:rsid w:val="003C76DA"/>
    <w:rsid w:val="003C7CDD"/>
    <w:rsid w:val="003D1B61"/>
    <w:rsid w:val="003D1C39"/>
    <w:rsid w:val="003D2832"/>
    <w:rsid w:val="003D2EF8"/>
    <w:rsid w:val="003D3104"/>
    <w:rsid w:val="003D33AC"/>
    <w:rsid w:val="003D3542"/>
    <w:rsid w:val="003D3BED"/>
    <w:rsid w:val="003D3E46"/>
    <w:rsid w:val="003D4090"/>
    <w:rsid w:val="003D52C0"/>
    <w:rsid w:val="003D5365"/>
    <w:rsid w:val="003D56DF"/>
    <w:rsid w:val="003D5B51"/>
    <w:rsid w:val="003D68EB"/>
    <w:rsid w:val="003D6BEA"/>
    <w:rsid w:val="003D79E9"/>
    <w:rsid w:val="003D7B4A"/>
    <w:rsid w:val="003D7B5C"/>
    <w:rsid w:val="003E197D"/>
    <w:rsid w:val="003E4576"/>
    <w:rsid w:val="003E4BBF"/>
    <w:rsid w:val="003E5445"/>
    <w:rsid w:val="003E5C7F"/>
    <w:rsid w:val="003E7394"/>
    <w:rsid w:val="003E77D0"/>
    <w:rsid w:val="003F1149"/>
    <w:rsid w:val="003F38E0"/>
    <w:rsid w:val="003F4173"/>
    <w:rsid w:val="003F4B7B"/>
    <w:rsid w:val="003F5E11"/>
    <w:rsid w:val="004011A3"/>
    <w:rsid w:val="0040192D"/>
    <w:rsid w:val="004056F0"/>
    <w:rsid w:val="004067BF"/>
    <w:rsid w:val="0041268D"/>
    <w:rsid w:val="00414B95"/>
    <w:rsid w:val="004171FE"/>
    <w:rsid w:val="0041797C"/>
    <w:rsid w:val="00417B10"/>
    <w:rsid w:val="0042087B"/>
    <w:rsid w:val="00421AFD"/>
    <w:rsid w:val="0042235E"/>
    <w:rsid w:val="004256FC"/>
    <w:rsid w:val="004259B2"/>
    <w:rsid w:val="004272F8"/>
    <w:rsid w:val="00427AF3"/>
    <w:rsid w:val="00432B85"/>
    <w:rsid w:val="00432D9F"/>
    <w:rsid w:val="00433795"/>
    <w:rsid w:val="00434D49"/>
    <w:rsid w:val="00435DA1"/>
    <w:rsid w:val="004409A1"/>
    <w:rsid w:val="00441257"/>
    <w:rsid w:val="00443005"/>
    <w:rsid w:val="00443142"/>
    <w:rsid w:val="004431AA"/>
    <w:rsid w:val="00443690"/>
    <w:rsid w:val="00444AEE"/>
    <w:rsid w:val="004456AC"/>
    <w:rsid w:val="00445734"/>
    <w:rsid w:val="004473CC"/>
    <w:rsid w:val="004478A0"/>
    <w:rsid w:val="00447B48"/>
    <w:rsid w:val="00450813"/>
    <w:rsid w:val="00450FA4"/>
    <w:rsid w:val="00451C2C"/>
    <w:rsid w:val="0045241F"/>
    <w:rsid w:val="00452A6F"/>
    <w:rsid w:val="0045302E"/>
    <w:rsid w:val="004533E4"/>
    <w:rsid w:val="00453869"/>
    <w:rsid w:val="00453B31"/>
    <w:rsid w:val="00454248"/>
    <w:rsid w:val="004548FE"/>
    <w:rsid w:val="004568D9"/>
    <w:rsid w:val="00456903"/>
    <w:rsid w:val="004577DE"/>
    <w:rsid w:val="0046048B"/>
    <w:rsid w:val="00461E9C"/>
    <w:rsid w:val="00461FD4"/>
    <w:rsid w:val="00462332"/>
    <w:rsid w:val="00463972"/>
    <w:rsid w:val="004666B1"/>
    <w:rsid w:val="00471103"/>
    <w:rsid w:val="004717D6"/>
    <w:rsid w:val="00471921"/>
    <w:rsid w:val="004725BC"/>
    <w:rsid w:val="0047320C"/>
    <w:rsid w:val="004736F2"/>
    <w:rsid w:val="004759A4"/>
    <w:rsid w:val="00475E0E"/>
    <w:rsid w:val="004762AA"/>
    <w:rsid w:val="004765FF"/>
    <w:rsid w:val="00477334"/>
    <w:rsid w:val="00481656"/>
    <w:rsid w:val="00482FBB"/>
    <w:rsid w:val="00483677"/>
    <w:rsid w:val="004837A6"/>
    <w:rsid w:val="004861BD"/>
    <w:rsid w:val="00486A47"/>
    <w:rsid w:val="00487C4A"/>
    <w:rsid w:val="00491289"/>
    <w:rsid w:val="0049179A"/>
    <w:rsid w:val="00491F71"/>
    <w:rsid w:val="00493311"/>
    <w:rsid w:val="004934E6"/>
    <w:rsid w:val="00493786"/>
    <w:rsid w:val="00493969"/>
    <w:rsid w:val="00493CB9"/>
    <w:rsid w:val="004948EA"/>
    <w:rsid w:val="004968B0"/>
    <w:rsid w:val="00496DB8"/>
    <w:rsid w:val="004A20AC"/>
    <w:rsid w:val="004A3C67"/>
    <w:rsid w:val="004A3D00"/>
    <w:rsid w:val="004A42E1"/>
    <w:rsid w:val="004A44A6"/>
    <w:rsid w:val="004A46AC"/>
    <w:rsid w:val="004A51F1"/>
    <w:rsid w:val="004A5764"/>
    <w:rsid w:val="004A57CB"/>
    <w:rsid w:val="004A588D"/>
    <w:rsid w:val="004B1729"/>
    <w:rsid w:val="004B2073"/>
    <w:rsid w:val="004B34FF"/>
    <w:rsid w:val="004B4256"/>
    <w:rsid w:val="004B47E4"/>
    <w:rsid w:val="004B5930"/>
    <w:rsid w:val="004C4B5B"/>
    <w:rsid w:val="004C5A17"/>
    <w:rsid w:val="004C66FA"/>
    <w:rsid w:val="004C6758"/>
    <w:rsid w:val="004C70C8"/>
    <w:rsid w:val="004C7A40"/>
    <w:rsid w:val="004D0622"/>
    <w:rsid w:val="004D096E"/>
    <w:rsid w:val="004D0AFD"/>
    <w:rsid w:val="004D14BD"/>
    <w:rsid w:val="004D1E21"/>
    <w:rsid w:val="004D62A8"/>
    <w:rsid w:val="004E0406"/>
    <w:rsid w:val="004E1AF8"/>
    <w:rsid w:val="004E3425"/>
    <w:rsid w:val="004E47A5"/>
    <w:rsid w:val="004E719B"/>
    <w:rsid w:val="004E77CA"/>
    <w:rsid w:val="004F090B"/>
    <w:rsid w:val="004F2A76"/>
    <w:rsid w:val="004F3B44"/>
    <w:rsid w:val="004F4108"/>
    <w:rsid w:val="004F51AA"/>
    <w:rsid w:val="004F5CA8"/>
    <w:rsid w:val="004F649D"/>
    <w:rsid w:val="004F66F6"/>
    <w:rsid w:val="004F6F94"/>
    <w:rsid w:val="005004DE"/>
    <w:rsid w:val="00501AD9"/>
    <w:rsid w:val="0050470F"/>
    <w:rsid w:val="00504809"/>
    <w:rsid w:val="00504CBA"/>
    <w:rsid w:val="0050567E"/>
    <w:rsid w:val="00505D1C"/>
    <w:rsid w:val="005072FE"/>
    <w:rsid w:val="00510260"/>
    <w:rsid w:val="0051101D"/>
    <w:rsid w:val="00515751"/>
    <w:rsid w:val="00515F34"/>
    <w:rsid w:val="00515FF4"/>
    <w:rsid w:val="005200B6"/>
    <w:rsid w:val="0052050E"/>
    <w:rsid w:val="00520732"/>
    <w:rsid w:val="005212F4"/>
    <w:rsid w:val="00521378"/>
    <w:rsid w:val="005229FF"/>
    <w:rsid w:val="00522BA6"/>
    <w:rsid w:val="005230C4"/>
    <w:rsid w:val="005232A1"/>
    <w:rsid w:val="00525600"/>
    <w:rsid w:val="00525A99"/>
    <w:rsid w:val="00525D5E"/>
    <w:rsid w:val="00526C93"/>
    <w:rsid w:val="005303C9"/>
    <w:rsid w:val="00531C8B"/>
    <w:rsid w:val="005347C7"/>
    <w:rsid w:val="005354E1"/>
    <w:rsid w:val="005367EF"/>
    <w:rsid w:val="00536CEB"/>
    <w:rsid w:val="00542AAF"/>
    <w:rsid w:val="0054440B"/>
    <w:rsid w:val="00546B4B"/>
    <w:rsid w:val="005479D8"/>
    <w:rsid w:val="005510E0"/>
    <w:rsid w:val="00552CCC"/>
    <w:rsid w:val="0055325F"/>
    <w:rsid w:val="00553545"/>
    <w:rsid w:val="00553F27"/>
    <w:rsid w:val="005576E6"/>
    <w:rsid w:val="005579D9"/>
    <w:rsid w:val="00560AD3"/>
    <w:rsid w:val="00560B1D"/>
    <w:rsid w:val="00560F65"/>
    <w:rsid w:val="00561313"/>
    <w:rsid w:val="00561D9A"/>
    <w:rsid w:val="00562470"/>
    <w:rsid w:val="005627DE"/>
    <w:rsid w:val="00563117"/>
    <w:rsid w:val="005635BC"/>
    <w:rsid w:val="0056493E"/>
    <w:rsid w:val="00564DDA"/>
    <w:rsid w:val="00564F43"/>
    <w:rsid w:val="00564FA8"/>
    <w:rsid w:val="005658F3"/>
    <w:rsid w:val="00566E24"/>
    <w:rsid w:val="00567D9C"/>
    <w:rsid w:val="00570411"/>
    <w:rsid w:val="005704E8"/>
    <w:rsid w:val="00571287"/>
    <w:rsid w:val="005714F8"/>
    <w:rsid w:val="00571AAD"/>
    <w:rsid w:val="00571DFA"/>
    <w:rsid w:val="005739EC"/>
    <w:rsid w:val="00573F91"/>
    <w:rsid w:val="00574843"/>
    <w:rsid w:val="0057711D"/>
    <w:rsid w:val="00577BA0"/>
    <w:rsid w:val="00577BBC"/>
    <w:rsid w:val="00577E46"/>
    <w:rsid w:val="00577F87"/>
    <w:rsid w:val="00580699"/>
    <w:rsid w:val="00581762"/>
    <w:rsid w:val="00582C12"/>
    <w:rsid w:val="00582DE4"/>
    <w:rsid w:val="00582E92"/>
    <w:rsid w:val="005838A5"/>
    <w:rsid w:val="0058390A"/>
    <w:rsid w:val="00583A79"/>
    <w:rsid w:val="00583D43"/>
    <w:rsid w:val="005843DB"/>
    <w:rsid w:val="0058767B"/>
    <w:rsid w:val="0058777E"/>
    <w:rsid w:val="00592435"/>
    <w:rsid w:val="00592C3D"/>
    <w:rsid w:val="005930D4"/>
    <w:rsid w:val="0059396F"/>
    <w:rsid w:val="00593CCE"/>
    <w:rsid w:val="005950C7"/>
    <w:rsid w:val="005A0430"/>
    <w:rsid w:val="005A0C23"/>
    <w:rsid w:val="005A1B63"/>
    <w:rsid w:val="005A2977"/>
    <w:rsid w:val="005A3754"/>
    <w:rsid w:val="005A41A9"/>
    <w:rsid w:val="005A4D9F"/>
    <w:rsid w:val="005A5727"/>
    <w:rsid w:val="005A6E01"/>
    <w:rsid w:val="005A7CD5"/>
    <w:rsid w:val="005B1706"/>
    <w:rsid w:val="005B2DD7"/>
    <w:rsid w:val="005B5509"/>
    <w:rsid w:val="005B5779"/>
    <w:rsid w:val="005B6977"/>
    <w:rsid w:val="005B6FE9"/>
    <w:rsid w:val="005C0947"/>
    <w:rsid w:val="005C11C8"/>
    <w:rsid w:val="005C12DF"/>
    <w:rsid w:val="005C1B61"/>
    <w:rsid w:val="005C28E6"/>
    <w:rsid w:val="005C3671"/>
    <w:rsid w:val="005C36AD"/>
    <w:rsid w:val="005C37BE"/>
    <w:rsid w:val="005C4599"/>
    <w:rsid w:val="005C53D3"/>
    <w:rsid w:val="005C63EC"/>
    <w:rsid w:val="005C7088"/>
    <w:rsid w:val="005C77C7"/>
    <w:rsid w:val="005D0683"/>
    <w:rsid w:val="005D07E8"/>
    <w:rsid w:val="005D170B"/>
    <w:rsid w:val="005D1B96"/>
    <w:rsid w:val="005D2067"/>
    <w:rsid w:val="005D21E5"/>
    <w:rsid w:val="005D4432"/>
    <w:rsid w:val="005D4785"/>
    <w:rsid w:val="005D4883"/>
    <w:rsid w:val="005D5DB5"/>
    <w:rsid w:val="005D647D"/>
    <w:rsid w:val="005E167A"/>
    <w:rsid w:val="005E1727"/>
    <w:rsid w:val="005E3182"/>
    <w:rsid w:val="005E4D12"/>
    <w:rsid w:val="005E4F33"/>
    <w:rsid w:val="005E5F9F"/>
    <w:rsid w:val="005E6566"/>
    <w:rsid w:val="005E6B17"/>
    <w:rsid w:val="005E733F"/>
    <w:rsid w:val="005F094D"/>
    <w:rsid w:val="005F10C6"/>
    <w:rsid w:val="005F1CB1"/>
    <w:rsid w:val="005F30C0"/>
    <w:rsid w:val="005F335E"/>
    <w:rsid w:val="005F3C8C"/>
    <w:rsid w:val="005F53A6"/>
    <w:rsid w:val="005F6913"/>
    <w:rsid w:val="005F7F56"/>
    <w:rsid w:val="006029F9"/>
    <w:rsid w:val="00603ED9"/>
    <w:rsid w:val="006045E1"/>
    <w:rsid w:val="006049A3"/>
    <w:rsid w:val="00606E89"/>
    <w:rsid w:val="006071A8"/>
    <w:rsid w:val="00607ED2"/>
    <w:rsid w:val="00607FF5"/>
    <w:rsid w:val="006106AC"/>
    <w:rsid w:val="00610CCE"/>
    <w:rsid w:val="0061269D"/>
    <w:rsid w:val="00614986"/>
    <w:rsid w:val="00614E06"/>
    <w:rsid w:val="00615E09"/>
    <w:rsid w:val="00617EE2"/>
    <w:rsid w:val="00620EA4"/>
    <w:rsid w:val="006247EE"/>
    <w:rsid w:val="00624827"/>
    <w:rsid w:val="00625389"/>
    <w:rsid w:val="00626886"/>
    <w:rsid w:val="006274A2"/>
    <w:rsid w:val="00630BD6"/>
    <w:rsid w:val="0063178D"/>
    <w:rsid w:val="00631A11"/>
    <w:rsid w:val="00631AA2"/>
    <w:rsid w:val="00632339"/>
    <w:rsid w:val="00632AF4"/>
    <w:rsid w:val="00637C66"/>
    <w:rsid w:val="006405BE"/>
    <w:rsid w:val="0064222F"/>
    <w:rsid w:val="0064273F"/>
    <w:rsid w:val="00642B45"/>
    <w:rsid w:val="00642C23"/>
    <w:rsid w:val="0064352C"/>
    <w:rsid w:val="006439CF"/>
    <w:rsid w:val="00644E77"/>
    <w:rsid w:val="00646414"/>
    <w:rsid w:val="00646692"/>
    <w:rsid w:val="00646AA5"/>
    <w:rsid w:val="00646AC8"/>
    <w:rsid w:val="006504B1"/>
    <w:rsid w:val="00651115"/>
    <w:rsid w:val="00651A73"/>
    <w:rsid w:val="00652520"/>
    <w:rsid w:val="00652F69"/>
    <w:rsid w:val="00653491"/>
    <w:rsid w:val="00653ED8"/>
    <w:rsid w:val="00654A0F"/>
    <w:rsid w:val="00654EBC"/>
    <w:rsid w:val="00656D77"/>
    <w:rsid w:val="00661969"/>
    <w:rsid w:val="0066331D"/>
    <w:rsid w:val="00663F6E"/>
    <w:rsid w:val="00663F7B"/>
    <w:rsid w:val="006640D9"/>
    <w:rsid w:val="006647CF"/>
    <w:rsid w:val="00665175"/>
    <w:rsid w:val="00665424"/>
    <w:rsid w:val="00666373"/>
    <w:rsid w:val="0066696B"/>
    <w:rsid w:val="00666DA6"/>
    <w:rsid w:val="00667B44"/>
    <w:rsid w:val="00667F69"/>
    <w:rsid w:val="00670224"/>
    <w:rsid w:val="006709F7"/>
    <w:rsid w:val="00670C92"/>
    <w:rsid w:val="00673861"/>
    <w:rsid w:val="00674851"/>
    <w:rsid w:val="00675AD0"/>
    <w:rsid w:val="00676448"/>
    <w:rsid w:val="006777DB"/>
    <w:rsid w:val="00677DC8"/>
    <w:rsid w:val="00682056"/>
    <w:rsid w:val="0068293B"/>
    <w:rsid w:val="00682D55"/>
    <w:rsid w:val="00684D01"/>
    <w:rsid w:val="00685DD6"/>
    <w:rsid w:val="00686265"/>
    <w:rsid w:val="00686E95"/>
    <w:rsid w:val="00690B07"/>
    <w:rsid w:val="0069251D"/>
    <w:rsid w:val="00693746"/>
    <w:rsid w:val="006945C9"/>
    <w:rsid w:val="00694725"/>
    <w:rsid w:val="006957B3"/>
    <w:rsid w:val="00695B17"/>
    <w:rsid w:val="006966F1"/>
    <w:rsid w:val="006A1166"/>
    <w:rsid w:val="006A6642"/>
    <w:rsid w:val="006A6689"/>
    <w:rsid w:val="006A6FE3"/>
    <w:rsid w:val="006A79D7"/>
    <w:rsid w:val="006A7F4D"/>
    <w:rsid w:val="006B0C36"/>
    <w:rsid w:val="006B1CA0"/>
    <w:rsid w:val="006B4648"/>
    <w:rsid w:val="006B50B4"/>
    <w:rsid w:val="006B5164"/>
    <w:rsid w:val="006B5886"/>
    <w:rsid w:val="006B66E6"/>
    <w:rsid w:val="006B6FA2"/>
    <w:rsid w:val="006C00B3"/>
    <w:rsid w:val="006C0C26"/>
    <w:rsid w:val="006C164B"/>
    <w:rsid w:val="006C25E0"/>
    <w:rsid w:val="006C3A3C"/>
    <w:rsid w:val="006C4BCB"/>
    <w:rsid w:val="006C5750"/>
    <w:rsid w:val="006C7281"/>
    <w:rsid w:val="006C7C03"/>
    <w:rsid w:val="006D0852"/>
    <w:rsid w:val="006D0918"/>
    <w:rsid w:val="006D1F2B"/>
    <w:rsid w:val="006D29EF"/>
    <w:rsid w:val="006D308D"/>
    <w:rsid w:val="006D4F3E"/>
    <w:rsid w:val="006D5449"/>
    <w:rsid w:val="006D5B3B"/>
    <w:rsid w:val="006D6C5D"/>
    <w:rsid w:val="006D7F78"/>
    <w:rsid w:val="006D7F91"/>
    <w:rsid w:val="006E0C91"/>
    <w:rsid w:val="006E11E2"/>
    <w:rsid w:val="006E17CE"/>
    <w:rsid w:val="006E3240"/>
    <w:rsid w:val="006E3B86"/>
    <w:rsid w:val="006E43FE"/>
    <w:rsid w:val="006E44E2"/>
    <w:rsid w:val="006E4809"/>
    <w:rsid w:val="006E4CBF"/>
    <w:rsid w:val="006E532B"/>
    <w:rsid w:val="006E6377"/>
    <w:rsid w:val="006E6EED"/>
    <w:rsid w:val="006E70F6"/>
    <w:rsid w:val="006E7121"/>
    <w:rsid w:val="006E7747"/>
    <w:rsid w:val="006E7FB1"/>
    <w:rsid w:val="006F0CB6"/>
    <w:rsid w:val="006F4191"/>
    <w:rsid w:val="006F4AD8"/>
    <w:rsid w:val="006F5EA2"/>
    <w:rsid w:val="006F6B88"/>
    <w:rsid w:val="006F7D77"/>
    <w:rsid w:val="00700564"/>
    <w:rsid w:val="00701389"/>
    <w:rsid w:val="00704068"/>
    <w:rsid w:val="007048E6"/>
    <w:rsid w:val="00707B9C"/>
    <w:rsid w:val="00707DCD"/>
    <w:rsid w:val="00710598"/>
    <w:rsid w:val="00710FC7"/>
    <w:rsid w:val="0071101E"/>
    <w:rsid w:val="007110E2"/>
    <w:rsid w:val="007112FB"/>
    <w:rsid w:val="00714022"/>
    <w:rsid w:val="007151D2"/>
    <w:rsid w:val="00716A5C"/>
    <w:rsid w:val="00717BDF"/>
    <w:rsid w:val="00720C2E"/>
    <w:rsid w:val="00720CEA"/>
    <w:rsid w:val="0072163F"/>
    <w:rsid w:val="00722107"/>
    <w:rsid w:val="00722555"/>
    <w:rsid w:val="00722C20"/>
    <w:rsid w:val="007231AA"/>
    <w:rsid w:val="0072344F"/>
    <w:rsid w:val="00724108"/>
    <w:rsid w:val="00724B45"/>
    <w:rsid w:val="00726F1C"/>
    <w:rsid w:val="0072721D"/>
    <w:rsid w:val="00727EE0"/>
    <w:rsid w:val="007309A8"/>
    <w:rsid w:val="00731902"/>
    <w:rsid w:val="007334EE"/>
    <w:rsid w:val="0073361F"/>
    <w:rsid w:val="00735953"/>
    <w:rsid w:val="0073601B"/>
    <w:rsid w:val="00737448"/>
    <w:rsid w:val="007400DC"/>
    <w:rsid w:val="007405BC"/>
    <w:rsid w:val="00740825"/>
    <w:rsid w:val="007417F6"/>
    <w:rsid w:val="00741F94"/>
    <w:rsid w:val="00742DC8"/>
    <w:rsid w:val="00742E57"/>
    <w:rsid w:val="00743716"/>
    <w:rsid w:val="00743B14"/>
    <w:rsid w:val="0074428C"/>
    <w:rsid w:val="0074653C"/>
    <w:rsid w:val="007503D8"/>
    <w:rsid w:val="007508F9"/>
    <w:rsid w:val="00750AC8"/>
    <w:rsid w:val="00751069"/>
    <w:rsid w:val="0075129D"/>
    <w:rsid w:val="0075180C"/>
    <w:rsid w:val="007518B4"/>
    <w:rsid w:val="00751AE2"/>
    <w:rsid w:val="007533E5"/>
    <w:rsid w:val="00753458"/>
    <w:rsid w:val="007535A1"/>
    <w:rsid w:val="007540B3"/>
    <w:rsid w:val="007565C8"/>
    <w:rsid w:val="007570E9"/>
    <w:rsid w:val="00757CB1"/>
    <w:rsid w:val="00757E3D"/>
    <w:rsid w:val="0076024A"/>
    <w:rsid w:val="00760571"/>
    <w:rsid w:val="00760ED0"/>
    <w:rsid w:val="00761BD7"/>
    <w:rsid w:val="00762584"/>
    <w:rsid w:val="007630B2"/>
    <w:rsid w:val="00764376"/>
    <w:rsid w:val="00764EBE"/>
    <w:rsid w:val="00765FF9"/>
    <w:rsid w:val="00766606"/>
    <w:rsid w:val="00772195"/>
    <w:rsid w:val="00772BFA"/>
    <w:rsid w:val="007731E5"/>
    <w:rsid w:val="00773311"/>
    <w:rsid w:val="007738E5"/>
    <w:rsid w:val="00773A2D"/>
    <w:rsid w:val="00773FD3"/>
    <w:rsid w:val="00774713"/>
    <w:rsid w:val="00774DAA"/>
    <w:rsid w:val="0077620A"/>
    <w:rsid w:val="007768BF"/>
    <w:rsid w:val="00776FA0"/>
    <w:rsid w:val="00777F9A"/>
    <w:rsid w:val="00781364"/>
    <w:rsid w:val="00783186"/>
    <w:rsid w:val="00784688"/>
    <w:rsid w:val="0078553A"/>
    <w:rsid w:val="00786903"/>
    <w:rsid w:val="00791EFE"/>
    <w:rsid w:val="0079219C"/>
    <w:rsid w:val="00793861"/>
    <w:rsid w:val="00794505"/>
    <w:rsid w:val="00795AEC"/>
    <w:rsid w:val="00796329"/>
    <w:rsid w:val="00796396"/>
    <w:rsid w:val="00796746"/>
    <w:rsid w:val="00797829"/>
    <w:rsid w:val="007A114B"/>
    <w:rsid w:val="007A3627"/>
    <w:rsid w:val="007A6BF0"/>
    <w:rsid w:val="007B0040"/>
    <w:rsid w:val="007B118B"/>
    <w:rsid w:val="007B141B"/>
    <w:rsid w:val="007B1C53"/>
    <w:rsid w:val="007B3567"/>
    <w:rsid w:val="007B471E"/>
    <w:rsid w:val="007B5317"/>
    <w:rsid w:val="007B541D"/>
    <w:rsid w:val="007B56C3"/>
    <w:rsid w:val="007B636D"/>
    <w:rsid w:val="007B6BCB"/>
    <w:rsid w:val="007B704E"/>
    <w:rsid w:val="007B7583"/>
    <w:rsid w:val="007B7883"/>
    <w:rsid w:val="007C0463"/>
    <w:rsid w:val="007C06C7"/>
    <w:rsid w:val="007C14D7"/>
    <w:rsid w:val="007C28A7"/>
    <w:rsid w:val="007C5654"/>
    <w:rsid w:val="007C588E"/>
    <w:rsid w:val="007C6D11"/>
    <w:rsid w:val="007C6F6B"/>
    <w:rsid w:val="007D00DD"/>
    <w:rsid w:val="007D02A6"/>
    <w:rsid w:val="007D45AC"/>
    <w:rsid w:val="007D5396"/>
    <w:rsid w:val="007E02BF"/>
    <w:rsid w:val="007E118E"/>
    <w:rsid w:val="007E1D69"/>
    <w:rsid w:val="007E2D59"/>
    <w:rsid w:val="007E364D"/>
    <w:rsid w:val="007E3978"/>
    <w:rsid w:val="007E49E7"/>
    <w:rsid w:val="007E6022"/>
    <w:rsid w:val="007E67E6"/>
    <w:rsid w:val="007E7861"/>
    <w:rsid w:val="007F0789"/>
    <w:rsid w:val="007F0D71"/>
    <w:rsid w:val="007F1169"/>
    <w:rsid w:val="007F1427"/>
    <w:rsid w:val="007F20DB"/>
    <w:rsid w:val="007F3544"/>
    <w:rsid w:val="007F3593"/>
    <w:rsid w:val="007F478F"/>
    <w:rsid w:val="007F5516"/>
    <w:rsid w:val="007F63AD"/>
    <w:rsid w:val="007F73AF"/>
    <w:rsid w:val="00802023"/>
    <w:rsid w:val="00802C7D"/>
    <w:rsid w:val="00804B92"/>
    <w:rsid w:val="00804F30"/>
    <w:rsid w:val="0080651D"/>
    <w:rsid w:val="0080677F"/>
    <w:rsid w:val="00806BAF"/>
    <w:rsid w:val="00806C27"/>
    <w:rsid w:val="00810AFD"/>
    <w:rsid w:val="00811376"/>
    <w:rsid w:val="008116E9"/>
    <w:rsid w:val="0081358A"/>
    <w:rsid w:val="008136BE"/>
    <w:rsid w:val="00813A6C"/>
    <w:rsid w:val="00813F64"/>
    <w:rsid w:val="0081402C"/>
    <w:rsid w:val="008141B8"/>
    <w:rsid w:val="00814711"/>
    <w:rsid w:val="0081728B"/>
    <w:rsid w:val="0081728D"/>
    <w:rsid w:val="008225E3"/>
    <w:rsid w:val="00822A55"/>
    <w:rsid w:val="008232FC"/>
    <w:rsid w:val="00826FF7"/>
    <w:rsid w:val="00827BEA"/>
    <w:rsid w:val="008301ED"/>
    <w:rsid w:val="00831B4A"/>
    <w:rsid w:val="00831EDE"/>
    <w:rsid w:val="00832417"/>
    <w:rsid w:val="008347A7"/>
    <w:rsid w:val="00834B52"/>
    <w:rsid w:val="00834C70"/>
    <w:rsid w:val="00836255"/>
    <w:rsid w:val="008379F9"/>
    <w:rsid w:val="00841218"/>
    <w:rsid w:val="008423E8"/>
    <w:rsid w:val="00842C55"/>
    <w:rsid w:val="00842F0C"/>
    <w:rsid w:val="00844C87"/>
    <w:rsid w:val="00844CDE"/>
    <w:rsid w:val="008462EA"/>
    <w:rsid w:val="00846945"/>
    <w:rsid w:val="008470B7"/>
    <w:rsid w:val="00847DF1"/>
    <w:rsid w:val="008505FE"/>
    <w:rsid w:val="00850922"/>
    <w:rsid w:val="008513B8"/>
    <w:rsid w:val="008515DD"/>
    <w:rsid w:val="008522CE"/>
    <w:rsid w:val="0085379B"/>
    <w:rsid w:val="00854158"/>
    <w:rsid w:val="00855C84"/>
    <w:rsid w:val="0086187B"/>
    <w:rsid w:val="00862C05"/>
    <w:rsid w:val="00864738"/>
    <w:rsid w:val="00871841"/>
    <w:rsid w:val="008755E8"/>
    <w:rsid w:val="00875C25"/>
    <w:rsid w:val="00876727"/>
    <w:rsid w:val="00876D85"/>
    <w:rsid w:val="008805CB"/>
    <w:rsid w:val="00880C46"/>
    <w:rsid w:val="008820F4"/>
    <w:rsid w:val="00882AA7"/>
    <w:rsid w:val="00883382"/>
    <w:rsid w:val="008867C9"/>
    <w:rsid w:val="00887090"/>
    <w:rsid w:val="008900EB"/>
    <w:rsid w:val="008905D4"/>
    <w:rsid w:val="00891113"/>
    <w:rsid w:val="00891B67"/>
    <w:rsid w:val="0089229A"/>
    <w:rsid w:val="00892338"/>
    <w:rsid w:val="00893AF1"/>
    <w:rsid w:val="00893B9F"/>
    <w:rsid w:val="00894567"/>
    <w:rsid w:val="00895EDD"/>
    <w:rsid w:val="008A25CF"/>
    <w:rsid w:val="008A2E98"/>
    <w:rsid w:val="008A3A33"/>
    <w:rsid w:val="008A5528"/>
    <w:rsid w:val="008A5696"/>
    <w:rsid w:val="008A5C14"/>
    <w:rsid w:val="008B0BFB"/>
    <w:rsid w:val="008B0FFA"/>
    <w:rsid w:val="008B1F42"/>
    <w:rsid w:val="008B2B75"/>
    <w:rsid w:val="008B3173"/>
    <w:rsid w:val="008B3A07"/>
    <w:rsid w:val="008C0F72"/>
    <w:rsid w:val="008C1BF4"/>
    <w:rsid w:val="008C22C3"/>
    <w:rsid w:val="008C5291"/>
    <w:rsid w:val="008C611C"/>
    <w:rsid w:val="008C74A0"/>
    <w:rsid w:val="008C7B42"/>
    <w:rsid w:val="008C7CE9"/>
    <w:rsid w:val="008D1CB5"/>
    <w:rsid w:val="008D2326"/>
    <w:rsid w:val="008D2C5B"/>
    <w:rsid w:val="008D322E"/>
    <w:rsid w:val="008D38FD"/>
    <w:rsid w:val="008D5E09"/>
    <w:rsid w:val="008D5E37"/>
    <w:rsid w:val="008D66F8"/>
    <w:rsid w:val="008D69C8"/>
    <w:rsid w:val="008D70AE"/>
    <w:rsid w:val="008D7736"/>
    <w:rsid w:val="008E0378"/>
    <w:rsid w:val="008E0ADD"/>
    <w:rsid w:val="008E0DCC"/>
    <w:rsid w:val="008E12CA"/>
    <w:rsid w:val="008E1C93"/>
    <w:rsid w:val="008E1CCD"/>
    <w:rsid w:val="008E22B4"/>
    <w:rsid w:val="008E2C97"/>
    <w:rsid w:val="008E30D2"/>
    <w:rsid w:val="008E41BE"/>
    <w:rsid w:val="008E41E5"/>
    <w:rsid w:val="008E4988"/>
    <w:rsid w:val="008E4FA0"/>
    <w:rsid w:val="008E5475"/>
    <w:rsid w:val="008E5A79"/>
    <w:rsid w:val="008E6081"/>
    <w:rsid w:val="008E62EF"/>
    <w:rsid w:val="008F04C7"/>
    <w:rsid w:val="008F0CA8"/>
    <w:rsid w:val="008F2C37"/>
    <w:rsid w:val="008F3909"/>
    <w:rsid w:val="008F44CF"/>
    <w:rsid w:val="008F4C97"/>
    <w:rsid w:val="008F5094"/>
    <w:rsid w:val="008F579A"/>
    <w:rsid w:val="008F5E7E"/>
    <w:rsid w:val="008F6B81"/>
    <w:rsid w:val="008F70A6"/>
    <w:rsid w:val="008F7EAE"/>
    <w:rsid w:val="0090010C"/>
    <w:rsid w:val="00900B7B"/>
    <w:rsid w:val="0090179B"/>
    <w:rsid w:val="0090226E"/>
    <w:rsid w:val="009024EA"/>
    <w:rsid w:val="00903445"/>
    <w:rsid w:val="00903C9B"/>
    <w:rsid w:val="00903CF6"/>
    <w:rsid w:val="00905B4E"/>
    <w:rsid w:val="0090786E"/>
    <w:rsid w:val="009117D4"/>
    <w:rsid w:val="0091279E"/>
    <w:rsid w:val="00913D0D"/>
    <w:rsid w:val="009141F3"/>
    <w:rsid w:val="00914A69"/>
    <w:rsid w:val="0091524A"/>
    <w:rsid w:val="00915279"/>
    <w:rsid w:val="00915F91"/>
    <w:rsid w:val="00917559"/>
    <w:rsid w:val="00917F55"/>
    <w:rsid w:val="00920CCC"/>
    <w:rsid w:val="00920F4B"/>
    <w:rsid w:val="00921E78"/>
    <w:rsid w:val="00922044"/>
    <w:rsid w:val="0092340D"/>
    <w:rsid w:val="00924A99"/>
    <w:rsid w:val="00924D40"/>
    <w:rsid w:val="0092543D"/>
    <w:rsid w:val="00925634"/>
    <w:rsid w:val="00925B6F"/>
    <w:rsid w:val="00926FB0"/>
    <w:rsid w:val="00930040"/>
    <w:rsid w:val="00930F8A"/>
    <w:rsid w:val="009316BB"/>
    <w:rsid w:val="009354A8"/>
    <w:rsid w:val="0093689B"/>
    <w:rsid w:val="00936EA2"/>
    <w:rsid w:val="00941A9E"/>
    <w:rsid w:val="00941AE7"/>
    <w:rsid w:val="00941C28"/>
    <w:rsid w:val="009439A2"/>
    <w:rsid w:val="00944094"/>
    <w:rsid w:val="00944674"/>
    <w:rsid w:val="0094491D"/>
    <w:rsid w:val="00945054"/>
    <w:rsid w:val="00946ED4"/>
    <w:rsid w:val="009478AD"/>
    <w:rsid w:val="009500FD"/>
    <w:rsid w:val="00950110"/>
    <w:rsid w:val="00952104"/>
    <w:rsid w:val="009534C5"/>
    <w:rsid w:val="0095424B"/>
    <w:rsid w:val="00955192"/>
    <w:rsid w:val="00955395"/>
    <w:rsid w:val="0095655D"/>
    <w:rsid w:val="0095685F"/>
    <w:rsid w:val="00957EA0"/>
    <w:rsid w:val="0096014E"/>
    <w:rsid w:val="009607B7"/>
    <w:rsid w:val="0096413B"/>
    <w:rsid w:val="009648CF"/>
    <w:rsid w:val="00965459"/>
    <w:rsid w:val="009656C5"/>
    <w:rsid w:val="009664AE"/>
    <w:rsid w:val="00967361"/>
    <w:rsid w:val="00967A75"/>
    <w:rsid w:val="00971908"/>
    <w:rsid w:val="009732BB"/>
    <w:rsid w:val="009734F1"/>
    <w:rsid w:val="00973B64"/>
    <w:rsid w:val="00973C70"/>
    <w:rsid w:val="009742CB"/>
    <w:rsid w:val="00974DCE"/>
    <w:rsid w:val="0097589C"/>
    <w:rsid w:val="0098061C"/>
    <w:rsid w:val="00980636"/>
    <w:rsid w:val="009859D4"/>
    <w:rsid w:val="009860C6"/>
    <w:rsid w:val="009864D3"/>
    <w:rsid w:val="00987E3F"/>
    <w:rsid w:val="00990503"/>
    <w:rsid w:val="0099092D"/>
    <w:rsid w:val="00990A7E"/>
    <w:rsid w:val="009915E4"/>
    <w:rsid w:val="00991792"/>
    <w:rsid w:val="00991B98"/>
    <w:rsid w:val="009949C7"/>
    <w:rsid w:val="00995410"/>
    <w:rsid w:val="00995927"/>
    <w:rsid w:val="00995B0D"/>
    <w:rsid w:val="00996242"/>
    <w:rsid w:val="0099651C"/>
    <w:rsid w:val="00996ADA"/>
    <w:rsid w:val="00997739"/>
    <w:rsid w:val="009A0948"/>
    <w:rsid w:val="009A0AAA"/>
    <w:rsid w:val="009A187B"/>
    <w:rsid w:val="009A1895"/>
    <w:rsid w:val="009A2B40"/>
    <w:rsid w:val="009A33FE"/>
    <w:rsid w:val="009A3B7B"/>
    <w:rsid w:val="009A4A6D"/>
    <w:rsid w:val="009B0A5F"/>
    <w:rsid w:val="009B0A69"/>
    <w:rsid w:val="009B0DB7"/>
    <w:rsid w:val="009B1D49"/>
    <w:rsid w:val="009B2339"/>
    <w:rsid w:val="009B235B"/>
    <w:rsid w:val="009B3A8B"/>
    <w:rsid w:val="009B3AEF"/>
    <w:rsid w:val="009B45AF"/>
    <w:rsid w:val="009B566D"/>
    <w:rsid w:val="009B5985"/>
    <w:rsid w:val="009B63C9"/>
    <w:rsid w:val="009B778B"/>
    <w:rsid w:val="009C0144"/>
    <w:rsid w:val="009C0E5C"/>
    <w:rsid w:val="009C1924"/>
    <w:rsid w:val="009C1F8C"/>
    <w:rsid w:val="009C2E41"/>
    <w:rsid w:val="009C3AB0"/>
    <w:rsid w:val="009C3ADD"/>
    <w:rsid w:val="009C40E2"/>
    <w:rsid w:val="009C4E5D"/>
    <w:rsid w:val="009C59C5"/>
    <w:rsid w:val="009C6446"/>
    <w:rsid w:val="009C68DB"/>
    <w:rsid w:val="009D0130"/>
    <w:rsid w:val="009D35CF"/>
    <w:rsid w:val="009D5946"/>
    <w:rsid w:val="009D6392"/>
    <w:rsid w:val="009D7926"/>
    <w:rsid w:val="009D7D2B"/>
    <w:rsid w:val="009E1E75"/>
    <w:rsid w:val="009E2D6C"/>
    <w:rsid w:val="009E4FB3"/>
    <w:rsid w:val="009E6D1E"/>
    <w:rsid w:val="009E76F8"/>
    <w:rsid w:val="009F111F"/>
    <w:rsid w:val="009F1E57"/>
    <w:rsid w:val="009F22B4"/>
    <w:rsid w:val="009F257C"/>
    <w:rsid w:val="009F25C2"/>
    <w:rsid w:val="009F3FE8"/>
    <w:rsid w:val="009F4BF4"/>
    <w:rsid w:val="009F519F"/>
    <w:rsid w:val="009F6A9F"/>
    <w:rsid w:val="009F6E70"/>
    <w:rsid w:val="009F6F2A"/>
    <w:rsid w:val="009F7A0B"/>
    <w:rsid w:val="00A011D8"/>
    <w:rsid w:val="00A03525"/>
    <w:rsid w:val="00A03DB6"/>
    <w:rsid w:val="00A04925"/>
    <w:rsid w:val="00A058FD"/>
    <w:rsid w:val="00A07803"/>
    <w:rsid w:val="00A07D4F"/>
    <w:rsid w:val="00A1085A"/>
    <w:rsid w:val="00A10BB2"/>
    <w:rsid w:val="00A110B8"/>
    <w:rsid w:val="00A11448"/>
    <w:rsid w:val="00A12070"/>
    <w:rsid w:val="00A133A1"/>
    <w:rsid w:val="00A13884"/>
    <w:rsid w:val="00A140B3"/>
    <w:rsid w:val="00A143EE"/>
    <w:rsid w:val="00A14A25"/>
    <w:rsid w:val="00A167EB"/>
    <w:rsid w:val="00A16B13"/>
    <w:rsid w:val="00A17BFF"/>
    <w:rsid w:val="00A21248"/>
    <w:rsid w:val="00A21E95"/>
    <w:rsid w:val="00A21F6F"/>
    <w:rsid w:val="00A23776"/>
    <w:rsid w:val="00A23928"/>
    <w:rsid w:val="00A24B1F"/>
    <w:rsid w:val="00A25059"/>
    <w:rsid w:val="00A2514B"/>
    <w:rsid w:val="00A25DF5"/>
    <w:rsid w:val="00A26789"/>
    <w:rsid w:val="00A26DBD"/>
    <w:rsid w:val="00A272AC"/>
    <w:rsid w:val="00A27BFF"/>
    <w:rsid w:val="00A311DD"/>
    <w:rsid w:val="00A325BD"/>
    <w:rsid w:val="00A3436D"/>
    <w:rsid w:val="00A348F7"/>
    <w:rsid w:val="00A37D1F"/>
    <w:rsid w:val="00A403E0"/>
    <w:rsid w:val="00A4048E"/>
    <w:rsid w:val="00A4061A"/>
    <w:rsid w:val="00A42E74"/>
    <w:rsid w:val="00A42FCE"/>
    <w:rsid w:val="00A47B2F"/>
    <w:rsid w:val="00A50052"/>
    <w:rsid w:val="00A51E58"/>
    <w:rsid w:val="00A528EC"/>
    <w:rsid w:val="00A52FF3"/>
    <w:rsid w:val="00A5316E"/>
    <w:rsid w:val="00A532AE"/>
    <w:rsid w:val="00A53C69"/>
    <w:rsid w:val="00A571C0"/>
    <w:rsid w:val="00A60008"/>
    <w:rsid w:val="00A61CF5"/>
    <w:rsid w:val="00A61DF7"/>
    <w:rsid w:val="00A6311C"/>
    <w:rsid w:val="00A63A9D"/>
    <w:rsid w:val="00A63C62"/>
    <w:rsid w:val="00A664D1"/>
    <w:rsid w:val="00A66504"/>
    <w:rsid w:val="00A671F9"/>
    <w:rsid w:val="00A677B3"/>
    <w:rsid w:val="00A67972"/>
    <w:rsid w:val="00A67B33"/>
    <w:rsid w:val="00A7230C"/>
    <w:rsid w:val="00A72E7D"/>
    <w:rsid w:val="00A76241"/>
    <w:rsid w:val="00A76930"/>
    <w:rsid w:val="00A76BCB"/>
    <w:rsid w:val="00A76E66"/>
    <w:rsid w:val="00A77D43"/>
    <w:rsid w:val="00A8002F"/>
    <w:rsid w:val="00A80DFC"/>
    <w:rsid w:val="00A8108C"/>
    <w:rsid w:val="00A817F3"/>
    <w:rsid w:val="00A82934"/>
    <w:rsid w:val="00A8294D"/>
    <w:rsid w:val="00A85B52"/>
    <w:rsid w:val="00A87421"/>
    <w:rsid w:val="00A87836"/>
    <w:rsid w:val="00A879DE"/>
    <w:rsid w:val="00A87CEC"/>
    <w:rsid w:val="00A9231A"/>
    <w:rsid w:val="00A927B2"/>
    <w:rsid w:val="00A92C01"/>
    <w:rsid w:val="00A94828"/>
    <w:rsid w:val="00A9492F"/>
    <w:rsid w:val="00A94EB6"/>
    <w:rsid w:val="00A978D6"/>
    <w:rsid w:val="00A97D01"/>
    <w:rsid w:val="00A97DFB"/>
    <w:rsid w:val="00AA1355"/>
    <w:rsid w:val="00AA1B8E"/>
    <w:rsid w:val="00AA38C8"/>
    <w:rsid w:val="00AA4885"/>
    <w:rsid w:val="00AA523C"/>
    <w:rsid w:val="00AA5C0D"/>
    <w:rsid w:val="00AA603D"/>
    <w:rsid w:val="00AA729F"/>
    <w:rsid w:val="00AB0FBC"/>
    <w:rsid w:val="00AB1BFA"/>
    <w:rsid w:val="00AB1C0B"/>
    <w:rsid w:val="00AB2B5E"/>
    <w:rsid w:val="00AB396D"/>
    <w:rsid w:val="00AB6301"/>
    <w:rsid w:val="00AB772D"/>
    <w:rsid w:val="00AC24EC"/>
    <w:rsid w:val="00AC288E"/>
    <w:rsid w:val="00AC31BE"/>
    <w:rsid w:val="00AC3568"/>
    <w:rsid w:val="00AC429B"/>
    <w:rsid w:val="00AC5564"/>
    <w:rsid w:val="00AC616C"/>
    <w:rsid w:val="00AC6B1B"/>
    <w:rsid w:val="00AC7F51"/>
    <w:rsid w:val="00AD027D"/>
    <w:rsid w:val="00AD0A60"/>
    <w:rsid w:val="00AD0DE3"/>
    <w:rsid w:val="00AD21C9"/>
    <w:rsid w:val="00AD2878"/>
    <w:rsid w:val="00AD3A58"/>
    <w:rsid w:val="00AD4314"/>
    <w:rsid w:val="00AD4BE0"/>
    <w:rsid w:val="00AD66AF"/>
    <w:rsid w:val="00AE1C25"/>
    <w:rsid w:val="00AE3030"/>
    <w:rsid w:val="00AE43D4"/>
    <w:rsid w:val="00AE6C68"/>
    <w:rsid w:val="00AE6DF7"/>
    <w:rsid w:val="00AF054C"/>
    <w:rsid w:val="00AF05C5"/>
    <w:rsid w:val="00AF145D"/>
    <w:rsid w:val="00AF3324"/>
    <w:rsid w:val="00AF38F4"/>
    <w:rsid w:val="00AF5FCD"/>
    <w:rsid w:val="00AF735D"/>
    <w:rsid w:val="00AF7F63"/>
    <w:rsid w:val="00B01086"/>
    <w:rsid w:val="00B02D53"/>
    <w:rsid w:val="00B02D68"/>
    <w:rsid w:val="00B05C15"/>
    <w:rsid w:val="00B066D9"/>
    <w:rsid w:val="00B0732F"/>
    <w:rsid w:val="00B078E2"/>
    <w:rsid w:val="00B10A7F"/>
    <w:rsid w:val="00B119CE"/>
    <w:rsid w:val="00B12D53"/>
    <w:rsid w:val="00B12F5E"/>
    <w:rsid w:val="00B1361B"/>
    <w:rsid w:val="00B13694"/>
    <w:rsid w:val="00B136B7"/>
    <w:rsid w:val="00B13A78"/>
    <w:rsid w:val="00B13DF7"/>
    <w:rsid w:val="00B14E3E"/>
    <w:rsid w:val="00B14E70"/>
    <w:rsid w:val="00B17A50"/>
    <w:rsid w:val="00B205DB"/>
    <w:rsid w:val="00B206FF"/>
    <w:rsid w:val="00B216BB"/>
    <w:rsid w:val="00B21998"/>
    <w:rsid w:val="00B21E38"/>
    <w:rsid w:val="00B21FCE"/>
    <w:rsid w:val="00B2343C"/>
    <w:rsid w:val="00B27775"/>
    <w:rsid w:val="00B31A10"/>
    <w:rsid w:val="00B33E7B"/>
    <w:rsid w:val="00B365D3"/>
    <w:rsid w:val="00B3774B"/>
    <w:rsid w:val="00B37F73"/>
    <w:rsid w:val="00B403C6"/>
    <w:rsid w:val="00B413B4"/>
    <w:rsid w:val="00B41473"/>
    <w:rsid w:val="00B418B6"/>
    <w:rsid w:val="00B4449C"/>
    <w:rsid w:val="00B44E91"/>
    <w:rsid w:val="00B45F08"/>
    <w:rsid w:val="00B510DD"/>
    <w:rsid w:val="00B53FB1"/>
    <w:rsid w:val="00B552B3"/>
    <w:rsid w:val="00B57432"/>
    <w:rsid w:val="00B57692"/>
    <w:rsid w:val="00B5771A"/>
    <w:rsid w:val="00B57818"/>
    <w:rsid w:val="00B6027A"/>
    <w:rsid w:val="00B61283"/>
    <w:rsid w:val="00B61AD0"/>
    <w:rsid w:val="00B62C84"/>
    <w:rsid w:val="00B632E5"/>
    <w:rsid w:val="00B648BB"/>
    <w:rsid w:val="00B65103"/>
    <w:rsid w:val="00B6753E"/>
    <w:rsid w:val="00B716EA"/>
    <w:rsid w:val="00B74C32"/>
    <w:rsid w:val="00B75850"/>
    <w:rsid w:val="00B7600C"/>
    <w:rsid w:val="00B773BD"/>
    <w:rsid w:val="00B8165A"/>
    <w:rsid w:val="00B82037"/>
    <w:rsid w:val="00B825A7"/>
    <w:rsid w:val="00B83761"/>
    <w:rsid w:val="00B85636"/>
    <w:rsid w:val="00B85B4D"/>
    <w:rsid w:val="00B85DCB"/>
    <w:rsid w:val="00B9123F"/>
    <w:rsid w:val="00B91A62"/>
    <w:rsid w:val="00B9282A"/>
    <w:rsid w:val="00B94900"/>
    <w:rsid w:val="00B96404"/>
    <w:rsid w:val="00BA12FF"/>
    <w:rsid w:val="00BA1DF8"/>
    <w:rsid w:val="00BA467B"/>
    <w:rsid w:val="00BA5A51"/>
    <w:rsid w:val="00BA5DBF"/>
    <w:rsid w:val="00BA5E39"/>
    <w:rsid w:val="00BA6341"/>
    <w:rsid w:val="00BA78A0"/>
    <w:rsid w:val="00BA7F3B"/>
    <w:rsid w:val="00BB0295"/>
    <w:rsid w:val="00BB3AFF"/>
    <w:rsid w:val="00BB408C"/>
    <w:rsid w:val="00BB461A"/>
    <w:rsid w:val="00BB6100"/>
    <w:rsid w:val="00BB67F2"/>
    <w:rsid w:val="00BB6FC0"/>
    <w:rsid w:val="00BB7BBE"/>
    <w:rsid w:val="00BB7E9F"/>
    <w:rsid w:val="00BC0304"/>
    <w:rsid w:val="00BC1258"/>
    <w:rsid w:val="00BC178F"/>
    <w:rsid w:val="00BC4327"/>
    <w:rsid w:val="00BC5E98"/>
    <w:rsid w:val="00BC6269"/>
    <w:rsid w:val="00BC651D"/>
    <w:rsid w:val="00BC67B1"/>
    <w:rsid w:val="00BC7F97"/>
    <w:rsid w:val="00BD26FE"/>
    <w:rsid w:val="00BD4208"/>
    <w:rsid w:val="00BD5157"/>
    <w:rsid w:val="00BD51AC"/>
    <w:rsid w:val="00BD6355"/>
    <w:rsid w:val="00BD65C7"/>
    <w:rsid w:val="00BD78D7"/>
    <w:rsid w:val="00BD7993"/>
    <w:rsid w:val="00BE10EF"/>
    <w:rsid w:val="00BE46FE"/>
    <w:rsid w:val="00BE48F3"/>
    <w:rsid w:val="00BE4A86"/>
    <w:rsid w:val="00BE6310"/>
    <w:rsid w:val="00BE6F1B"/>
    <w:rsid w:val="00BE74B2"/>
    <w:rsid w:val="00BF04A9"/>
    <w:rsid w:val="00BF1329"/>
    <w:rsid w:val="00BF1397"/>
    <w:rsid w:val="00BF182A"/>
    <w:rsid w:val="00BF19FD"/>
    <w:rsid w:val="00BF364E"/>
    <w:rsid w:val="00BF4067"/>
    <w:rsid w:val="00BF447A"/>
    <w:rsid w:val="00BF4E24"/>
    <w:rsid w:val="00BF5441"/>
    <w:rsid w:val="00BF7B01"/>
    <w:rsid w:val="00C000E6"/>
    <w:rsid w:val="00C01333"/>
    <w:rsid w:val="00C025B7"/>
    <w:rsid w:val="00C03EA7"/>
    <w:rsid w:val="00C05FA4"/>
    <w:rsid w:val="00C06662"/>
    <w:rsid w:val="00C06C6C"/>
    <w:rsid w:val="00C103C6"/>
    <w:rsid w:val="00C10A56"/>
    <w:rsid w:val="00C12D29"/>
    <w:rsid w:val="00C14063"/>
    <w:rsid w:val="00C15FBE"/>
    <w:rsid w:val="00C16161"/>
    <w:rsid w:val="00C165BC"/>
    <w:rsid w:val="00C16803"/>
    <w:rsid w:val="00C21EFD"/>
    <w:rsid w:val="00C221DA"/>
    <w:rsid w:val="00C22BE1"/>
    <w:rsid w:val="00C22FE0"/>
    <w:rsid w:val="00C232B2"/>
    <w:rsid w:val="00C23561"/>
    <w:rsid w:val="00C244B4"/>
    <w:rsid w:val="00C2580B"/>
    <w:rsid w:val="00C273C5"/>
    <w:rsid w:val="00C30837"/>
    <w:rsid w:val="00C32470"/>
    <w:rsid w:val="00C32FC8"/>
    <w:rsid w:val="00C33345"/>
    <w:rsid w:val="00C337C8"/>
    <w:rsid w:val="00C34354"/>
    <w:rsid w:val="00C34D25"/>
    <w:rsid w:val="00C36C0B"/>
    <w:rsid w:val="00C3772E"/>
    <w:rsid w:val="00C406F9"/>
    <w:rsid w:val="00C40E1D"/>
    <w:rsid w:val="00C4194B"/>
    <w:rsid w:val="00C41E6D"/>
    <w:rsid w:val="00C41EB5"/>
    <w:rsid w:val="00C42CBA"/>
    <w:rsid w:val="00C42E41"/>
    <w:rsid w:val="00C44405"/>
    <w:rsid w:val="00C467FC"/>
    <w:rsid w:val="00C5002D"/>
    <w:rsid w:val="00C524EC"/>
    <w:rsid w:val="00C52FED"/>
    <w:rsid w:val="00C53069"/>
    <w:rsid w:val="00C53B69"/>
    <w:rsid w:val="00C53D8E"/>
    <w:rsid w:val="00C54504"/>
    <w:rsid w:val="00C54AB9"/>
    <w:rsid w:val="00C56702"/>
    <w:rsid w:val="00C57CB2"/>
    <w:rsid w:val="00C57F89"/>
    <w:rsid w:val="00C610F8"/>
    <w:rsid w:val="00C6179A"/>
    <w:rsid w:val="00C61AB8"/>
    <w:rsid w:val="00C633ED"/>
    <w:rsid w:val="00C63C20"/>
    <w:rsid w:val="00C644E0"/>
    <w:rsid w:val="00C64762"/>
    <w:rsid w:val="00C64905"/>
    <w:rsid w:val="00C64CF2"/>
    <w:rsid w:val="00C654FA"/>
    <w:rsid w:val="00C6563F"/>
    <w:rsid w:val="00C66581"/>
    <w:rsid w:val="00C67B5D"/>
    <w:rsid w:val="00C702A3"/>
    <w:rsid w:val="00C7096D"/>
    <w:rsid w:val="00C70FCD"/>
    <w:rsid w:val="00C71542"/>
    <w:rsid w:val="00C71E50"/>
    <w:rsid w:val="00C72861"/>
    <w:rsid w:val="00C7502C"/>
    <w:rsid w:val="00C757E8"/>
    <w:rsid w:val="00C75E3E"/>
    <w:rsid w:val="00C76103"/>
    <w:rsid w:val="00C77AF2"/>
    <w:rsid w:val="00C805D1"/>
    <w:rsid w:val="00C80690"/>
    <w:rsid w:val="00C81391"/>
    <w:rsid w:val="00C81C36"/>
    <w:rsid w:val="00C81DD8"/>
    <w:rsid w:val="00C821F3"/>
    <w:rsid w:val="00C83785"/>
    <w:rsid w:val="00C84773"/>
    <w:rsid w:val="00C85638"/>
    <w:rsid w:val="00C8592C"/>
    <w:rsid w:val="00C864F2"/>
    <w:rsid w:val="00C86506"/>
    <w:rsid w:val="00C86B17"/>
    <w:rsid w:val="00C86D6D"/>
    <w:rsid w:val="00C9052A"/>
    <w:rsid w:val="00C9120F"/>
    <w:rsid w:val="00C918A5"/>
    <w:rsid w:val="00C9298D"/>
    <w:rsid w:val="00C95881"/>
    <w:rsid w:val="00C95B71"/>
    <w:rsid w:val="00C96036"/>
    <w:rsid w:val="00C967ED"/>
    <w:rsid w:val="00C970EA"/>
    <w:rsid w:val="00CA022C"/>
    <w:rsid w:val="00CA0AC7"/>
    <w:rsid w:val="00CA1DBB"/>
    <w:rsid w:val="00CA347E"/>
    <w:rsid w:val="00CA35E5"/>
    <w:rsid w:val="00CA4E82"/>
    <w:rsid w:val="00CA78A6"/>
    <w:rsid w:val="00CB0A9B"/>
    <w:rsid w:val="00CB0AC7"/>
    <w:rsid w:val="00CB0AFF"/>
    <w:rsid w:val="00CB1ACF"/>
    <w:rsid w:val="00CB2A52"/>
    <w:rsid w:val="00CB2E3F"/>
    <w:rsid w:val="00CB3A00"/>
    <w:rsid w:val="00CB3C72"/>
    <w:rsid w:val="00CB3F41"/>
    <w:rsid w:val="00CB4936"/>
    <w:rsid w:val="00CB7298"/>
    <w:rsid w:val="00CB7DCB"/>
    <w:rsid w:val="00CC0173"/>
    <w:rsid w:val="00CC1A9B"/>
    <w:rsid w:val="00CC234E"/>
    <w:rsid w:val="00CC236C"/>
    <w:rsid w:val="00CC2AF7"/>
    <w:rsid w:val="00CC32E0"/>
    <w:rsid w:val="00CC4F19"/>
    <w:rsid w:val="00CC56A2"/>
    <w:rsid w:val="00CC64E6"/>
    <w:rsid w:val="00CC6AA9"/>
    <w:rsid w:val="00CC7B2A"/>
    <w:rsid w:val="00CC7CE2"/>
    <w:rsid w:val="00CC7E2B"/>
    <w:rsid w:val="00CD16F3"/>
    <w:rsid w:val="00CD1E7B"/>
    <w:rsid w:val="00CD2150"/>
    <w:rsid w:val="00CD3D65"/>
    <w:rsid w:val="00CD3E50"/>
    <w:rsid w:val="00CD4824"/>
    <w:rsid w:val="00CD51E5"/>
    <w:rsid w:val="00CD547F"/>
    <w:rsid w:val="00CD5AC8"/>
    <w:rsid w:val="00CD6D61"/>
    <w:rsid w:val="00CD7BD6"/>
    <w:rsid w:val="00CD7C3D"/>
    <w:rsid w:val="00CD7FE4"/>
    <w:rsid w:val="00CE016B"/>
    <w:rsid w:val="00CE0A8A"/>
    <w:rsid w:val="00CE0B45"/>
    <w:rsid w:val="00CE1232"/>
    <w:rsid w:val="00CE1D7F"/>
    <w:rsid w:val="00CE2D7D"/>
    <w:rsid w:val="00CE2E7C"/>
    <w:rsid w:val="00CE30F3"/>
    <w:rsid w:val="00CE3774"/>
    <w:rsid w:val="00CE4B8F"/>
    <w:rsid w:val="00CE5627"/>
    <w:rsid w:val="00CE7134"/>
    <w:rsid w:val="00CE7D6B"/>
    <w:rsid w:val="00CF26AD"/>
    <w:rsid w:val="00CF315F"/>
    <w:rsid w:val="00CF3202"/>
    <w:rsid w:val="00CF4017"/>
    <w:rsid w:val="00CF5DC7"/>
    <w:rsid w:val="00CF6DA4"/>
    <w:rsid w:val="00D001EF"/>
    <w:rsid w:val="00D00EC0"/>
    <w:rsid w:val="00D024AC"/>
    <w:rsid w:val="00D02AEE"/>
    <w:rsid w:val="00D03C51"/>
    <w:rsid w:val="00D04388"/>
    <w:rsid w:val="00D04AC6"/>
    <w:rsid w:val="00D10073"/>
    <w:rsid w:val="00D10C50"/>
    <w:rsid w:val="00D12693"/>
    <w:rsid w:val="00D12858"/>
    <w:rsid w:val="00D12CB8"/>
    <w:rsid w:val="00D139F9"/>
    <w:rsid w:val="00D20B7D"/>
    <w:rsid w:val="00D2129B"/>
    <w:rsid w:val="00D21681"/>
    <w:rsid w:val="00D22D0A"/>
    <w:rsid w:val="00D241A6"/>
    <w:rsid w:val="00D241C9"/>
    <w:rsid w:val="00D254EA"/>
    <w:rsid w:val="00D26E2D"/>
    <w:rsid w:val="00D31C31"/>
    <w:rsid w:val="00D325C6"/>
    <w:rsid w:val="00D329FE"/>
    <w:rsid w:val="00D3347A"/>
    <w:rsid w:val="00D33640"/>
    <w:rsid w:val="00D33D74"/>
    <w:rsid w:val="00D34FA4"/>
    <w:rsid w:val="00D35ABB"/>
    <w:rsid w:val="00D368DE"/>
    <w:rsid w:val="00D37878"/>
    <w:rsid w:val="00D37CA0"/>
    <w:rsid w:val="00D37CDC"/>
    <w:rsid w:val="00D40F2F"/>
    <w:rsid w:val="00D41324"/>
    <w:rsid w:val="00D41FB9"/>
    <w:rsid w:val="00D426F0"/>
    <w:rsid w:val="00D42731"/>
    <w:rsid w:val="00D43458"/>
    <w:rsid w:val="00D43F78"/>
    <w:rsid w:val="00D444B4"/>
    <w:rsid w:val="00D44F8C"/>
    <w:rsid w:val="00D4562E"/>
    <w:rsid w:val="00D45E68"/>
    <w:rsid w:val="00D464C1"/>
    <w:rsid w:val="00D46F5E"/>
    <w:rsid w:val="00D477F1"/>
    <w:rsid w:val="00D513AE"/>
    <w:rsid w:val="00D51BEA"/>
    <w:rsid w:val="00D521A9"/>
    <w:rsid w:val="00D523F8"/>
    <w:rsid w:val="00D52786"/>
    <w:rsid w:val="00D55553"/>
    <w:rsid w:val="00D5694A"/>
    <w:rsid w:val="00D6184E"/>
    <w:rsid w:val="00D62085"/>
    <w:rsid w:val="00D6242C"/>
    <w:rsid w:val="00D62B9E"/>
    <w:rsid w:val="00D63124"/>
    <w:rsid w:val="00D6332E"/>
    <w:rsid w:val="00D64549"/>
    <w:rsid w:val="00D6522B"/>
    <w:rsid w:val="00D65384"/>
    <w:rsid w:val="00D65D2E"/>
    <w:rsid w:val="00D65EB8"/>
    <w:rsid w:val="00D67E50"/>
    <w:rsid w:val="00D72383"/>
    <w:rsid w:val="00D7266C"/>
    <w:rsid w:val="00D72721"/>
    <w:rsid w:val="00D7351D"/>
    <w:rsid w:val="00D74469"/>
    <w:rsid w:val="00D74AAC"/>
    <w:rsid w:val="00D75CC4"/>
    <w:rsid w:val="00D76A70"/>
    <w:rsid w:val="00D76C64"/>
    <w:rsid w:val="00D774E5"/>
    <w:rsid w:val="00D80172"/>
    <w:rsid w:val="00D80233"/>
    <w:rsid w:val="00D812D1"/>
    <w:rsid w:val="00D82CE4"/>
    <w:rsid w:val="00D83039"/>
    <w:rsid w:val="00D84AC2"/>
    <w:rsid w:val="00D85CDD"/>
    <w:rsid w:val="00D8646A"/>
    <w:rsid w:val="00D86D6E"/>
    <w:rsid w:val="00D87371"/>
    <w:rsid w:val="00D87518"/>
    <w:rsid w:val="00D901B3"/>
    <w:rsid w:val="00D906A9"/>
    <w:rsid w:val="00D91B8C"/>
    <w:rsid w:val="00D91C3E"/>
    <w:rsid w:val="00D920EB"/>
    <w:rsid w:val="00D92DE2"/>
    <w:rsid w:val="00D93451"/>
    <w:rsid w:val="00D93BFC"/>
    <w:rsid w:val="00D94288"/>
    <w:rsid w:val="00D94A53"/>
    <w:rsid w:val="00D94F64"/>
    <w:rsid w:val="00D96C46"/>
    <w:rsid w:val="00D97733"/>
    <w:rsid w:val="00D97F3B"/>
    <w:rsid w:val="00D97F63"/>
    <w:rsid w:val="00DA149C"/>
    <w:rsid w:val="00DA3494"/>
    <w:rsid w:val="00DA3D7A"/>
    <w:rsid w:val="00DA3E05"/>
    <w:rsid w:val="00DA474E"/>
    <w:rsid w:val="00DA6681"/>
    <w:rsid w:val="00DA7887"/>
    <w:rsid w:val="00DA78C3"/>
    <w:rsid w:val="00DB02E2"/>
    <w:rsid w:val="00DB09B1"/>
    <w:rsid w:val="00DB0B85"/>
    <w:rsid w:val="00DB0C4E"/>
    <w:rsid w:val="00DB159A"/>
    <w:rsid w:val="00DB3406"/>
    <w:rsid w:val="00DB3408"/>
    <w:rsid w:val="00DB40AD"/>
    <w:rsid w:val="00DB414D"/>
    <w:rsid w:val="00DB47E0"/>
    <w:rsid w:val="00DB544D"/>
    <w:rsid w:val="00DB57D2"/>
    <w:rsid w:val="00DB57FF"/>
    <w:rsid w:val="00DB72A4"/>
    <w:rsid w:val="00DC0210"/>
    <w:rsid w:val="00DC02DA"/>
    <w:rsid w:val="00DC0430"/>
    <w:rsid w:val="00DC20B1"/>
    <w:rsid w:val="00DC2F70"/>
    <w:rsid w:val="00DC38F8"/>
    <w:rsid w:val="00DC3E3D"/>
    <w:rsid w:val="00DC4BD2"/>
    <w:rsid w:val="00DC62C2"/>
    <w:rsid w:val="00DC7277"/>
    <w:rsid w:val="00DC7976"/>
    <w:rsid w:val="00DD0263"/>
    <w:rsid w:val="00DD08E2"/>
    <w:rsid w:val="00DD0AAB"/>
    <w:rsid w:val="00DD1323"/>
    <w:rsid w:val="00DD3C2F"/>
    <w:rsid w:val="00DD488F"/>
    <w:rsid w:val="00DD5AB2"/>
    <w:rsid w:val="00DD60D7"/>
    <w:rsid w:val="00DD615B"/>
    <w:rsid w:val="00DD6A75"/>
    <w:rsid w:val="00DD79DF"/>
    <w:rsid w:val="00DE1316"/>
    <w:rsid w:val="00DE14BA"/>
    <w:rsid w:val="00DE2B1E"/>
    <w:rsid w:val="00DE3151"/>
    <w:rsid w:val="00DE3581"/>
    <w:rsid w:val="00DE3A6F"/>
    <w:rsid w:val="00DE426B"/>
    <w:rsid w:val="00DE5557"/>
    <w:rsid w:val="00DF0A54"/>
    <w:rsid w:val="00DF153E"/>
    <w:rsid w:val="00DF1C98"/>
    <w:rsid w:val="00DF1EE7"/>
    <w:rsid w:val="00DF372E"/>
    <w:rsid w:val="00DF4498"/>
    <w:rsid w:val="00DF4A38"/>
    <w:rsid w:val="00DF4CD3"/>
    <w:rsid w:val="00DF753D"/>
    <w:rsid w:val="00DF76B5"/>
    <w:rsid w:val="00DF7D57"/>
    <w:rsid w:val="00E00427"/>
    <w:rsid w:val="00E00428"/>
    <w:rsid w:val="00E004F6"/>
    <w:rsid w:val="00E00EC4"/>
    <w:rsid w:val="00E028EF"/>
    <w:rsid w:val="00E02BD9"/>
    <w:rsid w:val="00E02DE5"/>
    <w:rsid w:val="00E02EB4"/>
    <w:rsid w:val="00E035F9"/>
    <w:rsid w:val="00E03B55"/>
    <w:rsid w:val="00E03BF2"/>
    <w:rsid w:val="00E05685"/>
    <w:rsid w:val="00E05839"/>
    <w:rsid w:val="00E05C62"/>
    <w:rsid w:val="00E05DFE"/>
    <w:rsid w:val="00E06018"/>
    <w:rsid w:val="00E07237"/>
    <w:rsid w:val="00E102B3"/>
    <w:rsid w:val="00E1069D"/>
    <w:rsid w:val="00E11104"/>
    <w:rsid w:val="00E119D3"/>
    <w:rsid w:val="00E1200D"/>
    <w:rsid w:val="00E12E5D"/>
    <w:rsid w:val="00E1661E"/>
    <w:rsid w:val="00E16FFB"/>
    <w:rsid w:val="00E17104"/>
    <w:rsid w:val="00E17E49"/>
    <w:rsid w:val="00E202F8"/>
    <w:rsid w:val="00E20799"/>
    <w:rsid w:val="00E224CB"/>
    <w:rsid w:val="00E22F1F"/>
    <w:rsid w:val="00E24B82"/>
    <w:rsid w:val="00E25BC4"/>
    <w:rsid w:val="00E25C8D"/>
    <w:rsid w:val="00E30A36"/>
    <w:rsid w:val="00E31514"/>
    <w:rsid w:val="00E322E1"/>
    <w:rsid w:val="00E32688"/>
    <w:rsid w:val="00E3393B"/>
    <w:rsid w:val="00E349FB"/>
    <w:rsid w:val="00E35435"/>
    <w:rsid w:val="00E36732"/>
    <w:rsid w:val="00E37263"/>
    <w:rsid w:val="00E379AC"/>
    <w:rsid w:val="00E41709"/>
    <w:rsid w:val="00E4243A"/>
    <w:rsid w:val="00E446A0"/>
    <w:rsid w:val="00E45668"/>
    <w:rsid w:val="00E458C7"/>
    <w:rsid w:val="00E45FEC"/>
    <w:rsid w:val="00E47D56"/>
    <w:rsid w:val="00E50C8B"/>
    <w:rsid w:val="00E51ABB"/>
    <w:rsid w:val="00E53F99"/>
    <w:rsid w:val="00E546AD"/>
    <w:rsid w:val="00E548AB"/>
    <w:rsid w:val="00E548F0"/>
    <w:rsid w:val="00E5519B"/>
    <w:rsid w:val="00E56332"/>
    <w:rsid w:val="00E566D0"/>
    <w:rsid w:val="00E5685A"/>
    <w:rsid w:val="00E605D6"/>
    <w:rsid w:val="00E60C2F"/>
    <w:rsid w:val="00E610F3"/>
    <w:rsid w:val="00E62643"/>
    <w:rsid w:val="00E627A8"/>
    <w:rsid w:val="00E62B95"/>
    <w:rsid w:val="00E635BB"/>
    <w:rsid w:val="00E63E90"/>
    <w:rsid w:val="00E64E99"/>
    <w:rsid w:val="00E6605C"/>
    <w:rsid w:val="00E6633C"/>
    <w:rsid w:val="00E713F1"/>
    <w:rsid w:val="00E734F0"/>
    <w:rsid w:val="00E755F6"/>
    <w:rsid w:val="00E76B57"/>
    <w:rsid w:val="00E77D73"/>
    <w:rsid w:val="00E80E95"/>
    <w:rsid w:val="00E81E75"/>
    <w:rsid w:val="00E82420"/>
    <w:rsid w:val="00E829DA"/>
    <w:rsid w:val="00E856BA"/>
    <w:rsid w:val="00E85ACF"/>
    <w:rsid w:val="00E86B85"/>
    <w:rsid w:val="00E8743E"/>
    <w:rsid w:val="00E91F06"/>
    <w:rsid w:val="00E9356A"/>
    <w:rsid w:val="00E940D8"/>
    <w:rsid w:val="00E943D0"/>
    <w:rsid w:val="00E94748"/>
    <w:rsid w:val="00E95B2D"/>
    <w:rsid w:val="00EA1189"/>
    <w:rsid w:val="00EA3905"/>
    <w:rsid w:val="00EA429D"/>
    <w:rsid w:val="00EA4F87"/>
    <w:rsid w:val="00EA56C6"/>
    <w:rsid w:val="00EA5FA5"/>
    <w:rsid w:val="00EB09F0"/>
    <w:rsid w:val="00EB169A"/>
    <w:rsid w:val="00EB2222"/>
    <w:rsid w:val="00EB3E58"/>
    <w:rsid w:val="00EB4888"/>
    <w:rsid w:val="00EB648D"/>
    <w:rsid w:val="00EB68ED"/>
    <w:rsid w:val="00EB6974"/>
    <w:rsid w:val="00EB6C76"/>
    <w:rsid w:val="00EB7DB0"/>
    <w:rsid w:val="00EB7F90"/>
    <w:rsid w:val="00EC148A"/>
    <w:rsid w:val="00EC1A1B"/>
    <w:rsid w:val="00EC2EA9"/>
    <w:rsid w:val="00EC3796"/>
    <w:rsid w:val="00EC5847"/>
    <w:rsid w:val="00EC5BE4"/>
    <w:rsid w:val="00EC5F0B"/>
    <w:rsid w:val="00EC65F8"/>
    <w:rsid w:val="00EC69D1"/>
    <w:rsid w:val="00EC6B8C"/>
    <w:rsid w:val="00EC6E11"/>
    <w:rsid w:val="00ED0065"/>
    <w:rsid w:val="00ED053C"/>
    <w:rsid w:val="00ED197F"/>
    <w:rsid w:val="00ED1F54"/>
    <w:rsid w:val="00ED2A54"/>
    <w:rsid w:val="00ED30D0"/>
    <w:rsid w:val="00ED35CF"/>
    <w:rsid w:val="00ED3EBE"/>
    <w:rsid w:val="00ED42D4"/>
    <w:rsid w:val="00ED48C3"/>
    <w:rsid w:val="00ED6143"/>
    <w:rsid w:val="00ED75A8"/>
    <w:rsid w:val="00EE04BC"/>
    <w:rsid w:val="00EE0A93"/>
    <w:rsid w:val="00EE0FEE"/>
    <w:rsid w:val="00EE1B78"/>
    <w:rsid w:val="00EE1D43"/>
    <w:rsid w:val="00EE3416"/>
    <w:rsid w:val="00EE3F09"/>
    <w:rsid w:val="00EE6D67"/>
    <w:rsid w:val="00EF11F7"/>
    <w:rsid w:val="00EF2048"/>
    <w:rsid w:val="00EF2BA2"/>
    <w:rsid w:val="00EF2CEE"/>
    <w:rsid w:val="00EF33AC"/>
    <w:rsid w:val="00EF59BC"/>
    <w:rsid w:val="00EF6AD4"/>
    <w:rsid w:val="00EF70A9"/>
    <w:rsid w:val="00F002C4"/>
    <w:rsid w:val="00F01937"/>
    <w:rsid w:val="00F02BE2"/>
    <w:rsid w:val="00F0372B"/>
    <w:rsid w:val="00F03800"/>
    <w:rsid w:val="00F04248"/>
    <w:rsid w:val="00F05968"/>
    <w:rsid w:val="00F05DB3"/>
    <w:rsid w:val="00F06271"/>
    <w:rsid w:val="00F0660F"/>
    <w:rsid w:val="00F075A6"/>
    <w:rsid w:val="00F103F9"/>
    <w:rsid w:val="00F11135"/>
    <w:rsid w:val="00F11FAE"/>
    <w:rsid w:val="00F12D55"/>
    <w:rsid w:val="00F12F0D"/>
    <w:rsid w:val="00F1458E"/>
    <w:rsid w:val="00F149A0"/>
    <w:rsid w:val="00F16463"/>
    <w:rsid w:val="00F168B2"/>
    <w:rsid w:val="00F20618"/>
    <w:rsid w:val="00F2084A"/>
    <w:rsid w:val="00F220A7"/>
    <w:rsid w:val="00F227BC"/>
    <w:rsid w:val="00F22E6A"/>
    <w:rsid w:val="00F22E79"/>
    <w:rsid w:val="00F23373"/>
    <w:rsid w:val="00F236D8"/>
    <w:rsid w:val="00F23859"/>
    <w:rsid w:val="00F25DF5"/>
    <w:rsid w:val="00F2677D"/>
    <w:rsid w:val="00F27224"/>
    <w:rsid w:val="00F27CCF"/>
    <w:rsid w:val="00F30A0A"/>
    <w:rsid w:val="00F3170F"/>
    <w:rsid w:val="00F31D93"/>
    <w:rsid w:val="00F32BF0"/>
    <w:rsid w:val="00F3478D"/>
    <w:rsid w:val="00F34D61"/>
    <w:rsid w:val="00F350D2"/>
    <w:rsid w:val="00F3561A"/>
    <w:rsid w:val="00F35D09"/>
    <w:rsid w:val="00F3652B"/>
    <w:rsid w:val="00F36E07"/>
    <w:rsid w:val="00F36FCE"/>
    <w:rsid w:val="00F3731E"/>
    <w:rsid w:val="00F374E3"/>
    <w:rsid w:val="00F37E41"/>
    <w:rsid w:val="00F40A8B"/>
    <w:rsid w:val="00F41153"/>
    <w:rsid w:val="00F41258"/>
    <w:rsid w:val="00F41648"/>
    <w:rsid w:val="00F4203D"/>
    <w:rsid w:val="00F43CB9"/>
    <w:rsid w:val="00F46872"/>
    <w:rsid w:val="00F46E81"/>
    <w:rsid w:val="00F472F4"/>
    <w:rsid w:val="00F474AC"/>
    <w:rsid w:val="00F478E8"/>
    <w:rsid w:val="00F47A55"/>
    <w:rsid w:val="00F47DBC"/>
    <w:rsid w:val="00F5035B"/>
    <w:rsid w:val="00F5268C"/>
    <w:rsid w:val="00F530EF"/>
    <w:rsid w:val="00F5449C"/>
    <w:rsid w:val="00F54BE3"/>
    <w:rsid w:val="00F55E9E"/>
    <w:rsid w:val="00F60B3B"/>
    <w:rsid w:val="00F62008"/>
    <w:rsid w:val="00F62A17"/>
    <w:rsid w:val="00F62C77"/>
    <w:rsid w:val="00F639C7"/>
    <w:rsid w:val="00F63A25"/>
    <w:rsid w:val="00F63E17"/>
    <w:rsid w:val="00F641D8"/>
    <w:rsid w:val="00F65631"/>
    <w:rsid w:val="00F65FE0"/>
    <w:rsid w:val="00F664F4"/>
    <w:rsid w:val="00F67FA8"/>
    <w:rsid w:val="00F7014B"/>
    <w:rsid w:val="00F704A7"/>
    <w:rsid w:val="00F7064C"/>
    <w:rsid w:val="00F70652"/>
    <w:rsid w:val="00F7149E"/>
    <w:rsid w:val="00F71DC3"/>
    <w:rsid w:val="00F72105"/>
    <w:rsid w:val="00F7231E"/>
    <w:rsid w:val="00F726A8"/>
    <w:rsid w:val="00F7290F"/>
    <w:rsid w:val="00F73AB5"/>
    <w:rsid w:val="00F7450B"/>
    <w:rsid w:val="00F751E6"/>
    <w:rsid w:val="00F75E3C"/>
    <w:rsid w:val="00F76033"/>
    <w:rsid w:val="00F7621E"/>
    <w:rsid w:val="00F77067"/>
    <w:rsid w:val="00F7734E"/>
    <w:rsid w:val="00F817E7"/>
    <w:rsid w:val="00F81C46"/>
    <w:rsid w:val="00F82ED2"/>
    <w:rsid w:val="00F839F2"/>
    <w:rsid w:val="00F84731"/>
    <w:rsid w:val="00F85BF0"/>
    <w:rsid w:val="00F91A4D"/>
    <w:rsid w:val="00F91C0E"/>
    <w:rsid w:val="00F91DEF"/>
    <w:rsid w:val="00F9207A"/>
    <w:rsid w:val="00F92894"/>
    <w:rsid w:val="00F95871"/>
    <w:rsid w:val="00F97920"/>
    <w:rsid w:val="00F97A1B"/>
    <w:rsid w:val="00F97B91"/>
    <w:rsid w:val="00F97BD8"/>
    <w:rsid w:val="00F97D30"/>
    <w:rsid w:val="00FA0A50"/>
    <w:rsid w:val="00FA1E50"/>
    <w:rsid w:val="00FA1EBB"/>
    <w:rsid w:val="00FA2744"/>
    <w:rsid w:val="00FA2A69"/>
    <w:rsid w:val="00FA34B4"/>
    <w:rsid w:val="00FA453C"/>
    <w:rsid w:val="00FA589C"/>
    <w:rsid w:val="00FA6ABA"/>
    <w:rsid w:val="00FB0852"/>
    <w:rsid w:val="00FB0E21"/>
    <w:rsid w:val="00FB1885"/>
    <w:rsid w:val="00FB1EEC"/>
    <w:rsid w:val="00FB5664"/>
    <w:rsid w:val="00FB7578"/>
    <w:rsid w:val="00FC0B4D"/>
    <w:rsid w:val="00FC14EA"/>
    <w:rsid w:val="00FC1790"/>
    <w:rsid w:val="00FC19AB"/>
    <w:rsid w:val="00FC1C76"/>
    <w:rsid w:val="00FC24AE"/>
    <w:rsid w:val="00FC25B7"/>
    <w:rsid w:val="00FC3C39"/>
    <w:rsid w:val="00FC478A"/>
    <w:rsid w:val="00FC4C42"/>
    <w:rsid w:val="00FC5213"/>
    <w:rsid w:val="00FC5993"/>
    <w:rsid w:val="00FC5C0C"/>
    <w:rsid w:val="00FC6E7D"/>
    <w:rsid w:val="00FD0AB6"/>
    <w:rsid w:val="00FD11E9"/>
    <w:rsid w:val="00FD1E22"/>
    <w:rsid w:val="00FE140E"/>
    <w:rsid w:val="00FE2524"/>
    <w:rsid w:val="00FE253C"/>
    <w:rsid w:val="00FE295F"/>
    <w:rsid w:val="00FE481A"/>
    <w:rsid w:val="00FE498F"/>
    <w:rsid w:val="00FE56CE"/>
    <w:rsid w:val="00FE5FD4"/>
    <w:rsid w:val="00FF1946"/>
    <w:rsid w:val="00FF3A70"/>
    <w:rsid w:val="00FF4B53"/>
    <w:rsid w:val="00FF58C8"/>
    <w:rsid w:val="00FF65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78562"/>
    <o:shapelayout v:ext="edit">
      <o:idmap v:ext="edit" data="1"/>
      <o:rules v:ext="edit">
        <o:r id="V:Rule23" type="connector" idref="#_x0000_s1360"/>
        <o:r id="V:Rule24" type="connector" idref="#_x0000_s1357"/>
        <o:r id="V:Rule25" type="connector" idref="#_x0000_s1352"/>
        <o:r id="V:Rule26" type="connector" idref="#_x0000_s1353"/>
        <o:r id="V:Rule27" type="connector" idref="#_x0000_s1380"/>
        <o:r id="V:Rule28" type="connector" idref="#_x0000_s1351"/>
        <o:r id="V:Rule29" type="connector" idref="#_x0000_s1369"/>
        <o:r id="V:Rule30" type="connector" idref="#_x0000_s1370"/>
        <o:r id="V:Rule31" type="connector" idref="#_x0000_s1356"/>
        <o:r id="V:Rule32" type="connector" idref="#_x0000_s1355"/>
        <o:r id="V:Rule33" type="connector" idref="#_x0000_s1368"/>
        <o:r id="V:Rule34" type="connector" idref="#_x0000_s1359"/>
        <o:r id="V:Rule35" type="connector" idref="#_x0000_s1366"/>
        <o:r id="V:Rule36" type="connector" idref="#_x0000_s1367"/>
        <o:r id="V:Rule37" type="connector" idref="#_x0000_s1363"/>
        <o:r id="V:Rule38" type="connector" idref="#_x0000_s1361"/>
        <o:r id="V:Rule39" type="connector" idref="#_x0000_s1371"/>
        <o:r id="V:Rule40" type="connector" idref="#_x0000_s1364"/>
        <o:r id="V:Rule41" type="connector" idref="#_x0000_s1358"/>
        <o:r id="V:Rule42" type="connector" idref="#_x0000_s1354"/>
        <o:r id="V:Rule43" type="connector" idref="#_x0000_s1362"/>
        <o:r id="V:Rule44" type="connector" idref="#_x0000_s1365"/>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1103"/>
    <w:rPr>
      <w:rFonts w:ascii="Times New Roman" w:eastAsia="Times New Roman" w:hAnsi="Times New Roman"/>
      <w:sz w:val="24"/>
      <w:szCs w:val="24"/>
    </w:rPr>
  </w:style>
  <w:style w:type="paragraph" w:styleId="1">
    <w:name w:val="heading 1"/>
    <w:basedOn w:val="a"/>
    <w:next w:val="a"/>
    <w:link w:val="10"/>
    <w:qFormat/>
    <w:rsid w:val="00FC1790"/>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2">
    <w:name w:val="heading 2"/>
    <w:basedOn w:val="a"/>
    <w:next w:val="a"/>
    <w:link w:val="20"/>
    <w:qFormat/>
    <w:rsid w:val="00FC1790"/>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3">
    <w:name w:val="heading 3"/>
    <w:basedOn w:val="a"/>
    <w:next w:val="a"/>
    <w:link w:val="30"/>
    <w:qFormat/>
    <w:rsid w:val="00FC1790"/>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
    <w:next w:val="a"/>
    <w:link w:val="40"/>
    <w:qFormat/>
    <w:rsid w:val="00FC1790"/>
    <w:pPr>
      <w:pBdr>
        <w:left w:val="single" w:sz="4" w:space="2" w:color="C0504D"/>
        <w:bottom w:val="single" w:sz="4" w:space="2" w:color="C0504D"/>
      </w:pBdr>
      <w:spacing w:before="200" w:after="100"/>
      <w:ind w:left="86"/>
      <w:contextualSpacing/>
      <w:outlineLvl w:val="3"/>
    </w:pPr>
    <w:rPr>
      <w:rFonts w:ascii="Cambria" w:hAnsi="Cambria"/>
      <w:b/>
      <w:bCs/>
      <w:color w:val="943634"/>
      <w:sz w:val="22"/>
      <w:szCs w:val="22"/>
    </w:rPr>
  </w:style>
  <w:style w:type="paragraph" w:styleId="5">
    <w:name w:val="heading 5"/>
    <w:basedOn w:val="a"/>
    <w:next w:val="a"/>
    <w:link w:val="50"/>
    <w:qFormat/>
    <w:rsid w:val="00FC1790"/>
    <w:pPr>
      <w:pBdr>
        <w:left w:val="dotted" w:sz="4" w:space="2" w:color="C0504D"/>
        <w:bottom w:val="dotted" w:sz="4" w:space="2" w:color="C0504D"/>
      </w:pBdr>
      <w:spacing w:before="200" w:after="100"/>
      <w:ind w:left="86"/>
      <w:contextualSpacing/>
      <w:outlineLvl w:val="4"/>
    </w:pPr>
    <w:rPr>
      <w:rFonts w:ascii="Cambria" w:hAnsi="Cambria"/>
      <w:b/>
      <w:bCs/>
      <w:color w:val="943634"/>
      <w:sz w:val="22"/>
      <w:szCs w:val="22"/>
    </w:rPr>
  </w:style>
  <w:style w:type="paragraph" w:styleId="6">
    <w:name w:val="heading 6"/>
    <w:basedOn w:val="a"/>
    <w:next w:val="a"/>
    <w:link w:val="60"/>
    <w:qFormat/>
    <w:rsid w:val="00FC1790"/>
    <w:pPr>
      <w:pBdr>
        <w:bottom w:val="single" w:sz="4" w:space="2" w:color="E5B8B7"/>
      </w:pBdr>
      <w:spacing w:before="200" w:after="100"/>
      <w:contextualSpacing/>
      <w:outlineLvl w:val="5"/>
    </w:pPr>
    <w:rPr>
      <w:rFonts w:ascii="Cambria" w:hAnsi="Cambria"/>
      <w:color w:val="943634"/>
      <w:sz w:val="22"/>
      <w:szCs w:val="22"/>
    </w:rPr>
  </w:style>
  <w:style w:type="paragraph" w:styleId="7">
    <w:name w:val="heading 7"/>
    <w:basedOn w:val="a"/>
    <w:next w:val="a"/>
    <w:link w:val="70"/>
    <w:qFormat/>
    <w:rsid w:val="00FC1790"/>
    <w:pPr>
      <w:pBdr>
        <w:bottom w:val="dotted" w:sz="4" w:space="2" w:color="D99594"/>
      </w:pBdr>
      <w:spacing w:before="200" w:after="100"/>
      <w:contextualSpacing/>
      <w:outlineLvl w:val="6"/>
    </w:pPr>
    <w:rPr>
      <w:rFonts w:ascii="Cambria" w:hAnsi="Cambria"/>
      <w:color w:val="943634"/>
      <w:sz w:val="22"/>
      <w:szCs w:val="22"/>
    </w:rPr>
  </w:style>
  <w:style w:type="paragraph" w:styleId="8">
    <w:name w:val="heading 8"/>
    <w:basedOn w:val="a"/>
    <w:next w:val="a"/>
    <w:link w:val="80"/>
    <w:qFormat/>
    <w:rsid w:val="00FC1790"/>
    <w:pPr>
      <w:spacing w:before="200" w:after="100"/>
      <w:contextualSpacing/>
      <w:outlineLvl w:val="7"/>
    </w:pPr>
    <w:rPr>
      <w:rFonts w:ascii="Cambria" w:hAnsi="Cambria"/>
      <w:color w:val="C0504D"/>
      <w:sz w:val="22"/>
      <w:szCs w:val="22"/>
    </w:rPr>
  </w:style>
  <w:style w:type="paragraph" w:styleId="9">
    <w:name w:val="heading 9"/>
    <w:basedOn w:val="a"/>
    <w:next w:val="a"/>
    <w:link w:val="90"/>
    <w:qFormat/>
    <w:rsid w:val="00FC1790"/>
    <w:pPr>
      <w:spacing w:before="200" w:after="100"/>
      <w:contextualSpacing/>
      <w:outlineLvl w:val="8"/>
    </w:pPr>
    <w:rPr>
      <w:rFonts w:ascii="Cambria" w:hAnsi="Cambria"/>
      <w:color w:val="C0504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1790"/>
    <w:rPr>
      <w:rFonts w:ascii="Cambria" w:eastAsia="Times New Roman" w:hAnsi="Cambria" w:cs="Times New Roman"/>
      <w:b/>
      <w:bCs/>
      <w:i/>
      <w:iCs/>
      <w:color w:val="622423"/>
      <w:shd w:val="clear" w:color="auto" w:fill="F2DBDB"/>
    </w:rPr>
  </w:style>
  <w:style w:type="character" w:customStyle="1" w:styleId="20">
    <w:name w:val="Заголовок 2 Знак"/>
    <w:basedOn w:val="a0"/>
    <w:link w:val="2"/>
    <w:rsid w:val="00FC1790"/>
    <w:rPr>
      <w:rFonts w:ascii="Cambria" w:eastAsia="Times New Roman" w:hAnsi="Cambria" w:cs="Times New Roman"/>
      <w:b/>
      <w:bCs/>
      <w:i/>
      <w:iCs/>
      <w:color w:val="943634"/>
    </w:rPr>
  </w:style>
  <w:style w:type="character" w:customStyle="1" w:styleId="30">
    <w:name w:val="Заголовок 3 Знак"/>
    <w:basedOn w:val="a0"/>
    <w:link w:val="3"/>
    <w:rsid w:val="00FC1790"/>
    <w:rPr>
      <w:rFonts w:ascii="Cambria" w:eastAsia="Times New Roman" w:hAnsi="Cambria" w:cs="Times New Roman"/>
      <w:b/>
      <w:bCs/>
      <w:i/>
      <w:iCs/>
      <w:color w:val="943634"/>
    </w:rPr>
  </w:style>
  <w:style w:type="character" w:customStyle="1" w:styleId="40">
    <w:name w:val="Заголовок 4 Знак"/>
    <w:basedOn w:val="a0"/>
    <w:link w:val="4"/>
    <w:semiHidden/>
    <w:rsid w:val="00FC1790"/>
    <w:rPr>
      <w:rFonts w:ascii="Cambria" w:eastAsia="Times New Roman" w:hAnsi="Cambria" w:cs="Times New Roman"/>
      <w:b/>
      <w:bCs/>
      <w:i/>
      <w:iCs/>
      <w:color w:val="943634"/>
    </w:rPr>
  </w:style>
  <w:style w:type="character" w:customStyle="1" w:styleId="50">
    <w:name w:val="Заголовок 5 Знак"/>
    <w:basedOn w:val="a0"/>
    <w:link w:val="5"/>
    <w:uiPriority w:val="9"/>
    <w:semiHidden/>
    <w:rsid w:val="00FC1790"/>
    <w:rPr>
      <w:rFonts w:ascii="Cambria" w:eastAsia="Times New Roman" w:hAnsi="Cambria" w:cs="Times New Roman"/>
      <w:b/>
      <w:bCs/>
      <w:i/>
      <w:iCs/>
      <w:color w:val="943634"/>
    </w:rPr>
  </w:style>
  <w:style w:type="character" w:customStyle="1" w:styleId="60">
    <w:name w:val="Заголовок 6 Знак"/>
    <w:basedOn w:val="a0"/>
    <w:link w:val="6"/>
    <w:uiPriority w:val="9"/>
    <w:semiHidden/>
    <w:rsid w:val="00FC1790"/>
    <w:rPr>
      <w:rFonts w:ascii="Cambria" w:eastAsia="Times New Roman" w:hAnsi="Cambria" w:cs="Times New Roman"/>
      <w:i/>
      <w:iCs/>
      <w:color w:val="943634"/>
    </w:rPr>
  </w:style>
  <w:style w:type="character" w:customStyle="1" w:styleId="70">
    <w:name w:val="Заголовок 7 Знак"/>
    <w:basedOn w:val="a0"/>
    <w:link w:val="7"/>
    <w:uiPriority w:val="9"/>
    <w:semiHidden/>
    <w:rsid w:val="00FC1790"/>
    <w:rPr>
      <w:rFonts w:ascii="Cambria" w:eastAsia="Times New Roman" w:hAnsi="Cambria" w:cs="Times New Roman"/>
      <w:i/>
      <w:iCs/>
      <w:color w:val="943634"/>
    </w:rPr>
  </w:style>
  <w:style w:type="character" w:customStyle="1" w:styleId="80">
    <w:name w:val="Заголовок 8 Знак"/>
    <w:basedOn w:val="a0"/>
    <w:link w:val="8"/>
    <w:uiPriority w:val="9"/>
    <w:semiHidden/>
    <w:rsid w:val="00FC1790"/>
    <w:rPr>
      <w:rFonts w:ascii="Cambria" w:eastAsia="Times New Roman" w:hAnsi="Cambria" w:cs="Times New Roman"/>
      <w:i/>
      <w:iCs/>
      <w:color w:val="C0504D"/>
    </w:rPr>
  </w:style>
  <w:style w:type="character" w:customStyle="1" w:styleId="90">
    <w:name w:val="Заголовок 9 Знак"/>
    <w:basedOn w:val="a0"/>
    <w:link w:val="9"/>
    <w:uiPriority w:val="9"/>
    <w:semiHidden/>
    <w:rsid w:val="00FC1790"/>
    <w:rPr>
      <w:rFonts w:ascii="Cambria" w:eastAsia="Times New Roman" w:hAnsi="Cambria" w:cs="Times New Roman"/>
      <w:i/>
      <w:iCs/>
      <w:color w:val="C0504D"/>
      <w:sz w:val="20"/>
      <w:szCs w:val="20"/>
    </w:rPr>
  </w:style>
  <w:style w:type="paragraph" w:styleId="a3">
    <w:name w:val="caption"/>
    <w:basedOn w:val="a"/>
    <w:next w:val="a"/>
    <w:qFormat/>
    <w:rsid w:val="00FC1790"/>
    <w:rPr>
      <w:b/>
      <w:bCs/>
      <w:color w:val="943634"/>
      <w:sz w:val="18"/>
      <w:szCs w:val="18"/>
    </w:rPr>
  </w:style>
  <w:style w:type="paragraph" w:styleId="a4">
    <w:name w:val="Title"/>
    <w:basedOn w:val="a"/>
    <w:next w:val="a"/>
    <w:link w:val="a5"/>
    <w:qFormat/>
    <w:rsid w:val="00FC1790"/>
    <w:pPr>
      <w:pBdr>
        <w:top w:val="single" w:sz="48" w:space="0" w:color="C0504D"/>
        <w:bottom w:val="single" w:sz="48" w:space="0" w:color="C0504D"/>
      </w:pBdr>
      <w:shd w:val="clear" w:color="auto" w:fill="C0504D"/>
      <w:jc w:val="center"/>
    </w:pPr>
    <w:rPr>
      <w:rFonts w:ascii="Cambria" w:hAnsi="Cambria"/>
      <w:color w:val="FFFFFF"/>
      <w:spacing w:val="10"/>
      <w:sz w:val="48"/>
      <w:szCs w:val="48"/>
    </w:rPr>
  </w:style>
  <w:style w:type="character" w:customStyle="1" w:styleId="a5">
    <w:name w:val="Название Знак"/>
    <w:basedOn w:val="a0"/>
    <w:link w:val="a4"/>
    <w:rsid w:val="00FC1790"/>
    <w:rPr>
      <w:rFonts w:ascii="Cambria" w:eastAsia="Times New Roman" w:hAnsi="Cambria" w:cs="Times New Roman"/>
      <w:i/>
      <w:iCs/>
      <w:color w:val="FFFFFF"/>
      <w:spacing w:val="10"/>
      <w:sz w:val="48"/>
      <w:szCs w:val="48"/>
      <w:shd w:val="clear" w:color="auto" w:fill="C0504D"/>
    </w:rPr>
  </w:style>
  <w:style w:type="paragraph" w:styleId="a6">
    <w:name w:val="Subtitle"/>
    <w:basedOn w:val="a"/>
    <w:next w:val="a"/>
    <w:link w:val="a7"/>
    <w:qFormat/>
    <w:rsid w:val="00FC1790"/>
    <w:pPr>
      <w:pBdr>
        <w:bottom w:val="dotted" w:sz="8" w:space="10" w:color="C0504D"/>
      </w:pBdr>
      <w:spacing w:before="200" w:after="900"/>
      <w:jc w:val="center"/>
    </w:pPr>
    <w:rPr>
      <w:rFonts w:ascii="Cambria" w:hAnsi="Cambria"/>
      <w:color w:val="622423"/>
    </w:rPr>
  </w:style>
  <w:style w:type="character" w:customStyle="1" w:styleId="a7">
    <w:name w:val="Подзаголовок Знак"/>
    <w:basedOn w:val="a0"/>
    <w:link w:val="a6"/>
    <w:uiPriority w:val="11"/>
    <w:rsid w:val="00FC1790"/>
    <w:rPr>
      <w:rFonts w:ascii="Cambria" w:eastAsia="Times New Roman" w:hAnsi="Cambria" w:cs="Times New Roman"/>
      <w:i/>
      <w:iCs/>
      <w:color w:val="622423"/>
      <w:sz w:val="24"/>
      <w:szCs w:val="24"/>
    </w:rPr>
  </w:style>
  <w:style w:type="character" w:styleId="a8">
    <w:name w:val="Strong"/>
    <w:qFormat/>
    <w:rsid w:val="00FC1790"/>
    <w:rPr>
      <w:b/>
      <w:bCs/>
      <w:spacing w:val="0"/>
    </w:rPr>
  </w:style>
  <w:style w:type="character" w:styleId="a9">
    <w:name w:val="Emphasis"/>
    <w:qFormat/>
    <w:rsid w:val="00FC1790"/>
    <w:rPr>
      <w:rFonts w:ascii="Cambria" w:eastAsia="Times New Roman" w:hAnsi="Cambria" w:cs="Times New Roman"/>
      <w:b/>
      <w:bCs/>
      <w:i/>
      <w:iCs/>
      <w:color w:val="C0504D"/>
      <w:bdr w:val="single" w:sz="18" w:space="0" w:color="F2DBDB"/>
      <w:shd w:val="clear" w:color="auto" w:fill="F2DBDB"/>
    </w:rPr>
  </w:style>
  <w:style w:type="paragraph" w:styleId="aa">
    <w:name w:val="No Spacing"/>
    <w:basedOn w:val="a"/>
    <w:uiPriority w:val="1"/>
    <w:qFormat/>
    <w:rsid w:val="00FC1790"/>
  </w:style>
  <w:style w:type="paragraph" w:styleId="ab">
    <w:name w:val="List Paragraph"/>
    <w:basedOn w:val="a"/>
    <w:uiPriority w:val="99"/>
    <w:qFormat/>
    <w:rsid w:val="00FC1790"/>
    <w:pPr>
      <w:ind w:left="720"/>
      <w:contextualSpacing/>
    </w:pPr>
  </w:style>
  <w:style w:type="paragraph" w:styleId="21">
    <w:name w:val="Quote"/>
    <w:basedOn w:val="a"/>
    <w:next w:val="a"/>
    <w:link w:val="22"/>
    <w:uiPriority w:val="29"/>
    <w:qFormat/>
    <w:rsid w:val="00FC1790"/>
    <w:rPr>
      <w:color w:val="943634"/>
    </w:rPr>
  </w:style>
  <w:style w:type="character" w:customStyle="1" w:styleId="22">
    <w:name w:val="Цитата 2 Знак"/>
    <w:basedOn w:val="a0"/>
    <w:link w:val="21"/>
    <w:uiPriority w:val="29"/>
    <w:rsid w:val="00FC1790"/>
    <w:rPr>
      <w:color w:val="943634"/>
      <w:sz w:val="20"/>
      <w:szCs w:val="20"/>
    </w:rPr>
  </w:style>
  <w:style w:type="paragraph" w:styleId="ac">
    <w:name w:val="Intense Quote"/>
    <w:basedOn w:val="a"/>
    <w:next w:val="a"/>
    <w:link w:val="ad"/>
    <w:uiPriority w:val="30"/>
    <w:qFormat/>
    <w:rsid w:val="00FC1790"/>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d">
    <w:name w:val="Выделенная цитата Знак"/>
    <w:basedOn w:val="a0"/>
    <w:link w:val="ac"/>
    <w:uiPriority w:val="30"/>
    <w:rsid w:val="00FC1790"/>
    <w:rPr>
      <w:rFonts w:ascii="Cambria" w:eastAsia="Times New Roman" w:hAnsi="Cambria" w:cs="Times New Roman"/>
      <w:b/>
      <w:bCs/>
      <w:i/>
      <w:iCs/>
      <w:color w:val="C0504D"/>
      <w:sz w:val="20"/>
      <w:szCs w:val="20"/>
    </w:rPr>
  </w:style>
  <w:style w:type="character" w:styleId="ae">
    <w:name w:val="Subtle Emphasis"/>
    <w:uiPriority w:val="19"/>
    <w:qFormat/>
    <w:rsid w:val="00FC1790"/>
    <w:rPr>
      <w:rFonts w:ascii="Cambria" w:eastAsia="Times New Roman" w:hAnsi="Cambria" w:cs="Times New Roman"/>
      <w:i/>
      <w:iCs/>
      <w:color w:val="C0504D"/>
    </w:rPr>
  </w:style>
  <w:style w:type="character" w:styleId="af">
    <w:name w:val="Intense Emphasis"/>
    <w:uiPriority w:val="21"/>
    <w:qFormat/>
    <w:rsid w:val="00FC1790"/>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0">
    <w:name w:val="Subtle Reference"/>
    <w:uiPriority w:val="31"/>
    <w:qFormat/>
    <w:rsid w:val="00FC1790"/>
    <w:rPr>
      <w:i/>
      <w:iCs/>
      <w:smallCaps/>
      <w:color w:val="C0504D"/>
      <w:u w:color="C0504D"/>
    </w:rPr>
  </w:style>
  <w:style w:type="character" w:styleId="af1">
    <w:name w:val="Intense Reference"/>
    <w:uiPriority w:val="32"/>
    <w:qFormat/>
    <w:rsid w:val="00FC1790"/>
    <w:rPr>
      <w:b/>
      <w:bCs/>
      <w:i/>
      <w:iCs/>
      <w:smallCaps/>
      <w:color w:val="C0504D"/>
      <w:u w:color="C0504D"/>
    </w:rPr>
  </w:style>
  <w:style w:type="character" w:styleId="af2">
    <w:name w:val="Book Title"/>
    <w:uiPriority w:val="33"/>
    <w:qFormat/>
    <w:rsid w:val="00FC1790"/>
    <w:rPr>
      <w:rFonts w:ascii="Cambria" w:eastAsia="Times New Roman" w:hAnsi="Cambria" w:cs="Times New Roman"/>
      <w:b/>
      <w:bCs/>
      <w:i/>
      <w:iCs/>
      <w:smallCaps/>
      <w:color w:val="943634"/>
      <w:u w:val="single"/>
    </w:rPr>
  </w:style>
  <w:style w:type="paragraph" w:styleId="af3">
    <w:name w:val="TOC Heading"/>
    <w:basedOn w:val="1"/>
    <w:next w:val="a"/>
    <w:uiPriority w:val="39"/>
    <w:qFormat/>
    <w:rsid w:val="00FC1790"/>
    <w:pPr>
      <w:outlineLvl w:val="9"/>
    </w:pPr>
  </w:style>
  <w:style w:type="character" w:styleId="af4">
    <w:name w:val="Hyperlink"/>
    <w:basedOn w:val="a0"/>
    <w:unhideWhenUsed/>
    <w:rsid w:val="00471103"/>
    <w:rPr>
      <w:color w:val="0000FF"/>
      <w:u w:val="single"/>
    </w:rPr>
  </w:style>
  <w:style w:type="paragraph" w:styleId="af5">
    <w:name w:val="header"/>
    <w:basedOn w:val="a"/>
    <w:link w:val="af6"/>
    <w:unhideWhenUsed/>
    <w:rsid w:val="00471103"/>
    <w:pPr>
      <w:tabs>
        <w:tab w:val="center" w:pos="4677"/>
        <w:tab w:val="right" w:pos="9355"/>
      </w:tabs>
    </w:pPr>
  </w:style>
  <w:style w:type="character" w:customStyle="1" w:styleId="af6">
    <w:name w:val="Верхний колонтитул Знак"/>
    <w:basedOn w:val="a0"/>
    <w:link w:val="af5"/>
    <w:uiPriority w:val="99"/>
    <w:rsid w:val="00471103"/>
    <w:rPr>
      <w:rFonts w:ascii="Times New Roman" w:eastAsia="Times New Roman" w:hAnsi="Times New Roman" w:cs="Times New Roman"/>
      <w:sz w:val="24"/>
      <w:szCs w:val="24"/>
      <w:lang w:val="ru-RU" w:eastAsia="ru-RU" w:bidi="ar-SA"/>
    </w:rPr>
  </w:style>
  <w:style w:type="paragraph" w:styleId="af7">
    <w:name w:val="footer"/>
    <w:basedOn w:val="a"/>
    <w:link w:val="af8"/>
    <w:unhideWhenUsed/>
    <w:rsid w:val="00471103"/>
    <w:pPr>
      <w:tabs>
        <w:tab w:val="center" w:pos="4677"/>
        <w:tab w:val="right" w:pos="9355"/>
      </w:tabs>
    </w:pPr>
  </w:style>
  <w:style w:type="character" w:customStyle="1" w:styleId="af8">
    <w:name w:val="Нижний колонтитул Знак"/>
    <w:basedOn w:val="a0"/>
    <w:link w:val="af7"/>
    <w:uiPriority w:val="99"/>
    <w:rsid w:val="00471103"/>
    <w:rPr>
      <w:rFonts w:ascii="Times New Roman" w:eastAsia="Times New Roman" w:hAnsi="Times New Roman" w:cs="Times New Roman"/>
      <w:sz w:val="24"/>
      <w:szCs w:val="24"/>
      <w:lang w:val="ru-RU" w:eastAsia="ru-RU" w:bidi="ar-SA"/>
    </w:rPr>
  </w:style>
  <w:style w:type="paragraph" w:styleId="23">
    <w:name w:val="Body Text Indent 2"/>
    <w:basedOn w:val="a"/>
    <w:link w:val="24"/>
    <w:rsid w:val="00E81E75"/>
    <w:pPr>
      <w:spacing w:after="120"/>
      <w:ind w:firstLine="720"/>
      <w:jc w:val="both"/>
    </w:pPr>
    <w:rPr>
      <w:lang w:val="uk-UA"/>
    </w:rPr>
  </w:style>
  <w:style w:type="character" w:customStyle="1" w:styleId="24">
    <w:name w:val="Основной текст с отступом 2 Знак"/>
    <w:basedOn w:val="a0"/>
    <w:link w:val="23"/>
    <w:rsid w:val="00E81E75"/>
    <w:rPr>
      <w:rFonts w:ascii="Times New Roman" w:eastAsia="Times New Roman" w:hAnsi="Times New Roman" w:cs="Times New Roman"/>
      <w:sz w:val="24"/>
      <w:szCs w:val="24"/>
      <w:lang w:val="uk-UA" w:eastAsia="ru-RU" w:bidi="ar-SA"/>
    </w:rPr>
  </w:style>
  <w:style w:type="paragraph" w:styleId="af9">
    <w:name w:val="Body Text"/>
    <w:aliases w:val="Основной текст Знак Знак Знак,Текст1,bt"/>
    <w:basedOn w:val="a"/>
    <w:link w:val="afa"/>
    <w:uiPriority w:val="99"/>
    <w:rsid w:val="0050470F"/>
    <w:pPr>
      <w:spacing w:after="120"/>
    </w:pPr>
  </w:style>
  <w:style w:type="character" w:customStyle="1" w:styleId="afa">
    <w:name w:val="Основной текст Знак"/>
    <w:aliases w:val="Основной текст Знак Знак Знак Знак1,Текст1 Знак1,bt Знак1"/>
    <w:basedOn w:val="a0"/>
    <w:link w:val="af9"/>
    <w:uiPriority w:val="99"/>
    <w:rsid w:val="0050470F"/>
    <w:rPr>
      <w:rFonts w:ascii="Times New Roman" w:eastAsia="Times New Roman" w:hAnsi="Times New Roman" w:cs="Times New Roman"/>
      <w:sz w:val="24"/>
      <w:szCs w:val="24"/>
      <w:lang w:val="ru-RU" w:eastAsia="ru-RU" w:bidi="ar-SA"/>
    </w:rPr>
  </w:style>
  <w:style w:type="paragraph" w:styleId="afb">
    <w:name w:val="Balloon Text"/>
    <w:basedOn w:val="a"/>
    <w:link w:val="afc"/>
    <w:semiHidden/>
    <w:unhideWhenUsed/>
    <w:rsid w:val="002010DB"/>
    <w:rPr>
      <w:rFonts w:ascii="Tahoma" w:hAnsi="Tahoma" w:cs="Tahoma"/>
      <w:sz w:val="16"/>
      <w:szCs w:val="16"/>
    </w:rPr>
  </w:style>
  <w:style w:type="character" w:customStyle="1" w:styleId="afc">
    <w:name w:val="Текст выноски Знак"/>
    <w:basedOn w:val="a0"/>
    <w:link w:val="afb"/>
    <w:semiHidden/>
    <w:rsid w:val="002010DB"/>
    <w:rPr>
      <w:rFonts w:ascii="Tahoma" w:eastAsia="Times New Roman" w:hAnsi="Tahoma" w:cs="Tahoma"/>
      <w:sz w:val="16"/>
      <w:szCs w:val="16"/>
      <w:lang w:val="ru-RU" w:eastAsia="ru-RU" w:bidi="ar-SA"/>
    </w:rPr>
  </w:style>
  <w:style w:type="table" w:styleId="afd">
    <w:name w:val="Table Grid"/>
    <w:basedOn w:val="a1"/>
    <w:rsid w:val="00F745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Стиль Знак"/>
    <w:basedOn w:val="a"/>
    <w:rsid w:val="00F7450B"/>
    <w:rPr>
      <w:rFonts w:ascii="Verdana" w:hAnsi="Verdana" w:cs="Verdana"/>
      <w:sz w:val="20"/>
      <w:szCs w:val="20"/>
      <w:lang w:val="en-US" w:eastAsia="en-US"/>
    </w:rPr>
  </w:style>
  <w:style w:type="character" w:styleId="aff">
    <w:name w:val="page number"/>
    <w:basedOn w:val="a0"/>
    <w:rsid w:val="00F7450B"/>
  </w:style>
  <w:style w:type="paragraph" w:customStyle="1" w:styleId="Style1">
    <w:name w:val="Style1"/>
    <w:basedOn w:val="a"/>
    <w:rsid w:val="00F7450B"/>
    <w:pPr>
      <w:widowControl w:val="0"/>
      <w:autoSpaceDE w:val="0"/>
      <w:autoSpaceDN w:val="0"/>
      <w:adjustRightInd w:val="0"/>
    </w:pPr>
    <w:rPr>
      <w:lang w:val="uk-UA" w:eastAsia="uk-UA"/>
    </w:rPr>
  </w:style>
  <w:style w:type="paragraph" w:customStyle="1" w:styleId="Style2">
    <w:name w:val="Style2"/>
    <w:basedOn w:val="a"/>
    <w:rsid w:val="00F7450B"/>
    <w:pPr>
      <w:widowControl w:val="0"/>
      <w:autoSpaceDE w:val="0"/>
      <w:autoSpaceDN w:val="0"/>
      <w:adjustRightInd w:val="0"/>
      <w:spacing w:line="418" w:lineRule="exact"/>
      <w:ind w:firstLine="706"/>
      <w:jc w:val="both"/>
    </w:pPr>
    <w:rPr>
      <w:lang w:val="uk-UA" w:eastAsia="uk-UA"/>
    </w:rPr>
  </w:style>
  <w:style w:type="paragraph" w:customStyle="1" w:styleId="Style3">
    <w:name w:val="Style3"/>
    <w:basedOn w:val="a"/>
    <w:rsid w:val="00F7450B"/>
    <w:pPr>
      <w:widowControl w:val="0"/>
      <w:autoSpaceDE w:val="0"/>
      <w:autoSpaceDN w:val="0"/>
      <w:adjustRightInd w:val="0"/>
      <w:spacing w:line="413" w:lineRule="exact"/>
      <w:ind w:hanging="350"/>
      <w:jc w:val="both"/>
    </w:pPr>
    <w:rPr>
      <w:lang w:val="uk-UA" w:eastAsia="uk-UA"/>
    </w:rPr>
  </w:style>
  <w:style w:type="character" w:customStyle="1" w:styleId="FontStyle11">
    <w:name w:val="Font Style11"/>
    <w:basedOn w:val="a0"/>
    <w:rsid w:val="00F7450B"/>
    <w:rPr>
      <w:rFonts w:ascii="Times New Roman" w:hAnsi="Times New Roman" w:cs="Times New Roman"/>
      <w:b/>
      <w:bCs/>
      <w:sz w:val="22"/>
      <w:szCs w:val="22"/>
    </w:rPr>
  </w:style>
  <w:style w:type="character" w:customStyle="1" w:styleId="FontStyle12">
    <w:name w:val="Font Style12"/>
    <w:basedOn w:val="a0"/>
    <w:rsid w:val="00F7450B"/>
    <w:rPr>
      <w:rFonts w:ascii="Times New Roman" w:hAnsi="Times New Roman" w:cs="Times New Roman"/>
      <w:i/>
      <w:iCs/>
      <w:sz w:val="20"/>
      <w:szCs w:val="20"/>
    </w:rPr>
  </w:style>
  <w:style w:type="character" w:customStyle="1" w:styleId="FontStyle13">
    <w:name w:val="Font Style13"/>
    <w:basedOn w:val="a0"/>
    <w:rsid w:val="00F7450B"/>
    <w:rPr>
      <w:rFonts w:ascii="Times New Roman" w:hAnsi="Times New Roman" w:cs="Times New Roman"/>
      <w:sz w:val="20"/>
      <w:szCs w:val="20"/>
    </w:rPr>
  </w:style>
  <w:style w:type="paragraph" w:styleId="aff0">
    <w:name w:val="Plain Text"/>
    <w:basedOn w:val="a"/>
    <w:link w:val="aff1"/>
    <w:rsid w:val="00F7450B"/>
    <w:rPr>
      <w:rFonts w:ascii="Courier New" w:hAnsi="Courier New"/>
      <w:sz w:val="20"/>
      <w:szCs w:val="20"/>
    </w:rPr>
  </w:style>
  <w:style w:type="character" w:customStyle="1" w:styleId="aff1">
    <w:name w:val="Текст Знак"/>
    <w:basedOn w:val="a0"/>
    <w:link w:val="aff0"/>
    <w:rsid w:val="00F7450B"/>
    <w:rPr>
      <w:rFonts w:ascii="Courier New" w:eastAsia="Times New Roman" w:hAnsi="Courier New" w:cs="Times New Roman"/>
      <w:sz w:val="20"/>
      <w:szCs w:val="20"/>
      <w:lang w:val="ru-RU" w:eastAsia="ru-RU" w:bidi="ar-SA"/>
    </w:rPr>
  </w:style>
  <w:style w:type="paragraph" w:customStyle="1" w:styleId="11">
    <w:name w:val="Знак1"/>
    <w:basedOn w:val="a"/>
    <w:rsid w:val="00F7450B"/>
    <w:rPr>
      <w:rFonts w:ascii="Verdana" w:hAnsi="Verdana" w:cs="Verdana"/>
      <w:sz w:val="20"/>
      <w:szCs w:val="20"/>
      <w:lang w:val="en-US" w:eastAsia="en-US"/>
    </w:rPr>
  </w:style>
  <w:style w:type="paragraph" w:styleId="aff2">
    <w:name w:val="Body Text Indent"/>
    <w:aliases w:val="Подпись к рис.,Ïîäïèñü ê ðèñ."/>
    <w:basedOn w:val="a"/>
    <w:link w:val="aff3"/>
    <w:uiPriority w:val="99"/>
    <w:rsid w:val="00F7450B"/>
    <w:pPr>
      <w:spacing w:after="120"/>
      <w:ind w:left="283"/>
    </w:pPr>
  </w:style>
  <w:style w:type="character" w:customStyle="1" w:styleId="aff3">
    <w:name w:val="Основной текст с отступом Знак"/>
    <w:aliases w:val="Подпись к рис. Знак,Ïîäïèñü ê ðèñ. Знак"/>
    <w:basedOn w:val="a0"/>
    <w:link w:val="aff2"/>
    <w:uiPriority w:val="99"/>
    <w:rsid w:val="00F7450B"/>
    <w:rPr>
      <w:rFonts w:ascii="Times New Roman" w:eastAsia="Times New Roman" w:hAnsi="Times New Roman" w:cs="Times New Roman"/>
      <w:sz w:val="24"/>
      <w:szCs w:val="24"/>
      <w:lang w:val="ru-RU" w:eastAsia="ru-RU" w:bidi="ar-SA"/>
    </w:rPr>
  </w:style>
  <w:style w:type="paragraph" w:customStyle="1" w:styleId="aff4">
    <w:name w:val="Знак"/>
    <w:basedOn w:val="a"/>
    <w:rsid w:val="00F7450B"/>
    <w:rPr>
      <w:rFonts w:ascii="Verdana" w:hAnsi="Verdana" w:cs="Verdana"/>
      <w:sz w:val="20"/>
      <w:szCs w:val="20"/>
      <w:lang w:val="en-US" w:eastAsia="en-US"/>
    </w:rPr>
  </w:style>
  <w:style w:type="paragraph" w:customStyle="1" w:styleId="aff5">
    <w:name w:val="Знак Знак"/>
    <w:basedOn w:val="a"/>
    <w:rsid w:val="00F7450B"/>
    <w:rPr>
      <w:rFonts w:ascii="Verdana" w:hAnsi="Verdana" w:cs="Verdana"/>
      <w:sz w:val="20"/>
      <w:szCs w:val="20"/>
      <w:lang w:val="en-US" w:eastAsia="en-US"/>
    </w:rPr>
  </w:style>
  <w:style w:type="paragraph" w:styleId="31">
    <w:name w:val="Body Text Indent 3"/>
    <w:basedOn w:val="a"/>
    <w:link w:val="32"/>
    <w:uiPriority w:val="99"/>
    <w:rsid w:val="00F7450B"/>
    <w:pPr>
      <w:spacing w:after="120"/>
      <w:ind w:left="283"/>
    </w:pPr>
    <w:rPr>
      <w:sz w:val="16"/>
      <w:szCs w:val="16"/>
    </w:rPr>
  </w:style>
  <w:style w:type="character" w:customStyle="1" w:styleId="32">
    <w:name w:val="Основной текст с отступом 3 Знак"/>
    <w:basedOn w:val="a0"/>
    <w:link w:val="31"/>
    <w:uiPriority w:val="99"/>
    <w:rsid w:val="00F7450B"/>
    <w:rPr>
      <w:rFonts w:ascii="Times New Roman" w:eastAsia="Times New Roman" w:hAnsi="Times New Roman" w:cs="Times New Roman"/>
      <w:sz w:val="16"/>
      <w:szCs w:val="16"/>
      <w:lang w:val="ru-RU" w:eastAsia="ru-RU" w:bidi="ar-SA"/>
    </w:rPr>
  </w:style>
  <w:style w:type="paragraph" w:styleId="25">
    <w:name w:val="Body Text 2"/>
    <w:basedOn w:val="a"/>
    <w:link w:val="26"/>
    <w:uiPriority w:val="99"/>
    <w:rsid w:val="00F7450B"/>
    <w:pPr>
      <w:spacing w:after="120" w:line="480" w:lineRule="auto"/>
    </w:pPr>
  </w:style>
  <w:style w:type="character" w:customStyle="1" w:styleId="26">
    <w:name w:val="Основной текст 2 Знак"/>
    <w:basedOn w:val="a0"/>
    <w:link w:val="25"/>
    <w:uiPriority w:val="99"/>
    <w:rsid w:val="00F7450B"/>
    <w:rPr>
      <w:rFonts w:ascii="Times New Roman" w:eastAsia="Times New Roman" w:hAnsi="Times New Roman" w:cs="Times New Roman"/>
      <w:sz w:val="24"/>
      <w:szCs w:val="24"/>
      <w:lang w:val="ru-RU" w:eastAsia="ru-RU" w:bidi="ar-SA"/>
    </w:rPr>
  </w:style>
  <w:style w:type="paragraph" w:customStyle="1" w:styleId="12">
    <w:name w:val="Обычный1"/>
    <w:rsid w:val="00F7450B"/>
    <w:rPr>
      <w:rFonts w:ascii="Times New Roman" w:eastAsia="Times New Roman" w:hAnsi="Times New Roman"/>
      <w:sz w:val="24"/>
    </w:rPr>
  </w:style>
  <w:style w:type="paragraph" w:styleId="aff6">
    <w:name w:val="Normal (Web)"/>
    <w:aliases w:val="Обычный (Web)"/>
    <w:basedOn w:val="a"/>
    <w:link w:val="aff7"/>
    <w:qFormat/>
    <w:rsid w:val="00F7450B"/>
    <w:pPr>
      <w:spacing w:before="100" w:beforeAutospacing="1" w:after="100" w:afterAutospacing="1"/>
    </w:pPr>
  </w:style>
  <w:style w:type="paragraph" w:customStyle="1" w:styleId="210">
    <w:name w:val="Основной текст 21"/>
    <w:basedOn w:val="a"/>
    <w:rsid w:val="00F7450B"/>
    <w:pPr>
      <w:spacing w:after="120"/>
      <w:ind w:firstLine="709"/>
      <w:jc w:val="both"/>
    </w:pPr>
    <w:rPr>
      <w:szCs w:val="20"/>
      <w:lang w:val="uk-UA"/>
    </w:rPr>
  </w:style>
  <w:style w:type="character" w:customStyle="1" w:styleId="13">
    <w:name w:val="Основной текст Знак1"/>
    <w:aliases w:val="Основной текст Знак Знак,Основной текст Знак Знак Знак Знак,Текст1 Знак,bt Знак"/>
    <w:basedOn w:val="a0"/>
    <w:rsid w:val="00F7450B"/>
    <w:rPr>
      <w:sz w:val="24"/>
      <w:szCs w:val="24"/>
      <w:lang w:val="ru-RU" w:eastAsia="ru-RU" w:bidi="ar-SA"/>
    </w:rPr>
  </w:style>
  <w:style w:type="paragraph" w:customStyle="1" w:styleId="aff8">
    <w:name w:val="Нормальний текст"/>
    <w:basedOn w:val="a"/>
    <w:rsid w:val="00F7450B"/>
    <w:pPr>
      <w:spacing w:before="120"/>
      <w:ind w:firstLine="567"/>
    </w:pPr>
    <w:rPr>
      <w:rFonts w:ascii="Antiqua" w:hAnsi="Antiqua"/>
      <w:sz w:val="26"/>
      <w:szCs w:val="20"/>
      <w:lang w:val="uk-UA"/>
    </w:rPr>
  </w:style>
  <w:style w:type="character" w:customStyle="1" w:styleId="longtext">
    <w:name w:val="long_text"/>
    <w:basedOn w:val="a0"/>
    <w:rsid w:val="00F7450B"/>
  </w:style>
  <w:style w:type="character" w:customStyle="1" w:styleId="hps">
    <w:name w:val="hps"/>
    <w:basedOn w:val="a0"/>
    <w:rsid w:val="00F7450B"/>
  </w:style>
  <w:style w:type="character" w:customStyle="1" w:styleId="gt-icon-text1">
    <w:name w:val="gt-icon-text1"/>
    <w:basedOn w:val="a0"/>
    <w:rsid w:val="00F7450B"/>
  </w:style>
  <w:style w:type="character" w:styleId="aff9">
    <w:name w:val="FollowedHyperlink"/>
    <w:basedOn w:val="a0"/>
    <w:unhideWhenUsed/>
    <w:rsid w:val="00F7450B"/>
    <w:rPr>
      <w:color w:val="800080"/>
      <w:u w:val="single"/>
    </w:rPr>
  </w:style>
  <w:style w:type="character" w:customStyle="1" w:styleId="14">
    <w:name w:val="Название Знак1"/>
    <w:basedOn w:val="a0"/>
    <w:rsid w:val="00F7450B"/>
    <w:rPr>
      <w:rFonts w:ascii="Cambria" w:eastAsia="Times New Roman" w:hAnsi="Cambria" w:cs="Times New Roman"/>
      <w:color w:val="17365D"/>
      <w:spacing w:val="5"/>
      <w:kern w:val="28"/>
      <w:sz w:val="52"/>
      <w:szCs w:val="52"/>
    </w:rPr>
  </w:style>
  <w:style w:type="paragraph" w:customStyle="1" w:styleId="27">
    <w:name w:val="Обычный2"/>
    <w:rsid w:val="00F7450B"/>
    <w:rPr>
      <w:rFonts w:ascii="Times New Roman" w:eastAsia="Times New Roman" w:hAnsi="Times New Roman"/>
      <w:sz w:val="24"/>
    </w:rPr>
  </w:style>
  <w:style w:type="paragraph" w:customStyle="1" w:styleId="affa">
    <w:name w:val="Знак Знак Знак Знак Знак Знак Знак Знак Знак"/>
    <w:basedOn w:val="a"/>
    <w:rsid w:val="00B206FF"/>
    <w:rPr>
      <w:rFonts w:ascii="Verdana" w:hAnsi="Verdana" w:cs="Verdana"/>
      <w:sz w:val="20"/>
      <w:szCs w:val="20"/>
      <w:lang w:val="en-US" w:eastAsia="en-US"/>
    </w:rPr>
  </w:style>
  <w:style w:type="paragraph" w:styleId="28">
    <w:name w:val="List 2"/>
    <w:basedOn w:val="a"/>
    <w:rsid w:val="00A9231A"/>
    <w:pPr>
      <w:ind w:left="566" w:hanging="283"/>
    </w:pPr>
    <w:rPr>
      <w:color w:val="000000"/>
      <w:sz w:val="28"/>
      <w:szCs w:val="20"/>
    </w:rPr>
  </w:style>
  <w:style w:type="paragraph" w:customStyle="1" w:styleId="xl41">
    <w:name w:val="xl41"/>
    <w:basedOn w:val="a"/>
    <w:rsid w:val="00DF1EE7"/>
    <w:pPr>
      <w:pBdr>
        <w:left w:val="single" w:sz="8" w:space="0" w:color="auto"/>
        <w:bottom w:val="single" w:sz="8" w:space="0" w:color="auto"/>
        <w:right w:val="single" w:sz="8" w:space="0" w:color="auto"/>
      </w:pBdr>
      <w:spacing w:before="100" w:beforeAutospacing="1" w:after="100" w:afterAutospacing="1"/>
    </w:pPr>
    <w:rPr>
      <w:rFonts w:ascii="Arial" w:eastAsia="Arial Unicode MS" w:hAnsi="Arial" w:cs="Arial Unicode MS"/>
    </w:rPr>
  </w:style>
  <w:style w:type="paragraph" w:customStyle="1" w:styleId="Style5">
    <w:name w:val="Style5"/>
    <w:basedOn w:val="a"/>
    <w:rsid w:val="00677DC8"/>
    <w:pPr>
      <w:widowControl w:val="0"/>
      <w:autoSpaceDE w:val="0"/>
      <w:autoSpaceDN w:val="0"/>
      <w:adjustRightInd w:val="0"/>
      <w:spacing w:line="480" w:lineRule="exact"/>
      <w:ind w:hanging="533"/>
    </w:pPr>
    <w:rPr>
      <w:rFonts w:ascii="Arial" w:hAnsi="Arial" w:cs="Arial"/>
    </w:rPr>
  </w:style>
  <w:style w:type="character" w:customStyle="1" w:styleId="FontStyle14">
    <w:name w:val="Font Style14"/>
    <w:basedOn w:val="a0"/>
    <w:rsid w:val="00677DC8"/>
    <w:rPr>
      <w:rFonts w:ascii="Arial" w:hAnsi="Arial" w:cs="Arial"/>
      <w:sz w:val="32"/>
      <w:szCs w:val="32"/>
    </w:rPr>
  </w:style>
  <w:style w:type="paragraph" w:customStyle="1" w:styleId="Style4">
    <w:name w:val="Style4"/>
    <w:basedOn w:val="a"/>
    <w:rsid w:val="00677DC8"/>
    <w:pPr>
      <w:widowControl w:val="0"/>
      <w:autoSpaceDE w:val="0"/>
      <w:autoSpaceDN w:val="0"/>
      <w:adjustRightInd w:val="0"/>
      <w:spacing w:line="432" w:lineRule="exact"/>
      <w:jc w:val="both"/>
    </w:pPr>
    <w:rPr>
      <w:rFonts w:ascii="Arial" w:hAnsi="Arial" w:cs="Arial"/>
    </w:rPr>
  </w:style>
  <w:style w:type="paragraph" w:customStyle="1" w:styleId="Style6">
    <w:name w:val="Style6"/>
    <w:basedOn w:val="a"/>
    <w:rsid w:val="00677DC8"/>
    <w:pPr>
      <w:widowControl w:val="0"/>
      <w:autoSpaceDE w:val="0"/>
      <w:autoSpaceDN w:val="0"/>
      <w:adjustRightInd w:val="0"/>
      <w:spacing w:line="434" w:lineRule="exact"/>
    </w:pPr>
    <w:rPr>
      <w:rFonts w:ascii="Arial" w:hAnsi="Arial" w:cs="Arial"/>
    </w:rPr>
  </w:style>
  <w:style w:type="paragraph" w:customStyle="1" w:styleId="41">
    <w:name w:val="Знак4"/>
    <w:basedOn w:val="a"/>
    <w:rsid w:val="0085379B"/>
    <w:rPr>
      <w:rFonts w:ascii="Verdana" w:hAnsi="Verdana"/>
      <w:sz w:val="20"/>
      <w:szCs w:val="20"/>
      <w:lang w:val="en-US" w:eastAsia="en-US"/>
    </w:rPr>
  </w:style>
  <w:style w:type="paragraph" w:customStyle="1" w:styleId="33">
    <w:name w:val="Знак3"/>
    <w:basedOn w:val="a"/>
    <w:rsid w:val="0093689B"/>
    <w:rPr>
      <w:rFonts w:ascii="Verdana" w:hAnsi="Verdana" w:cs="Verdana"/>
      <w:sz w:val="20"/>
      <w:szCs w:val="20"/>
      <w:lang w:val="en-US" w:eastAsia="en-US"/>
    </w:rPr>
  </w:style>
  <w:style w:type="character" w:customStyle="1" w:styleId="29">
    <w:name w:val="Основной шрифт абзаца2"/>
    <w:rsid w:val="009B0DB7"/>
  </w:style>
  <w:style w:type="paragraph" w:customStyle="1" w:styleId="2a">
    <w:name w:val="Знак2"/>
    <w:basedOn w:val="a"/>
    <w:rsid w:val="00F72105"/>
    <w:rPr>
      <w:rFonts w:ascii="Verdana" w:hAnsi="Verdana"/>
      <w:sz w:val="20"/>
      <w:szCs w:val="20"/>
      <w:lang w:val="en-US" w:eastAsia="en-US"/>
    </w:rPr>
  </w:style>
  <w:style w:type="paragraph" w:customStyle="1" w:styleId="34">
    <w:name w:val="Обычный3"/>
    <w:rsid w:val="00C84773"/>
    <w:rPr>
      <w:rFonts w:ascii="Times New Roman" w:eastAsia="Times New Roman" w:hAnsi="Times New Roman"/>
      <w:sz w:val="24"/>
    </w:rPr>
  </w:style>
  <w:style w:type="paragraph" w:customStyle="1" w:styleId="affb">
    <w:name w:val="Знак Знак Знак Знак"/>
    <w:basedOn w:val="a"/>
    <w:rsid w:val="00C84773"/>
    <w:rPr>
      <w:rFonts w:ascii="Verdana" w:hAnsi="Verdana" w:cs="Verdana"/>
      <w:sz w:val="20"/>
      <w:szCs w:val="20"/>
      <w:lang w:val="en-US" w:eastAsia="en-US"/>
    </w:rPr>
  </w:style>
  <w:style w:type="paragraph" w:customStyle="1" w:styleId="15">
    <w:name w:val="Абзац списка1"/>
    <w:basedOn w:val="a"/>
    <w:rsid w:val="000F799C"/>
    <w:pPr>
      <w:ind w:left="720"/>
      <w:contextualSpacing/>
    </w:pPr>
    <w:rPr>
      <w:rFonts w:eastAsia="Calibri"/>
    </w:rPr>
  </w:style>
  <w:style w:type="paragraph" w:customStyle="1" w:styleId="Style13">
    <w:name w:val="Style13"/>
    <w:basedOn w:val="a"/>
    <w:uiPriority w:val="99"/>
    <w:rsid w:val="00D76C64"/>
    <w:pPr>
      <w:widowControl w:val="0"/>
      <w:autoSpaceDE w:val="0"/>
      <w:autoSpaceDN w:val="0"/>
      <w:adjustRightInd w:val="0"/>
    </w:pPr>
    <w:rPr>
      <w:rFonts w:eastAsiaTheme="minorEastAsia"/>
    </w:rPr>
  </w:style>
  <w:style w:type="character" w:customStyle="1" w:styleId="FontStyle16">
    <w:name w:val="Font Style16"/>
    <w:basedOn w:val="a0"/>
    <w:uiPriority w:val="99"/>
    <w:rsid w:val="00D76C64"/>
    <w:rPr>
      <w:rFonts w:ascii="Times New Roman" w:hAnsi="Times New Roman" w:cs="Times New Roman"/>
      <w:sz w:val="26"/>
      <w:szCs w:val="26"/>
    </w:rPr>
  </w:style>
  <w:style w:type="character" w:customStyle="1" w:styleId="FontStyle17">
    <w:name w:val="Font Style17"/>
    <w:basedOn w:val="a0"/>
    <w:uiPriority w:val="99"/>
    <w:rsid w:val="00D76C64"/>
    <w:rPr>
      <w:rFonts w:ascii="Times New Roman" w:hAnsi="Times New Roman" w:cs="Times New Roman"/>
      <w:b/>
      <w:bCs/>
      <w:sz w:val="26"/>
      <w:szCs w:val="26"/>
    </w:rPr>
  </w:style>
  <w:style w:type="character" w:customStyle="1" w:styleId="FontStyle18">
    <w:name w:val="Font Style18"/>
    <w:basedOn w:val="a0"/>
    <w:uiPriority w:val="99"/>
    <w:rsid w:val="00D76C64"/>
    <w:rPr>
      <w:rFonts w:ascii="Times New Roman" w:hAnsi="Times New Roman" w:cs="Times New Roman"/>
      <w:sz w:val="22"/>
      <w:szCs w:val="22"/>
    </w:rPr>
  </w:style>
  <w:style w:type="paragraph" w:customStyle="1" w:styleId="Style8">
    <w:name w:val="Style8"/>
    <w:basedOn w:val="a"/>
    <w:uiPriority w:val="99"/>
    <w:rsid w:val="0040192D"/>
    <w:pPr>
      <w:widowControl w:val="0"/>
      <w:autoSpaceDE w:val="0"/>
      <w:autoSpaceDN w:val="0"/>
      <w:adjustRightInd w:val="0"/>
      <w:spacing w:line="323" w:lineRule="exact"/>
      <w:ind w:firstLine="350"/>
      <w:jc w:val="both"/>
    </w:pPr>
    <w:rPr>
      <w:rFonts w:eastAsiaTheme="minorEastAsia"/>
    </w:rPr>
  </w:style>
  <w:style w:type="paragraph" w:customStyle="1" w:styleId="Style9">
    <w:name w:val="Style9"/>
    <w:basedOn w:val="a"/>
    <w:uiPriority w:val="99"/>
    <w:rsid w:val="0040192D"/>
    <w:pPr>
      <w:widowControl w:val="0"/>
      <w:autoSpaceDE w:val="0"/>
      <w:autoSpaceDN w:val="0"/>
      <w:adjustRightInd w:val="0"/>
    </w:pPr>
    <w:rPr>
      <w:rFonts w:eastAsiaTheme="minorEastAsia"/>
    </w:rPr>
  </w:style>
  <w:style w:type="paragraph" w:customStyle="1" w:styleId="Style10">
    <w:name w:val="Style10"/>
    <w:basedOn w:val="a"/>
    <w:uiPriority w:val="99"/>
    <w:rsid w:val="0040192D"/>
    <w:pPr>
      <w:widowControl w:val="0"/>
      <w:autoSpaceDE w:val="0"/>
      <w:autoSpaceDN w:val="0"/>
      <w:adjustRightInd w:val="0"/>
      <w:spacing w:line="317" w:lineRule="exact"/>
      <w:ind w:hanging="336"/>
      <w:jc w:val="both"/>
    </w:pPr>
    <w:rPr>
      <w:rFonts w:eastAsiaTheme="minorEastAsia"/>
    </w:rPr>
  </w:style>
  <w:style w:type="paragraph" w:customStyle="1" w:styleId="Style14">
    <w:name w:val="Style14"/>
    <w:basedOn w:val="a"/>
    <w:uiPriority w:val="99"/>
    <w:rsid w:val="0040192D"/>
    <w:pPr>
      <w:widowControl w:val="0"/>
      <w:autoSpaceDE w:val="0"/>
      <w:autoSpaceDN w:val="0"/>
      <w:adjustRightInd w:val="0"/>
      <w:spacing w:line="331" w:lineRule="exact"/>
      <w:ind w:hanging="346"/>
    </w:pPr>
    <w:rPr>
      <w:rFonts w:eastAsiaTheme="minorEastAsia"/>
    </w:rPr>
  </w:style>
  <w:style w:type="paragraph" w:customStyle="1" w:styleId="Style15">
    <w:name w:val="Style15"/>
    <w:basedOn w:val="a"/>
    <w:uiPriority w:val="99"/>
    <w:rsid w:val="0040192D"/>
    <w:pPr>
      <w:widowControl w:val="0"/>
      <w:autoSpaceDE w:val="0"/>
      <w:autoSpaceDN w:val="0"/>
      <w:adjustRightInd w:val="0"/>
      <w:spacing w:line="451" w:lineRule="exact"/>
      <w:ind w:hanging="346"/>
    </w:pPr>
    <w:rPr>
      <w:rFonts w:eastAsiaTheme="minorEastAsia"/>
    </w:rPr>
  </w:style>
  <w:style w:type="character" w:customStyle="1" w:styleId="FontStyle23">
    <w:name w:val="Font Style23"/>
    <w:basedOn w:val="a0"/>
    <w:uiPriority w:val="99"/>
    <w:rsid w:val="0040192D"/>
    <w:rPr>
      <w:rFonts w:ascii="Times New Roman" w:hAnsi="Times New Roman" w:cs="Times New Roman"/>
      <w:spacing w:val="10"/>
      <w:sz w:val="24"/>
      <w:szCs w:val="24"/>
    </w:rPr>
  </w:style>
  <w:style w:type="paragraph" w:customStyle="1" w:styleId="61">
    <w:name w:val="Знак Знак Знак Знак6"/>
    <w:basedOn w:val="a"/>
    <w:rsid w:val="00350D44"/>
    <w:rPr>
      <w:rFonts w:ascii="Verdana" w:hAnsi="Verdana" w:cs="Verdana"/>
      <w:color w:val="000000"/>
      <w:sz w:val="20"/>
      <w:szCs w:val="20"/>
      <w:lang w:val="en-US" w:eastAsia="en-US"/>
    </w:rPr>
  </w:style>
  <w:style w:type="paragraph" w:customStyle="1" w:styleId="51">
    <w:name w:val="Знак Знак Знак Знак5"/>
    <w:basedOn w:val="a"/>
    <w:rsid w:val="004548FE"/>
    <w:rPr>
      <w:rFonts w:ascii="Verdana" w:hAnsi="Verdana" w:cs="Verdana"/>
      <w:color w:val="000000"/>
      <w:sz w:val="20"/>
      <w:szCs w:val="20"/>
      <w:lang w:val="en-US" w:eastAsia="en-US"/>
    </w:rPr>
  </w:style>
  <w:style w:type="paragraph" w:styleId="HTML">
    <w:name w:val="HTML Preformatted"/>
    <w:basedOn w:val="a"/>
    <w:link w:val="HTML0"/>
    <w:rsid w:val="00751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basedOn w:val="a0"/>
    <w:link w:val="HTML"/>
    <w:rsid w:val="007518B4"/>
    <w:rPr>
      <w:rFonts w:ascii="Courier New" w:eastAsia="Times New Roman" w:hAnsi="Courier New" w:cs="Courier New"/>
      <w:color w:val="000000"/>
      <w:sz w:val="21"/>
      <w:szCs w:val="21"/>
    </w:rPr>
  </w:style>
  <w:style w:type="paragraph" w:customStyle="1" w:styleId="42">
    <w:name w:val="Знак Знак Знак Знак4"/>
    <w:basedOn w:val="a"/>
    <w:rsid w:val="00BC67B1"/>
    <w:rPr>
      <w:rFonts w:ascii="Verdana" w:hAnsi="Verdana" w:cs="Verdana"/>
      <w:color w:val="000000"/>
      <w:sz w:val="20"/>
      <w:szCs w:val="20"/>
      <w:lang w:val="en-US" w:eastAsia="en-US"/>
    </w:rPr>
  </w:style>
  <w:style w:type="paragraph" w:customStyle="1" w:styleId="35">
    <w:name w:val="Знак Знак Знак Знак3"/>
    <w:basedOn w:val="a"/>
    <w:uiPriority w:val="99"/>
    <w:rsid w:val="000D1E59"/>
    <w:rPr>
      <w:rFonts w:ascii="Verdana" w:hAnsi="Verdana" w:cs="Verdana"/>
      <w:color w:val="000000"/>
      <w:sz w:val="20"/>
      <w:szCs w:val="20"/>
      <w:lang w:val="en-US" w:eastAsia="en-US"/>
    </w:rPr>
  </w:style>
  <w:style w:type="paragraph" w:customStyle="1" w:styleId="affc">
    <w:name w:val="Цитаты"/>
    <w:basedOn w:val="a"/>
    <w:rsid w:val="00443142"/>
    <w:pPr>
      <w:snapToGrid w:val="0"/>
      <w:spacing w:before="100" w:after="100"/>
      <w:ind w:left="360" w:right="360"/>
    </w:pPr>
    <w:rPr>
      <w:szCs w:val="20"/>
    </w:rPr>
  </w:style>
  <w:style w:type="paragraph" w:customStyle="1" w:styleId="16">
    <w:name w:val="Знак Знак1"/>
    <w:basedOn w:val="a"/>
    <w:rsid w:val="00443142"/>
    <w:pPr>
      <w:widowControl w:val="0"/>
      <w:tabs>
        <w:tab w:val="left" w:pos="567"/>
      </w:tabs>
      <w:adjustRightInd w:val="0"/>
      <w:spacing w:line="360" w:lineRule="atLeast"/>
      <w:jc w:val="both"/>
    </w:pPr>
    <w:rPr>
      <w:lang w:val="en-US" w:eastAsia="en-US"/>
    </w:rPr>
  </w:style>
  <w:style w:type="character" w:customStyle="1" w:styleId="aff7">
    <w:name w:val="Обычный (веб) Знак"/>
    <w:aliases w:val="Обычный (Web) Знак"/>
    <w:basedOn w:val="a0"/>
    <w:link w:val="aff6"/>
    <w:rsid w:val="00443142"/>
    <w:rPr>
      <w:rFonts w:ascii="Times New Roman" w:eastAsia="Times New Roman" w:hAnsi="Times New Roman"/>
      <w:sz w:val="24"/>
      <w:szCs w:val="24"/>
    </w:rPr>
  </w:style>
  <w:style w:type="paragraph" w:customStyle="1" w:styleId="2b">
    <w:name w:val="Знак Знак Знак Знак2"/>
    <w:basedOn w:val="a"/>
    <w:rsid w:val="00777F9A"/>
    <w:rPr>
      <w:rFonts w:ascii="Verdana" w:hAnsi="Verdana" w:cs="Verdana"/>
      <w:color w:val="000000"/>
      <w:sz w:val="20"/>
      <w:szCs w:val="20"/>
      <w:lang w:val="en-US" w:eastAsia="en-US"/>
    </w:rPr>
  </w:style>
  <w:style w:type="paragraph" w:customStyle="1" w:styleId="affd">
    <w:name w:val="обычный"/>
    <w:basedOn w:val="a"/>
    <w:rsid w:val="000B1EFD"/>
    <w:rPr>
      <w:lang w:val="en-US" w:eastAsia="en-US"/>
    </w:rPr>
  </w:style>
  <w:style w:type="paragraph" w:customStyle="1" w:styleId="211">
    <w:name w:val="Основной текст с отступом 21"/>
    <w:basedOn w:val="a"/>
    <w:rsid w:val="00CF4017"/>
    <w:pPr>
      <w:suppressAutoHyphens/>
      <w:spacing w:after="120"/>
      <w:ind w:firstLine="720"/>
      <w:jc w:val="both"/>
    </w:pPr>
    <w:rPr>
      <w:rFonts w:eastAsia="Calibri"/>
      <w:lang w:val="uk-UA" w:eastAsia="zh-CN"/>
    </w:rPr>
  </w:style>
  <w:style w:type="character" w:customStyle="1" w:styleId="FontStyle21">
    <w:name w:val="Font Style21"/>
    <w:basedOn w:val="a0"/>
    <w:rsid w:val="00141942"/>
    <w:rPr>
      <w:rFonts w:ascii="Times New Roman" w:hAnsi="Times New Roman" w:cs="Times New Roman"/>
      <w:sz w:val="26"/>
      <w:szCs w:val="26"/>
    </w:rPr>
  </w:style>
  <w:style w:type="paragraph" w:customStyle="1" w:styleId="17">
    <w:name w:val="Знак Знак Знак Знак1"/>
    <w:basedOn w:val="a"/>
    <w:rsid w:val="007E1D69"/>
    <w:rPr>
      <w:rFonts w:ascii="Verdana" w:hAnsi="Verdana" w:cs="Verdana"/>
      <w:color w:val="000000"/>
      <w:sz w:val="20"/>
      <w:szCs w:val="20"/>
      <w:lang w:val="en-US" w:eastAsia="en-US"/>
    </w:rPr>
  </w:style>
  <w:style w:type="paragraph" w:customStyle="1" w:styleId="43">
    <w:name w:val="Обычный4"/>
    <w:rsid w:val="004968B0"/>
    <w:rPr>
      <w:rFonts w:ascii="Times New Roman" w:eastAsia="Times New Roman" w:hAnsi="Times New Roman"/>
      <w:snapToGrid w:val="0"/>
      <w:lang w:val="uk-UA"/>
    </w:rPr>
  </w:style>
  <w:style w:type="character" w:customStyle="1" w:styleId="Absatz-Standardschriftart">
    <w:name w:val="Absatz-Standardschriftart"/>
    <w:rsid w:val="002812B0"/>
  </w:style>
  <w:style w:type="character" w:customStyle="1" w:styleId="WW-Absatz-Standardschriftart">
    <w:name w:val="WW-Absatz-Standardschriftart"/>
    <w:rsid w:val="002812B0"/>
  </w:style>
  <w:style w:type="character" w:customStyle="1" w:styleId="WW-Absatz-Standardschriftart1">
    <w:name w:val="WW-Absatz-Standardschriftart1"/>
    <w:rsid w:val="002812B0"/>
  </w:style>
  <w:style w:type="character" w:customStyle="1" w:styleId="WW-Absatz-Standardschriftart11">
    <w:name w:val="WW-Absatz-Standardschriftart11"/>
    <w:rsid w:val="002812B0"/>
  </w:style>
  <w:style w:type="character" w:customStyle="1" w:styleId="WW-Absatz-Standardschriftart111">
    <w:name w:val="WW-Absatz-Standardschriftart111"/>
    <w:rsid w:val="002812B0"/>
  </w:style>
  <w:style w:type="character" w:customStyle="1" w:styleId="WW-Absatz-Standardschriftart1111">
    <w:name w:val="WW-Absatz-Standardschriftart1111"/>
    <w:rsid w:val="002812B0"/>
  </w:style>
  <w:style w:type="character" w:customStyle="1" w:styleId="WW8Num1z0">
    <w:name w:val="WW8Num1z0"/>
    <w:rsid w:val="002812B0"/>
    <w:rPr>
      <w:rFonts w:cs="Times New Roman"/>
    </w:rPr>
  </w:style>
  <w:style w:type="character" w:customStyle="1" w:styleId="WW8Num2z0">
    <w:name w:val="WW8Num2z0"/>
    <w:rsid w:val="002812B0"/>
    <w:rPr>
      <w:rFonts w:ascii="Symbol" w:hAnsi="Symbol" w:cs="Symbol"/>
    </w:rPr>
  </w:style>
  <w:style w:type="character" w:customStyle="1" w:styleId="WW8Num2z1">
    <w:name w:val="WW8Num2z1"/>
    <w:rsid w:val="002812B0"/>
    <w:rPr>
      <w:rFonts w:ascii="Courier New" w:hAnsi="Courier New" w:cs="Courier New"/>
    </w:rPr>
  </w:style>
  <w:style w:type="character" w:customStyle="1" w:styleId="WW8Num2z2">
    <w:name w:val="WW8Num2z2"/>
    <w:rsid w:val="002812B0"/>
    <w:rPr>
      <w:rFonts w:ascii="Wingdings" w:hAnsi="Wingdings" w:cs="Wingdings"/>
    </w:rPr>
  </w:style>
  <w:style w:type="character" w:customStyle="1" w:styleId="WW8Num3z0">
    <w:name w:val="WW8Num3z0"/>
    <w:rsid w:val="002812B0"/>
    <w:rPr>
      <w:rFonts w:ascii="Courier New" w:eastAsia="Times New Roman" w:hAnsi="Courier New" w:cs="Courier New"/>
    </w:rPr>
  </w:style>
  <w:style w:type="character" w:customStyle="1" w:styleId="WW8Num3z1">
    <w:name w:val="WW8Num3z1"/>
    <w:rsid w:val="002812B0"/>
    <w:rPr>
      <w:rFonts w:ascii="Courier New" w:hAnsi="Courier New" w:cs="Courier New"/>
    </w:rPr>
  </w:style>
  <w:style w:type="character" w:customStyle="1" w:styleId="WW8Num3z2">
    <w:name w:val="WW8Num3z2"/>
    <w:rsid w:val="002812B0"/>
    <w:rPr>
      <w:rFonts w:ascii="Wingdings" w:hAnsi="Wingdings" w:cs="Wingdings"/>
    </w:rPr>
  </w:style>
  <w:style w:type="character" w:customStyle="1" w:styleId="WW8Num3z6">
    <w:name w:val="WW8Num3z6"/>
    <w:rsid w:val="002812B0"/>
    <w:rPr>
      <w:rFonts w:ascii="Symbol" w:hAnsi="Symbol" w:cs="Symbol"/>
    </w:rPr>
  </w:style>
  <w:style w:type="character" w:customStyle="1" w:styleId="WW8Num4z0">
    <w:name w:val="WW8Num4z0"/>
    <w:rsid w:val="002812B0"/>
    <w:rPr>
      <w:rFonts w:ascii="Symbol" w:hAnsi="Symbol" w:cs="Symbol"/>
    </w:rPr>
  </w:style>
  <w:style w:type="character" w:customStyle="1" w:styleId="WW8Num4z1">
    <w:name w:val="WW8Num4z1"/>
    <w:rsid w:val="002812B0"/>
    <w:rPr>
      <w:rFonts w:ascii="Courier New" w:hAnsi="Courier New" w:cs="Courier New"/>
    </w:rPr>
  </w:style>
  <w:style w:type="character" w:customStyle="1" w:styleId="WW8Num4z2">
    <w:name w:val="WW8Num4z2"/>
    <w:rsid w:val="002812B0"/>
    <w:rPr>
      <w:rFonts w:ascii="Wingdings" w:hAnsi="Wingdings" w:cs="Wingdings"/>
    </w:rPr>
  </w:style>
  <w:style w:type="character" w:customStyle="1" w:styleId="WW8Num5z0">
    <w:name w:val="WW8Num5z0"/>
    <w:rsid w:val="002812B0"/>
    <w:rPr>
      <w:rFonts w:ascii="Symbol" w:hAnsi="Symbol" w:cs="Symbol"/>
    </w:rPr>
  </w:style>
  <w:style w:type="character" w:customStyle="1" w:styleId="WW8Num5z1">
    <w:name w:val="WW8Num5z1"/>
    <w:rsid w:val="002812B0"/>
    <w:rPr>
      <w:rFonts w:ascii="Courier New" w:hAnsi="Courier New" w:cs="Courier New"/>
    </w:rPr>
  </w:style>
  <w:style w:type="character" w:customStyle="1" w:styleId="WW8Num5z2">
    <w:name w:val="WW8Num5z2"/>
    <w:rsid w:val="002812B0"/>
    <w:rPr>
      <w:rFonts w:ascii="Wingdings" w:hAnsi="Wingdings" w:cs="Wingdings"/>
    </w:rPr>
  </w:style>
  <w:style w:type="character" w:customStyle="1" w:styleId="WW8Num6z0">
    <w:name w:val="WW8Num6z0"/>
    <w:rsid w:val="002812B0"/>
    <w:rPr>
      <w:rFonts w:ascii="Courier New" w:eastAsia="Times New Roman" w:hAnsi="Courier New" w:cs="Courier New"/>
    </w:rPr>
  </w:style>
  <w:style w:type="character" w:customStyle="1" w:styleId="WW8Num6z1">
    <w:name w:val="WW8Num6z1"/>
    <w:rsid w:val="002812B0"/>
    <w:rPr>
      <w:rFonts w:ascii="Courier New" w:hAnsi="Courier New" w:cs="Courier New"/>
    </w:rPr>
  </w:style>
  <w:style w:type="character" w:customStyle="1" w:styleId="WW8Num6z2">
    <w:name w:val="WW8Num6z2"/>
    <w:rsid w:val="002812B0"/>
    <w:rPr>
      <w:rFonts w:ascii="Wingdings" w:hAnsi="Wingdings" w:cs="Wingdings"/>
    </w:rPr>
  </w:style>
  <w:style w:type="character" w:customStyle="1" w:styleId="WW8Num6z3">
    <w:name w:val="WW8Num6z3"/>
    <w:rsid w:val="002812B0"/>
    <w:rPr>
      <w:rFonts w:ascii="Symbol" w:hAnsi="Symbol" w:cs="Symbol"/>
    </w:rPr>
  </w:style>
  <w:style w:type="character" w:customStyle="1" w:styleId="WW8Num7z0">
    <w:name w:val="WW8Num7z0"/>
    <w:rsid w:val="002812B0"/>
    <w:rPr>
      <w:rFonts w:ascii="Arial" w:hAnsi="Arial" w:cs="Arial"/>
    </w:rPr>
  </w:style>
  <w:style w:type="character" w:customStyle="1" w:styleId="WW8Num7z1">
    <w:name w:val="WW8Num7z1"/>
    <w:rsid w:val="002812B0"/>
    <w:rPr>
      <w:rFonts w:cs="Times New Roman"/>
    </w:rPr>
  </w:style>
  <w:style w:type="character" w:customStyle="1" w:styleId="WW8Num8z0">
    <w:name w:val="WW8Num8z0"/>
    <w:rsid w:val="002812B0"/>
    <w:rPr>
      <w:rFonts w:ascii="Courier New" w:eastAsia="Times New Roman" w:hAnsi="Courier New" w:cs="Courier New"/>
    </w:rPr>
  </w:style>
  <w:style w:type="character" w:customStyle="1" w:styleId="WW8Num8z1">
    <w:name w:val="WW8Num8z1"/>
    <w:rsid w:val="002812B0"/>
    <w:rPr>
      <w:rFonts w:ascii="Courier New" w:hAnsi="Courier New" w:cs="Courier New"/>
    </w:rPr>
  </w:style>
  <w:style w:type="character" w:customStyle="1" w:styleId="WW8Num8z2">
    <w:name w:val="WW8Num8z2"/>
    <w:rsid w:val="002812B0"/>
    <w:rPr>
      <w:rFonts w:ascii="Wingdings" w:hAnsi="Wingdings" w:cs="Wingdings"/>
    </w:rPr>
  </w:style>
  <w:style w:type="character" w:customStyle="1" w:styleId="WW8Num8z3">
    <w:name w:val="WW8Num8z3"/>
    <w:rsid w:val="002812B0"/>
    <w:rPr>
      <w:rFonts w:ascii="Symbol" w:hAnsi="Symbol" w:cs="Symbol"/>
    </w:rPr>
  </w:style>
  <w:style w:type="character" w:customStyle="1" w:styleId="WW8Num9z0">
    <w:name w:val="WW8Num9z0"/>
    <w:rsid w:val="002812B0"/>
    <w:rPr>
      <w:rFonts w:ascii="Symbol" w:hAnsi="Symbol" w:cs="Symbol"/>
      <w:color w:val="auto"/>
    </w:rPr>
  </w:style>
  <w:style w:type="character" w:customStyle="1" w:styleId="WW8Num9z1">
    <w:name w:val="WW8Num9z1"/>
    <w:rsid w:val="002812B0"/>
    <w:rPr>
      <w:rFonts w:ascii="Courier New" w:hAnsi="Courier New" w:cs="Courier New"/>
    </w:rPr>
  </w:style>
  <w:style w:type="character" w:customStyle="1" w:styleId="WW8Num9z2">
    <w:name w:val="WW8Num9z2"/>
    <w:rsid w:val="002812B0"/>
    <w:rPr>
      <w:rFonts w:ascii="Wingdings" w:hAnsi="Wingdings" w:cs="Wingdings"/>
    </w:rPr>
  </w:style>
  <w:style w:type="character" w:customStyle="1" w:styleId="WW8Num9z3">
    <w:name w:val="WW8Num9z3"/>
    <w:rsid w:val="002812B0"/>
    <w:rPr>
      <w:rFonts w:ascii="Symbol" w:hAnsi="Symbol" w:cs="Symbol"/>
    </w:rPr>
  </w:style>
  <w:style w:type="character" w:customStyle="1" w:styleId="WW8Num10z0">
    <w:name w:val="WW8Num10z0"/>
    <w:rsid w:val="002812B0"/>
    <w:rPr>
      <w:rFonts w:ascii="Times New Roman" w:hAnsi="Times New Roman" w:cs="Times New Roman"/>
    </w:rPr>
  </w:style>
  <w:style w:type="character" w:customStyle="1" w:styleId="WW8Num10z1">
    <w:name w:val="WW8Num10z1"/>
    <w:rsid w:val="002812B0"/>
    <w:rPr>
      <w:rFonts w:cs="Times New Roman"/>
    </w:rPr>
  </w:style>
  <w:style w:type="character" w:customStyle="1" w:styleId="WW8Num11z0">
    <w:name w:val="WW8Num11z0"/>
    <w:rsid w:val="002812B0"/>
    <w:rPr>
      <w:rFonts w:ascii="Symbol" w:hAnsi="Symbol" w:cs="Symbol"/>
    </w:rPr>
  </w:style>
  <w:style w:type="character" w:customStyle="1" w:styleId="WW8Num11z2">
    <w:name w:val="WW8Num11z2"/>
    <w:rsid w:val="002812B0"/>
    <w:rPr>
      <w:rFonts w:ascii="Wingdings" w:hAnsi="Wingdings" w:cs="Wingdings"/>
    </w:rPr>
  </w:style>
  <w:style w:type="character" w:customStyle="1" w:styleId="WW8Num11z4">
    <w:name w:val="WW8Num11z4"/>
    <w:rsid w:val="002812B0"/>
    <w:rPr>
      <w:rFonts w:ascii="Courier New" w:hAnsi="Courier New" w:cs="Courier New"/>
    </w:rPr>
  </w:style>
  <w:style w:type="character" w:customStyle="1" w:styleId="WW8Num12z0">
    <w:name w:val="WW8Num12z0"/>
    <w:rsid w:val="002812B0"/>
    <w:rPr>
      <w:rFonts w:ascii="Times New Roman" w:eastAsia="Times New Roman" w:hAnsi="Times New Roman" w:cs="Times New Roman"/>
    </w:rPr>
  </w:style>
  <w:style w:type="character" w:customStyle="1" w:styleId="WW8Num12z1">
    <w:name w:val="WW8Num12z1"/>
    <w:rsid w:val="002812B0"/>
    <w:rPr>
      <w:rFonts w:cs="Times New Roman"/>
    </w:rPr>
  </w:style>
  <w:style w:type="character" w:customStyle="1" w:styleId="WW8Num13z0">
    <w:name w:val="WW8Num13z0"/>
    <w:rsid w:val="002812B0"/>
    <w:rPr>
      <w:rFonts w:ascii="Symbol" w:hAnsi="Symbol" w:cs="Symbol"/>
    </w:rPr>
  </w:style>
  <w:style w:type="character" w:customStyle="1" w:styleId="WW8Num13z1">
    <w:name w:val="WW8Num13z1"/>
    <w:rsid w:val="002812B0"/>
    <w:rPr>
      <w:rFonts w:ascii="Courier New" w:hAnsi="Courier New" w:cs="Courier New"/>
    </w:rPr>
  </w:style>
  <w:style w:type="character" w:customStyle="1" w:styleId="WW8Num13z2">
    <w:name w:val="WW8Num13z2"/>
    <w:rsid w:val="002812B0"/>
    <w:rPr>
      <w:rFonts w:ascii="Wingdings" w:hAnsi="Wingdings" w:cs="Wingdings"/>
    </w:rPr>
  </w:style>
  <w:style w:type="character" w:customStyle="1" w:styleId="WW8Num14z0">
    <w:name w:val="WW8Num14z0"/>
    <w:rsid w:val="002812B0"/>
    <w:rPr>
      <w:rFonts w:ascii="Arial" w:hAnsi="Arial" w:cs="Arial"/>
    </w:rPr>
  </w:style>
  <w:style w:type="character" w:customStyle="1" w:styleId="WW8Num14z1">
    <w:name w:val="WW8Num14z1"/>
    <w:rsid w:val="002812B0"/>
    <w:rPr>
      <w:rFonts w:cs="Times New Roman"/>
    </w:rPr>
  </w:style>
  <w:style w:type="character" w:customStyle="1" w:styleId="WW8Num15z0">
    <w:name w:val="WW8Num15z0"/>
    <w:rsid w:val="002812B0"/>
    <w:rPr>
      <w:rFonts w:cs="Times New Roman"/>
      <w:b/>
    </w:rPr>
  </w:style>
  <w:style w:type="character" w:customStyle="1" w:styleId="WW8Num15z1">
    <w:name w:val="WW8Num15z1"/>
    <w:rsid w:val="002812B0"/>
    <w:rPr>
      <w:rFonts w:cs="Times New Roman"/>
    </w:rPr>
  </w:style>
  <w:style w:type="character" w:customStyle="1" w:styleId="WW8Num16z0">
    <w:name w:val="WW8Num16z0"/>
    <w:rsid w:val="002812B0"/>
    <w:rPr>
      <w:rFonts w:ascii="Arial" w:hAnsi="Arial" w:cs="Arial"/>
    </w:rPr>
  </w:style>
  <w:style w:type="character" w:customStyle="1" w:styleId="WW8Num16z1">
    <w:name w:val="WW8Num16z1"/>
    <w:rsid w:val="002812B0"/>
    <w:rPr>
      <w:rFonts w:ascii="Courier New" w:hAnsi="Courier New" w:cs="Courier New"/>
    </w:rPr>
  </w:style>
  <w:style w:type="character" w:customStyle="1" w:styleId="WW8Num16z2">
    <w:name w:val="WW8Num16z2"/>
    <w:rsid w:val="002812B0"/>
    <w:rPr>
      <w:rFonts w:ascii="Wingdings" w:hAnsi="Wingdings" w:cs="Wingdings"/>
    </w:rPr>
  </w:style>
  <w:style w:type="character" w:customStyle="1" w:styleId="WW8Num16z3">
    <w:name w:val="WW8Num16z3"/>
    <w:rsid w:val="002812B0"/>
    <w:rPr>
      <w:rFonts w:ascii="Symbol" w:hAnsi="Symbol" w:cs="Symbol"/>
    </w:rPr>
  </w:style>
  <w:style w:type="character" w:customStyle="1" w:styleId="WW8Num17z0">
    <w:name w:val="WW8Num17z0"/>
    <w:rsid w:val="002812B0"/>
    <w:rPr>
      <w:rFonts w:ascii="Symbol" w:hAnsi="Symbol" w:cs="Symbol"/>
    </w:rPr>
  </w:style>
  <w:style w:type="character" w:customStyle="1" w:styleId="WW8Num17z1">
    <w:name w:val="WW8Num17z1"/>
    <w:rsid w:val="002812B0"/>
    <w:rPr>
      <w:rFonts w:ascii="Courier New" w:hAnsi="Courier New" w:cs="Courier New"/>
    </w:rPr>
  </w:style>
  <w:style w:type="character" w:customStyle="1" w:styleId="WW8Num17z2">
    <w:name w:val="WW8Num17z2"/>
    <w:rsid w:val="002812B0"/>
    <w:rPr>
      <w:rFonts w:ascii="Wingdings" w:hAnsi="Wingdings" w:cs="Wingdings"/>
    </w:rPr>
  </w:style>
  <w:style w:type="character" w:customStyle="1" w:styleId="WW8Num18z0">
    <w:name w:val="WW8Num18z0"/>
    <w:rsid w:val="002812B0"/>
    <w:rPr>
      <w:rFonts w:ascii="Courier New" w:eastAsia="Times New Roman" w:hAnsi="Courier New" w:cs="Courier New"/>
    </w:rPr>
  </w:style>
  <w:style w:type="character" w:customStyle="1" w:styleId="WW8Num18z1">
    <w:name w:val="WW8Num18z1"/>
    <w:rsid w:val="002812B0"/>
    <w:rPr>
      <w:rFonts w:ascii="Symbol" w:hAnsi="Symbol" w:cs="Symbol"/>
    </w:rPr>
  </w:style>
  <w:style w:type="character" w:customStyle="1" w:styleId="WW8Num18z2">
    <w:name w:val="WW8Num18z2"/>
    <w:rsid w:val="002812B0"/>
    <w:rPr>
      <w:rFonts w:ascii="Wingdings" w:hAnsi="Wingdings" w:cs="Wingdings"/>
    </w:rPr>
  </w:style>
  <w:style w:type="character" w:customStyle="1" w:styleId="WW8Num18z4">
    <w:name w:val="WW8Num18z4"/>
    <w:rsid w:val="002812B0"/>
    <w:rPr>
      <w:rFonts w:ascii="Courier New" w:hAnsi="Courier New" w:cs="Courier New"/>
    </w:rPr>
  </w:style>
  <w:style w:type="character" w:customStyle="1" w:styleId="WW8Num19z0">
    <w:name w:val="WW8Num19z0"/>
    <w:rsid w:val="002812B0"/>
    <w:rPr>
      <w:rFonts w:ascii="Arial" w:hAnsi="Arial" w:cs="Arial"/>
    </w:rPr>
  </w:style>
  <w:style w:type="character" w:customStyle="1" w:styleId="WW8Num19z1">
    <w:name w:val="WW8Num19z1"/>
    <w:rsid w:val="002812B0"/>
    <w:rPr>
      <w:rFonts w:cs="Times New Roman"/>
    </w:rPr>
  </w:style>
  <w:style w:type="character" w:customStyle="1" w:styleId="WW8Num20z0">
    <w:name w:val="WW8Num20z0"/>
    <w:rsid w:val="002812B0"/>
    <w:rPr>
      <w:rFonts w:ascii="Times New Roman" w:eastAsia="Times New Roman" w:hAnsi="Times New Roman" w:cs="Times New Roman"/>
    </w:rPr>
  </w:style>
  <w:style w:type="character" w:customStyle="1" w:styleId="WW8Num20z1">
    <w:name w:val="WW8Num20z1"/>
    <w:rsid w:val="002812B0"/>
    <w:rPr>
      <w:rFonts w:ascii="Courier New" w:hAnsi="Courier New" w:cs="Courier New"/>
    </w:rPr>
  </w:style>
  <w:style w:type="character" w:customStyle="1" w:styleId="WW8Num20z2">
    <w:name w:val="WW8Num20z2"/>
    <w:rsid w:val="002812B0"/>
    <w:rPr>
      <w:rFonts w:ascii="Wingdings" w:hAnsi="Wingdings" w:cs="Wingdings"/>
    </w:rPr>
  </w:style>
  <w:style w:type="character" w:customStyle="1" w:styleId="WW8Num20z3">
    <w:name w:val="WW8Num20z3"/>
    <w:rsid w:val="002812B0"/>
    <w:rPr>
      <w:rFonts w:ascii="Symbol" w:hAnsi="Symbol" w:cs="Symbol"/>
    </w:rPr>
  </w:style>
  <w:style w:type="character" w:customStyle="1" w:styleId="WW8Num21z0">
    <w:name w:val="WW8Num21z0"/>
    <w:rsid w:val="002812B0"/>
    <w:rPr>
      <w:rFonts w:ascii="Courier New" w:eastAsia="Times New Roman" w:hAnsi="Courier New" w:cs="Courier New"/>
    </w:rPr>
  </w:style>
  <w:style w:type="character" w:customStyle="1" w:styleId="WW8Num21z1">
    <w:name w:val="WW8Num21z1"/>
    <w:rsid w:val="002812B0"/>
    <w:rPr>
      <w:rFonts w:ascii="Courier New" w:hAnsi="Courier New" w:cs="Courier New"/>
    </w:rPr>
  </w:style>
  <w:style w:type="character" w:customStyle="1" w:styleId="WW8Num21z2">
    <w:name w:val="WW8Num21z2"/>
    <w:rsid w:val="002812B0"/>
    <w:rPr>
      <w:rFonts w:ascii="Wingdings" w:hAnsi="Wingdings" w:cs="Wingdings"/>
    </w:rPr>
  </w:style>
  <w:style w:type="character" w:customStyle="1" w:styleId="WW8Num21z3">
    <w:name w:val="WW8Num21z3"/>
    <w:rsid w:val="002812B0"/>
    <w:rPr>
      <w:rFonts w:ascii="Symbol" w:hAnsi="Symbol" w:cs="Symbol"/>
    </w:rPr>
  </w:style>
  <w:style w:type="character" w:customStyle="1" w:styleId="WW8Num22z0">
    <w:name w:val="WW8Num22z0"/>
    <w:rsid w:val="002812B0"/>
    <w:rPr>
      <w:rFonts w:ascii="Times New Roman" w:eastAsia="Times New Roman" w:hAnsi="Times New Roman" w:cs="Times New Roman"/>
    </w:rPr>
  </w:style>
  <w:style w:type="character" w:customStyle="1" w:styleId="WW8Num22z1">
    <w:name w:val="WW8Num22z1"/>
    <w:rsid w:val="002812B0"/>
    <w:rPr>
      <w:rFonts w:ascii="Courier New" w:hAnsi="Courier New" w:cs="Courier New"/>
    </w:rPr>
  </w:style>
  <w:style w:type="character" w:customStyle="1" w:styleId="WW8Num22z2">
    <w:name w:val="WW8Num22z2"/>
    <w:rsid w:val="002812B0"/>
    <w:rPr>
      <w:rFonts w:ascii="Wingdings" w:hAnsi="Wingdings" w:cs="Wingdings"/>
    </w:rPr>
  </w:style>
  <w:style w:type="character" w:customStyle="1" w:styleId="WW8Num22z3">
    <w:name w:val="WW8Num22z3"/>
    <w:rsid w:val="002812B0"/>
    <w:rPr>
      <w:rFonts w:ascii="Symbol" w:hAnsi="Symbol" w:cs="Symbol"/>
    </w:rPr>
  </w:style>
  <w:style w:type="character" w:customStyle="1" w:styleId="WW8Num23z0">
    <w:name w:val="WW8Num23z0"/>
    <w:rsid w:val="002812B0"/>
    <w:rPr>
      <w:rFonts w:ascii="Courier New" w:eastAsia="Times New Roman" w:hAnsi="Courier New" w:cs="Courier New"/>
    </w:rPr>
  </w:style>
  <w:style w:type="character" w:customStyle="1" w:styleId="WW8Num23z1">
    <w:name w:val="WW8Num23z1"/>
    <w:rsid w:val="002812B0"/>
    <w:rPr>
      <w:rFonts w:ascii="Symbol" w:hAnsi="Symbol" w:cs="Symbol"/>
    </w:rPr>
  </w:style>
  <w:style w:type="character" w:customStyle="1" w:styleId="WW8Num23z2">
    <w:name w:val="WW8Num23z2"/>
    <w:rsid w:val="002812B0"/>
    <w:rPr>
      <w:rFonts w:ascii="Wingdings" w:hAnsi="Wingdings" w:cs="Wingdings"/>
    </w:rPr>
  </w:style>
  <w:style w:type="character" w:customStyle="1" w:styleId="WW8Num23z4">
    <w:name w:val="WW8Num23z4"/>
    <w:rsid w:val="002812B0"/>
    <w:rPr>
      <w:rFonts w:ascii="Courier New" w:hAnsi="Courier New" w:cs="Courier New"/>
    </w:rPr>
  </w:style>
  <w:style w:type="character" w:customStyle="1" w:styleId="WW8Num24z0">
    <w:name w:val="WW8Num24z0"/>
    <w:rsid w:val="002812B0"/>
    <w:rPr>
      <w:rFonts w:ascii="Symbol" w:hAnsi="Symbol" w:cs="Symbol"/>
    </w:rPr>
  </w:style>
  <w:style w:type="character" w:customStyle="1" w:styleId="WW8Num24z1">
    <w:name w:val="WW8Num24z1"/>
    <w:rsid w:val="002812B0"/>
    <w:rPr>
      <w:rFonts w:ascii="Courier New" w:hAnsi="Courier New" w:cs="Courier New"/>
    </w:rPr>
  </w:style>
  <w:style w:type="character" w:customStyle="1" w:styleId="WW8Num24z2">
    <w:name w:val="WW8Num24z2"/>
    <w:rsid w:val="002812B0"/>
    <w:rPr>
      <w:rFonts w:ascii="Wingdings" w:hAnsi="Wingdings" w:cs="Wingdings"/>
    </w:rPr>
  </w:style>
  <w:style w:type="character" w:customStyle="1" w:styleId="WW8Num25z0">
    <w:name w:val="WW8Num25z0"/>
    <w:rsid w:val="002812B0"/>
    <w:rPr>
      <w:rFonts w:ascii="Courier New" w:eastAsia="Times New Roman" w:hAnsi="Courier New" w:cs="Courier New"/>
    </w:rPr>
  </w:style>
  <w:style w:type="character" w:customStyle="1" w:styleId="WW8Num25z1">
    <w:name w:val="WW8Num25z1"/>
    <w:rsid w:val="002812B0"/>
    <w:rPr>
      <w:rFonts w:ascii="Symbol" w:hAnsi="Symbol" w:cs="Symbol"/>
    </w:rPr>
  </w:style>
  <w:style w:type="character" w:customStyle="1" w:styleId="WW8Num25z2">
    <w:name w:val="WW8Num25z2"/>
    <w:rsid w:val="002812B0"/>
    <w:rPr>
      <w:rFonts w:ascii="Wingdings" w:hAnsi="Wingdings" w:cs="Wingdings"/>
    </w:rPr>
  </w:style>
  <w:style w:type="character" w:customStyle="1" w:styleId="WW8Num25z4">
    <w:name w:val="WW8Num25z4"/>
    <w:rsid w:val="002812B0"/>
    <w:rPr>
      <w:rFonts w:ascii="Courier New" w:hAnsi="Courier New" w:cs="Courier New"/>
    </w:rPr>
  </w:style>
  <w:style w:type="character" w:customStyle="1" w:styleId="WW8Num26z0">
    <w:name w:val="WW8Num26z0"/>
    <w:rsid w:val="002812B0"/>
    <w:rPr>
      <w:rFonts w:ascii="Times New Roman" w:eastAsia="Times New Roman" w:hAnsi="Times New Roman" w:cs="Times New Roman"/>
    </w:rPr>
  </w:style>
  <w:style w:type="character" w:customStyle="1" w:styleId="WW8Num26z1">
    <w:name w:val="WW8Num26z1"/>
    <w:rsid w:val="002812B0"/>
    <w:rPr>
      <w:rFonts w:cs="Times New Roman"/>
    </w:rPr>
  </w:style>
  <w:style w:type="character" w:customStyle="1" w:styleId="WW8Num27z0">
    <w:name w:val="WW8Num27z0"/>
    <w:rsid w:val="002812B0"/>
    <w:rPr>
      <w:rFonts w:ascii="Symbol" w:hAnsi="Symbol" w:cs="Symbol"/>
      <w:color w:val="auto"/>
    </w:rPr>
  </w:style>
  <w:style w:type="character" w:customStyle="1" w:styleId="WW8Num27z1">
    <w:name w:val="WW8Num27z1"/>
    <w:rsid w:val="002812B0"/>
    <w:rPr>
      <w:rFonts w:ascii="Courier New" w:hAnsi="Courier New" w:cs="Courier New"/>
    </w:rPr>
  </w:style>
  <w:style w:type="character" w:customStyle="1" w:styleId="WW8Num27z2">
    <w:name w:val="WW8Num27z2"/>
    <w:rsid w:val="002812B0"/>
    <w:rPr>
      <w:rFonts w:ascii="Wingdings" w:hAnsi="Wingdings" w:cs="Wingdings"/>
    </w:rPr>
  </w:style>
  <w:style w:type="character" w:customStyle="1" w:styleId="WW8Num27z3">
    <w:name w:val="WW8Num27z3"/>
    <w:rsid w:val="002812B0"/>
    <w:rPr>
      <w:rFonts w:ascii="Symbol" w:hAnsi="Symbol" w:cs="Symbol"/>
    </w:rPr>
  </w:style>
  <w:style w:type="character" w:customStyle="1" w:styleId="WW8Num28z0">
    <w:name w:val="WW8Num28z0"/>
    <w:rsid w:val="002812B0"/>
    <w:rPr>
      <w:rFonts w:cs="Times New Roman"/>
    </w:rPr>
  </w:style>
  <w:style w:type="character" w:customStyle="1" w:styleId="WW8Num28z1">
    <w:name w:val="WW8Num28z1"/>
    <w:rsid w:val="002812B0"/>
    <w:rPr>
      <w:rFonts w:eastAsia="Times New Roman" w:cs="Times New Roman"/>
    </w:rPr>
  </w:style>
  <w:style w:type="character" w:customStyle="1" w:styleId="WW8Num29z0">
    <w:name w:val="WW8Num29z0"/>
    <w:rsid w:val="002812B0"/>
    <w:rPr>
      <w:rFonts w:ascii="Symbol" w:hAnsi="Symbol" w:cs="Symbol"/>
      <w:sz w:val="20"/>
    </w:rPr>
  </w:style>
  <w:style w:type="character" w:customStyle="1" w:styleId="WW8Num29z1">
    <w:name w:val="WW8Num29z1"/>
    <w:rsid w:val="002812B0"/>
    <w:rPr>
      <w:rFonts w:cs="Times New Roman"/>
    </w:rPr>
  </w:style>
  <w:style w:type="character" w:customStyle="1" w:styleId="WW8Num30z0">
    <w:name w:val="WW8Num30z0"/>
    <w:rsid w:val="002812B0"/>
    <w:rPr>
      <w:rFonts w:ascii="Symbol" w:hAnsi="Symbol" w:cs="Symbol"/>
    </w:rPr>
  </w:style>
  <w:style w:type="character" w:customStyle="1" w:styleId="WW8Num30z1">
    <w:name w:val="WW8Num30z1"/>
    <w:rsid w:val="002812B0"/>
    <w:rPr>
      <w:rFonts w:ascii="Courier New" w:hAnsi="Courier New" w:cs="Courier New"/>
    </w:rPr>
  </w:style>
  <w:style w:type="character" w:customStyle="1" w:styleId="WW8Num30z2">
    <w:name w:val="WW8Num30z2"/>
    <w:rsid w:val="002812B0"/>
    <w:rPr>
      <w:rFonts w:ascii="Wingdings" w:hAnsi="Wingdings" w:cs="Wingdings"/>
    </w:rPr>
  </w:style>
  <w:style w:type="character" w:customStyle="1" w:styleId="WW8Num31z0">
    <w:name w:val="WW8Num31z0"/>
    <w:rsid w:val="002812B0"/>
    <w:rPr>
      <w:rFonts w:ascii="Symbol" w:hAnsi="Symbol" w:cs="Symbol"/>
    </w:rPr>
  </w:style>
  <w:style w:type="character" w:customStyle="1" w:styleId="WW8Num31z1">
    <w:name w:val="WW8Num31z1"/>
    <w:rsid w:val="002812B0"/>
    <w:rPr>
      <w:rFonts w:ascii="Courier New" w:hAnsi="Courier New" w:cs="Courier New"/>
    </w:rPr>
  </w:style>
  <w:style w:type="character" w:customStyle="1" w:styleId="WW8Num31z2">
    <w:name w:val="WW8Num31z2"/>
    <w:rsid w:val="002812B0"/>
    <w:rPr>
      <w:rFonts w:ascii="Wingdings" w:hAnsi="Wingdings" w:cs="Wingdings"/>
    </w:rPr>
  </w:style>
  <w:style w:type="character" w:customStyle="1" w:styleId="18">
    <w:name w:val="Основной шрифт абзаца1"/>
    <w:rsid w:val="002812B0"/>
  </w:style>
  <w:style w:type="character" w:customStyle="1" w:styleId="Heading1Char">
    <w:name w:val="Heading 1 Char"/>
    <w:basedOn w:val="18"/>
    <w:rsid w:val="002812B0"/>
    <w:rPr>
      <w:rFonts w:ascii="Cambria" w:eastAsia="Calibri" w:hAnsi="Cambria" w:cs="Cambria"/>
      <w:b/>
      <w:bCs/>
      <w:color w:val="622423"/>
      <w:sz w:val="22"/>
      <w:szCs w:val="22"/>
      <w:lang w:val="ru-RU" w:bidi="ar-SA"/>
    </w:rPr>
  </w:style>
  <w:style w:type="character" w:customStyle="1" w:styleId="Heading2Char">
    <w:name w:val="Heading 2 Char"/>
    <w:basedOn w:val="18"/>
    <w:rsid w:val="002812B0"/>
    <w:rPr>
      <w:rFonts w:ascii="Cambria" w:eastAsia="Calibri" w:hAnsi="Cambria" w:cs="Cambria"/>
      <w:b/>
      <w:bCs/>
      <w:color w:val="943634"/>
      <w:sz w:val="22"/>
      <w:szCs w:val="22"/>
      <w:lang w:val="ru-RU" w:bidi="ar-SA"/>
    </w:rPr>
  </w:style>
  <w:style w:type="character" w:customStyle="1" w:styleId="Heading3Char">
    <w:name w:val="Heading 3 Char"/>
    <w:basedOn w:val="18"/>
    <w:rsid w:val="002812B0"/>
    <w:rPr>
      <w:rFonts w:ascii="Cambria" w:eastAsia="Calibri" w:hAnsi="Cambria" w:cs="Cambria"/>
      <w:b/>
      <w:bCs/>
      <w:color w:val="943634"/>
      <w:sz w:val="22"/>
      <w:szCs w:val="22"/>
      <w:lang w:val="ru-RU" w:bidi="ar-SA"/>
    </w:rPr>
  </w:style>
  <w:style w:type="character" w:customStyle="1" w:styleId="Heading4Char">
    <w:name w:val="Heading 4 Char"/>
    <w:basedOn w:val="18"/>
    <w:rsid w:val="002812B0"/>
    <w:rPr>
      <w:rFonts w:ascii="Cambria" w:eastAsia="Calibri" w:hAnsi="Cambria" w:cs="Cambria"/>
      <w:b/>
      <w:bCs/>
      <w:color w:val="943634"/>
      <w:sz w:val="22"/>
      <w:szCs w:val="22"/>
      <w:lang w:val="ru-RU" w:bidi="ar-SA"/>
    </w:rPr>
  </w:style>
  <w:style w:type="character" w:customStyle="1" w:styleId="Heading5Char">
    <w:name w:val="Heading 5 Char"/>
    <w:basedOn w:val="18"/>
    <w:rsid w:val="002812B0"/>
    <w:rPr>
      <w:rFonts w:ascii="Cambria" w:eastAsia="Calibri" w:hAnsi="Cambria" w:cs="Cambria"/>
      <w:b/>
      <w:bCs/>
      <w:color w:val="943634"/>
      <w:sz w:val="22"/>
      <w:szCs w:val="22"/>
      <w:lang w:val="ru-RU" w:bidi="ar-SA"/>
    </w:rPr>
  </w:style>
  <w:style w:type="character" w:customStyle="1" w:styleId="Heading6Char">
    <w:name w:val="Heading 6 Char"/>
    <w:basedOn w:val="18"/>
    <w:rsid w:val="002812B0"/>
    <w:rPr>
      <w:rFonts w:ascii="Cambria" w:eastAsia="Calibri" w:hAnsi="Cambria" w:cs="Cambria"/>
      <w:color w:val="943634"/>
      <w:sz w:val="22"/>
      <w:szCs w:val="22"/>
      <w:lang w:val="ru-RU" w:bidi="ar-SA"/>
    </w:rPr>
  </w:style>
  <w:style w:type="character" w:customStyle="1" w:styleId="Heading7Char">
    <w:name w:val="Heading 7 Char"/>
    <w:basedOn w:val="18"/>
    <w:rsid w:val="002812B0"/>
    <w:rPr>
      <w:rFonts w:ascii="Cambria" w:eastAsia="Calibri" w:hAnsi="Cambria" w:cs="Cambria"/>
      <w:color w:val="943634"/>
      <w:sz w:val="22"/>
      <w:szCs w:val="22"/>
      <w:lang w:val="ru-RU" w:bidi="ar-SA"/>
    </w:rPr>
  </w:style>
  <w:style w:type="character" w:customStyle="1" w:styleId="Heading8Char">
    <w:name w:val="Heading 8 Char"/>
    <w:basedOn w:val="18"/>
    <w:rsid w:val="002812B0"/>
    <w:rPr>
      <w:rFonts w:ascii="Cambria" w:eastAsia="Calibri" w:hAnsi="Cambria" w:cs="Cambria"/>
      <w:color w:val="C0504D"/>
      <w:sz w:val="22"/>
      <w:szCs w:val="22"/>
      <w:lang w:val="ru-RU" w:bidi="ar-SA"/>
    </w:rPr>
  </w:style>
  <w:style w:type="character" w:customStyle="1" w:styleId="Heading9Char">
    <w:name w:val="Heading 9 Char"/>
    <w:basedOn w:val="18"/>
    <w:rsid w:val="002812B0"/>
    <w:rPr>
      <w:rFonts w:ascii="Cambria" w:eastAsia="Calibri" w:hAnsi="Cambria" w:cs="Cambria"/>
      <w:color w:val="C0504D"/>
      <w:sz w:val="24"/>
      <w:szCs w:val="24"/>
      <w:lang w:val="ru-RU" w:bidi="ar-SA"/>
    </w:rPr>
  </w:style>
  <w:style w:type="character" w:customStyle="1" w:styleId="TitleChar">
    <w:name w:val="Title Char"/>
    <w:basedOn w:val="18"/>
    <w:rsid w:val="002812B0"/>
    <w:rPr>
      <w:rFonts w:ascii="Cambria" w:eastAsia="Calibri" w:hAnsi="Cambria" w:cs="Cambria"/>
      <w:color w:val="FFFFFF"/>
      <w:spacing w:val="10"/>
      <w:sz w:val="48"/>
      <w:szCs w:val="48"/>
      <w:lang w:val="ru-RU" w:bidi="ar-SA"/>
    </w:rPr>
  </w:style>
  <w:style w:type="character" w:customStyle="1" w:styleId="SubtitleChar">
    <w:name w:val="Subtitle Char"/>
    <w:basedOn w:val="18"/>
    <w:rsid w:val="002812B0"/>
    <w:rPr>
      <w:rFonts w:ascii="Cambria" w:eastAsia="Calibri" w:hAnsi="Cambria" w:cs="Cambria"/>
      <w:color w:val="622423"/>
      <w:sz w:val="24"/>
      <w:szCs w:val="24"/>
      <w:lang w:val="ru-RU" w:bidi="ar-SA"/>
    </w:rPr>
  </w:style>
  <w:style w:type="character" w:customStyle="1" w:styleId="QuoteChar">
    <w:name w:val="Quote Char"/>
    <w:basedOn w:val="18"/>
    <w:rsid w:val="002812B0"/>
    <w:rPr>
      <w:rFonts w:eastAsia="Calibri"/>
      <w:color w:val="943634"/>
      <w:sz w:val="24"/>
      <w:szCs w:val="24"/>
      <w:lang w:val="ru-RU" w:bidi="ar-SA"/>
    </w:rPr>
  </w:style>
  <w:style w:type="character" w:customStyle="1" w:styleId="IntenseQuoteChar">
    <w:name w:val="Intense Quote Char"/>
    <w:basedOn w:val="18"/>
    <w:rsid w:val="002812B0"/>
    <w:rPr>
      <w:rFonts w:ascii="Cambria" w:eastAsia="Calibri" w:hAnsi="Cambria" w:cs="Cambria"/>
      <w:b/>
      <w:bCs/>
      <w:color w:val="C0504D"/>
      <w:sz w:val="24"/>
      <w:szCs w:val="24"/>
      <w:lang w:val="ru-RU" w:bidi="ar-SA"/>
    </w:rPr>
  </w:style>
  <w:style w:type="character" w:customStyle="1" w:styleId="19">
    <w:name w:val="Слабое выделение1"/>
    <w:rsid w:val="002812B0"/>
    <w:rPr>
      <w:rFonts w:ascii="Cambria" w:hAnsi="Cambria" w:cs="Cambria"/>
      <w:i/>
      <w:color w:val="C0504D"/>
    </w:rPr>
  </w:style>
  <w:style w:type="character" w:customStyle="1" w:styleId="1a">
    <w:name w:val="Сильное выделение1"/>
    <w:rsid w:val="002812B0"/>
    <w:rPr>
      <w:rFonts w:ascii="Cambria" w:hAnsi="Cambria" w:cs="Cambria"/>
      <w:b/>
      <w:i/>
      <w:color w:val="FFFFFF"/>
      <w:position w:val="0"/>
      <w:sz w:val="24"/>
      <w:shd w:val="clear" w:color="auto" w:fill="C0504D"/>
      <w:vertAlign w:val="baseline"/>
    </w:rPr>
  </w:style>
  <w:style w:type="character" w:customStyle="1" w:styleId="1b">
    <w:name w:val="Слабая ссылка1"/>
    <w:rsid w:val="002812B0"/>
    <w:rPr>
      <w:i/>
      <w:smallCaps/>
      <w:color w:val="C0504D"/>
    </w:rPr>
  </w:style>
  <w:style w:type="character" w:customStyle="1" w:styleId="1c">
    <w:name w:val="Сильная ссылка1"/>
    <w:rsid w:val="002812B0"/>
    <w:rPr>
      <w:b/>
      <w:i/>
      <w:smallCaps/>
      <w:color w:val="C0504D"/>
    </w:rPr>
  </w:style>
  <w:style w:type="character" w:customStyle="1" w:styleId="1d">
    <w:name w:val="Название книги1"/>
    <w:rsid w:val="002812B0"/>
    <w:rPr>
      <w:rFonts w:ascii="Cambria" w:hAnsi="Cambria" w:cs="Cambria"/>
      <w:b/>
      <w:i/>
      <w:smallCaps/>
      <w:color w:val="943634"/>
      <w:u w:val="single"/>
    </w:rPr>
  </w:style>
  <w:style w:type="character" w:customStyle="1" w:styleId="HeaderChar">
    <w:name w:val="Header Char"/>
    <w:basedOn w:val="18"/>
    <w:rsid w:val="002812B0"/>
    <w:rPr>
      <w:rFonts w:eastAsia="Calibri"/>
      <w:sz w:val="24"/>
      <w:szCs w:val="24"/>
      <w:lang w:val="ru-RU" w:bidi="ar-SA"/>
    </w:rPr>
  </w:style>
  <w:style w:type="character" w:customStyle="1" w:styleId="FooterChar">
    <w:name w:val="Footer Char"/>
    <w:basedOn w:val="18"/>
    <w:rsid w:val="002812B0"/>
    <w:rPr>
      <w:rFonts w:eastAsia="Calibri"/>
      <w:sz w:val="24"/>
      <w:szCs w:val="24"/>
      <w:lang w:val="ru-RU" w:bidi="ar-SA"/>
    </w:rPr>
  </w:style>
  <w:style w:type="character" w:customStyle="1" w:styleId="BodyTextIndent2Char">
    <w:name w:val="Body Text Indent 2 Char"/>
    <w:basedOn w:val="18"/>
    <w:rsid w:val="002812B0"/>
    <w:rPr>
      <w:rFonts w:eastAsia="Calibri"/>
      <w:sz w:val="24"/>
      <w:szCs w:val="24"/>
      <w:lang w:val="uk-UA" w:bidi="ar-SA"/>
    </w:rPr>
  </w:style>
  <w:style w:type="character" w:customStyle="1" w:styleId="BalloonTextChar">
    <w:name w:val="Balloon Text Char"/>
    <w:basedOn w:val="18"/>
    <w:rsid w:val="002812B0"/>
    <w:rPr>
      <w:rFonts w:ascii="Tahoma" w:eastAsia="Calibri" w:hAnsi="Tahoma" w:cs="Tahoma"/>
      <w:sz w:val="16"/>
      <w:szCs w:val="16"/>
      <w:lang w:val="ru-RU" w:bidi="ar-SA"/>
    </w:rPr>
  </w:style>
  <w:style w:type="character" w:customStyle="1" w:styleId="PlainTextChar">
    <w:name w:val="Plain Text Char"/>
    <w:basedOn w:val="18"/>
    <w:rsid w:val="002812B0"/>
    <w:rPr>
      <w:rFonts w:ascii="Courier New" w:eastAsia="Calibri" w:hAnsi="Courier New" w:cs="Courier New"/>
      <w:lang w:val="ru-RU" w:bidi="ar-SA"/>
    </w:rPr>
  </w:style>
  <w:style w:type="character" w:customStyle="1" w:styleId="BodyTextIndentChar">
    <w:name w:val="Body Text Indent Char"/>
    <w:basedOn w:val="18"/>
    <w:rsid w:val="002812B0"/>
    <w:rPr>
      <w:rFonts w:eastAsia="Calibri"/>
      <w:sz w:val="24"/>
      <w:szCs w:val="24"/>
      <w:lang w:val="ru-RU" w:bidi="ar-SA"/>
    </w:rPr>
  </w:style>
  <w:style w:type="character" w:customStyle="1" w:styleId="BodyTextIndent3Char">
    <w:name w:val="Body Text Indent 3 Char"/>
    <w:basedOn w:val="18"/>
    <w:rsid w:val="002812B0"/>
    <w:rPr>
      <w:rFonts w:eastAsia="Calibri"/>
      <w:sz w:val="16"/>
      <w:szCs w:val="16"/>
      <w:lang w:val="ru-RU" w:bidi="ar-SA"/>
    </w:rPr>
  </w:style>
  <w:style w:type="character" w:customStyle="1" w:styleId="BodyText2Char">
    <w:name w:val="Body Text 2 Char"/>
    <w:basedOn w:val="18"/>
    <w:rsid w:val="002812B0"/>
    <w:rPr>
      <w:rFonts w:eastAsia="Calibri"/>
      <w:sz w:val="24"/>
      <w:szCs w:val="24"/>
      <w:lang w:val="ru-RU" w:bidi="ar-SA"/>
    </w:rPr>
  </w:style>
  <w:style w:type="paragraph" w:customStyle="1" w:styleId="affe">
    <w:name w:val="Заголовок"/>
    <w:basedOn w:val="a"/>
    <w:next w:val="a"/>
    <w:rsid w:val="002812B0"/>
    <w:pPr>
      <w:pBdr>
        <w:top w:val="single" w:sz="48" w:space="0" w:color="FF0000"/>
        <w:bottom w:val="single" w:sz="48" w:space="0" w:color="FF0000"/>
      </w:pBdr>
      <w:shd w:val="clear" w:color="auto" w:fill="C0504D"/>
      <w:suppressAutoHyphens/>
      <w:jc w:val="center"/>
    </w:pPr>
    <w:rPr>
      <w:rFonts w:ascii="Cambria" w:eastAsia="Calibri" w:hAnsi="Cambria" w:cs="Cambria"/>
      <w:color w:val="FFFFFF"/>
      <w:spacing w:val="10"/>
      <w:sz w:val="48"/>
      <w:szCs w:val="48"/>
      <w:lang w:eastAsia="zh-CN"/>
    </w:rPr>
  </w:style>
  <w:style w:type="paragraph" w:styleId="afff">
    <w:name w:val="List"/>
    <w:basedOn w:val="af9"/>
    <w:rsid w:val="002812B0"/>
    <w:pPr>
      <w:suppressAutoHyphens/>
    </w:pPr>
    <w:rPr>
      <w:rFonts w:eastAsia="Calibri" w:cs="Mangal"/>
      <w:lang w:eastAsia="zh-CN"/>
    </w:rPr>
  </w:style>
  <w:style w:type="paragraph" w:customStyle="1" w:styleId="1e">
    <w:name w:val="Указатель1"/>
    <w:basedOn w:val="a"/>
    <w:rsid w:val="002812B0"/>
    <w:pPr>
      <w:suppressLineNumbers/>
      <w:suppressAutoHyphens/>
    </w:pPr>
    <w:rPr>
      <w:rFonts w:eastAsia="Calibri" w:cs="Mangal"/>
      <w:lang w:eastAsia="zh-CN"/>
    </w:rPr>
  </w:style>
  <w:style w:type="paragraph" w:customStyle="1" w:styleId="1f">
    <w:name w:val="Название объекта1"/>
    <w:basedOn w:val="a"/>
    <w:next w:val="a"/>
    <w:rsid w:val="002812B0"/>
    <w:pPr>
      <w:suppressAutoHyphens/>
    </w:pPr>
    <w:rPr>
      <w:rFonts w:eastAsia="Calibri"/>
      <w:b/>
      <w:bCs/>
      <w:color w:val="943634"/>
      <w:sz w:val="18"/>
      <w:szCs w:val="18"/>
      <w:lang w:eastAsia="zh-CN"/>
    </w:rPr>
  </w:style>
  <w:style w:type="paragraph" w:customStyle="1" w:styleId="1f0">
    <w:name w:val="Без интервала1"/>
    <w:basedOn w:val="a"/>
    <w:rsid w:val="002812B0"/>
    <w:pPr>
      <w:suppressAutoHyphens/>
    </w:pPr>
    <w:rPr>
      <w:rFonts w:eastAsia="Calibri"/>
      <w:lang w:eastAsia="zh-CN"/>
    </w:rPr>
  </w:style>
  <w:style w:type="paragraph" w:customStyle="1" w:styleId="2c">
    <w:name w:val="Абзац списка2"/>
    <w:basedOn w:val="a"/>
    <w:rsid w:val="002812B0"/>
    <w:pPr>
      <w:suppressAutoHyphens/>
      <w:ind w:left="720"/>
    </w:pPr>
    <w:rPr>
      <w:rFonts w:eastAsia="Calibri"/>
      <w:lang w:eastAsia="zh-CN"/>
    </w:rPr>
  </w:style>
  <w:style w:type="paragraph" w:customStyle="1" w:styleId="212">
    <w:name w:val="Цитата 21"/>
    <w:basedOn w:val="a"/>
    <w:next w:val="a"/>
    <w:rsid w:val="002812B0"/>
    <w:pPr>
      <w:suppressAutoHyphens/>
    </w:pPr>
    <w:rPr>
      <w:rFonts w:eastAsia="Calibri"/>
      <w:color w:val="943634"/>
      <w:lang w:eastAsia="zh-CN"/>
    </w:rPr>
  </w:style>
  <w:style w:type="paragraph" w:customStyle="1" w:styleId="1f1">
    <w:name w:val="Выделенная цитата1"/>
    <w:basedOn w:val="a"/>
    <w:next w:val="a"/>
    <w:rsid w:val="002812B0"/>
    <w:pPr>
      <w:pBdr>
        <w:top w:val="dotted" w:sz="8" w:space="10" w:color="FF0000"/>
        <w:bottom w:val="dotted" w:sz="8" w:space="10" w:color="FF0000"/>
      </w:pBdr>
      <w:suppressAutoHyphens/>
      <w:spacing w:line="300" w:lineRule="auto"/>
      <w:ind w:left="2160" w:right="2160"/>
      <w:jc w:val="center"/>
    </w:pPr>
    <w:rPr>
      <w:rFonts w:ascii="Cambria" w:eastAsia="Calibri" w:hAnsi="Cambria" w:cs="Cambria"/>
      <w:b/>
      <w:bCs/>
      <w:color w:val="C0504D"/>
      <w:lang w:eastAsia="zh-CN"/>
    </w:rPr>
  </w:style>
  <w:style w:type="paragraph" w:customStyle="1" w:styleId="1f2">
    <w:name w:val="Заголовок оглавления1"/>
    <w:basedOn w:val="1"/>
    <w:next w:val="a"/>
    <w:rsid w:val="002812B0"/>
    <w:pPr>
      <w:pBdr>
        <w:top w:val="single" w:sz="8" w:space="0" w:color="FF0000"/>
        <w:left w:val="single" w:sz="8" w:space="0" w:color="FF0000"/>
        <w:bottom w:val="single" w:sz="8" w:space="0" w:color="FF0000"/>
        <w:right w:val="single" w:sz="8" w:space="0" w:color="FF0000"/>
      </w:pBdr>
      <w:suppressAutoHyphens/>
      <w:spacing w:line="264" w:lineRule="auto"/>
      <w:contextualSpacing w:val="0"/>
    </w:pPr>
    <w:rPr>
      <w:rFonts w:eastAsia="Calibri" w:cs="Cambria"/>
      <w:lang w:eastAsia="zh-CN"/>
    </w:rPr>
  </w:style>
  <w:style w:type="paragraph" w:customStyle="1" w:styleId="310">
    <w:name w:val="Основной текст с отступом 31"/>
    <w:basedOn w:val="a"/>
    <w:rsid w:val="002812B0"/>
    <w:pPr>
      <w:suppressAutoHyphens/>
      <w:spacing w:after="120"/>
      <w:ind w:left="283"/>
    </w:pPr>
    <w:rPr>
      <w:rFonts w:eastAsia="Calibri"/>
      <w:sz w:val="16"/>
      <w:szCs w:val="16"/>
      <w:lang w:eastAsia="zh-CN"/>
    </w:rPr>
  </w:style>
  <w:style w:type="paragraph" w:customStyle="1" w:styleId="220">
    <w:name w:val="Основной текст 22"/>
    <w:basedOn w:val="a"/>
    <w:rsid w:val="002812B0"/>
    <w:pPr>
      <w:suppressAutoHyphens/>
      <w:spacing w:after="120" w:line="480" w:lineRule="auto"/>
    </w:pPr>
    <w:rPr>
      <w:rFonts w:eastAsia="Calibri"/>
      <w:lang w:eastAsia="zh-CN"/>
    </w:rPr>
  </w:style>
  <w:style w:type="paragraph" w:customStyle="1" w:styleId="213">
    <w:name w:val="Список 21"/>
    <w:basedOn w:val="a"/>
    <w:rsid w:val="002812B0"/>
    <w:pPr>
      <w:suppressAutoHyphens/>
      <w:ind w:left="566" w:hanging="283"/>
    </w:pPr>
    <w:rPr>
      <w:rFonts w:eastAsia="Calibri"/>
      <w:color w:val="000000"/>
      <w:sz w:val="28"/>
      <w:szCs w:val="20"/>
      <w:lang w:eastAsia="zh-CN"/>
    </w:rPr>
  </w:style>
  <w:style w:type="paragraph" w:customStyle="1" w:styleId="afff0">
    <w:name w:val="Содержимое таблицы"/>
    <w:basedOn w:val="a"/>
    <w:rsid w:val="002812B0"/>
    <w:pPr>
      <w:suppressLineNumbers/>
      <w:suppressAutoHyphens/>
    </w:pPr>
    <w:rPr>
      <w:rFonts w:eastAsia="Calibri"/>
      <w:lang w:eastAsia="zh-CN"/>
    </w:rPr>
  </w:style>
  <w:style w:type="paragraph" w:customStyle="1" w:styleId="afff1">
    <w:name w:val="Заголовок таблицы"/>
    <w:basedOn w:val="afff0"/>
    <w:rsid w:val="002812B0"/>
    <w:pPr>
      <w:jc w:val="center"/>
    </w:pPr>
    <w:rPr>
      <w:b/>
      <w:bCs/>
    </w:rPr>
  </w:style>
  <w:style w:type="character" w:customStyle="1" w:styleId="NormalWebChar">
    <w:name w:val="Normal (Web) Char"/>
    <w:aliases w:val="Обычный (Web) Char"/>
    <w:basedOn w:val="a0"/>
    <w:locked/>
    <w:rsid w:val="00A37D1F"/>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3345513">
      <w:bodyDiv w:val="1"/>
      <w:marLeft w:val="0"/>
      <w:marRight w:val="0"/>
      <w:marTop w:val="0"/>
      <w:marBottom w:val="0"/>
      <w:divBdr>
        <w:top w:val="none" w:sz="0" w:space="0" w:color="auto"/>
        <w:left w:val="none" w:sz="0" w:space="0" w:color="auto"/>
        <w:bottom w:val="none" w:sz="0" w:space="0" w:color="auto"/>
        <w:right w:val="none" w:sz="0" w:space="0" w:color="auto"/>
      </w:divBdr>
    </w:div>
    <w:div w:id="1146893803">
      <w:bodyDiv w:val="1"/>
      <w:marLeft w:val="0"/>
      <w:marRight w:val="0"/>
      <w:marTop w:val="0"/>
      <w:marBottom w:val="0"/>
      <w:divBdr>
        <w:top w:val="none" w:sz="0" w:space="0" w:color="auto"/>
        <w:left w:val="none" w:sz="0" w:space="0" w:color="auto"/>
        <w:bottom w:val="none" w:sz="0" w:space="0" w:color="auto"/>
        <w:right w:val="none" w:sz="0" w:space="0" w:color="auto"/>
      </w:divBdr>
    </w:div>
    <w:div w:id="179918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21" Type="http://schemas.openxmlformats.org/officeDocument/2006/relationships/image" Target="media/image8.jpeg"/><Relationship Id="rId42" Type="http://schemas.openxmlformats.org/officeDocument/2006/relationships/chart" Target="charts/chart1.xml"/><Relationship Id="rId47" Type="http://schemas.openxmlformats.org/officeDocument/2006/relationships/chart" Target="charts/chart6.xml"/><Relationship Id="rId63" Type="http://schemas.openxmlformats.org/officeDocument/2006/relationships/chart" Target="charts/chart22.xml"/><Relationship Id="rId68" Type="http://schemas.openxmlformats.org/officeDocument/2006/relationships/chart" Target="charts/chart27.xml"/><Relationship Id="rId84" Type="http://schemas.openxmlformats.org/officeDocument/2006/relationships/chart" Target="charts/chart42.xml"/><Relationship Id="rId89" Type="http://schemas.openxmlformats.org/officeDocument/2006/relationships/chart" Target="charts/chart47.xml"/><Relationship Id="rId112" Type="http://schemas.openxmlformats.org/officeDocument/2006/relationships/chart" Target="charts/chart65.xml"/><Relationship Id="rId16" Type="http://schemas.openxmlformats.org/officeDocument/2006/relationships/image" Target="media/image3.jpeg"/><Relationship Id="rId107"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1"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chart" Target="charts/chart12.xml"/><Relationship Id="rId58" Type="http://schemas.openxmlformats.org/officeDocument/2006/relationships/chart" Target="charts/chart17.xml"/><Relationship Id="rId74" Type="http://schemas.openxmlformats.org/officeDocument/2006/relationships/chart" Target="charts/chart32.xml"/><Relationship Id="rId79" Type="http://schemas.openxmlformats.org/officeDocument/2006/relationships/chart" Target="charts/chart37.xml"/><Relationship Id="rId102" Type="http://schemas.openxmlformats.org/officeDocument/2006/relationships/chart" Target="charts/chart57.xml"/><Relationship Id="rId123" Type="http://schemas.openxmlformats.org/officeDocument/2006/relationships/chart" Target="charts/chart75.xml"/><Relationship Id="rId128"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5" Type="http://schemas.openxmlformats.org/officeDocument/2006/relationships/webSettings" Target="webSettings.xml"/><Relationship Id="rId90" Type="http://schemas.openxmlformats.org/officeDocument/2006/relationships/chart" Target="charts/chart48.xml"/><Relationship Id="rId95" Type="http://schemas.openxmlformats.org/officeDocument/2006/relationships/chart" Target="charts/chart53.xm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chart" Target="charts/chart23.xml"/><Relationship Id="rId69" Type="http://schemas.openxmlformats.org/officeDocument/2006/relationships/header" Target="header1.xml"/><Relationship Id="rId77" Type="http://schemas.openxmlformats.org/officeDocument/2006/relationships/chart" Target="charts/chart35.xml"/><Relationship Id="rId100"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05" Type="http://schemas.openxmlformats.org/officeDocument/2006/relationships/chart" Target="charts/chart59.xml"/><Relationship Id="rId113" Type="http://schemas.openxmlformats.org/officeDocument/2006/relationships/chart" Target="charts/chart66.xml"/><Relationship Id="rId118" Type="http://schemas.openxmlformats.org/officeDocument/2006/relationships/chart" Target="charts/chart70.xml"/><Relationship Id="rId126" Type="http://schemas.openxmlformats.org/officeDocument/2006/relationships/header" Target="header3.xml"/><Relationship Id="rId8"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51" Type="http://schemas.openxmlformats.org/officeDocument/2006/relationships/chart" Target="charts/chart10.xml"/><Relationship Id="rId72" Type="http://schemas.openxmlformats.org/officeDocument/2006/relationships/chart" Target="charts/chart30.xml"/><Relationship Id="rId80" Type="http://schemas.openxmlformats.org/officeDocument/2006/relationships/chart" Target="charts/chart38.xml"/><Relationship Id="rId85" Type="http://schemas.openxmlformats.org/officeDocument/2006/relationships/chart" Target="charts/chart43.xml"/><Relationship Id="rId93" Type="http://schemas.openxmlformats.org/officeDocument/2006/relationships/chart" Target="charts/chart51.xml"/><Relationship Id="rId98" Type="http://schemas.openxmlformats.org/officeDocument/2006/relationships/chart" Target="charts/chart55.xml"/><Relationship Id="rId121" Type="http://schemas.openxmlformats.org/officeDocument/2006/relationships/chart" Target="charts/chart73.xml"/><Relationship Id="rId3" Type="http://schemas.openxmlformats.org/officeDocument/2006/relationships/styles" Target="styles.xml"/><Relationship Id="rId12"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chart" Target="charts/chart5.xml"/><Relationship Id="rId59" Type="http://schemas.openxmlformats.org/officeDocument/2006/relationships/chart" Target="charts/chart18.xml"/><Relationship Id="rId67" Type="http://schemas.openxmlformats.org/officeDocument/2006/relationships/chart" Target="charts/chart26.xml"/><Relationship Id="rId103"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08" Type="http://schemas.openxmlformats.org/officeDocument/2006/relationships/chart" Target="charts/chart61.xml"/><Relationship Id="rId116" Type="http://schemas.openxmlformats.org/officeDocument/2006/relationships/chart" Target="charts/chart69.xml"/><Relationship Id="rId124" Type="http://schemas.openxmlformats.org/officeDocument/2006/relationships/chart" Target="charts/chart76.xml"/><Relationship Id="rId129" Type="http://schemas.openxmlformats.org/officeDocument/2006/relationships/chart" Target="charts/chart79.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chart" Target="charts/chart13.xml"/><Relationship Id="rId62" Type="http://schemas.openxmlformats.org/officeDocument/2006/relationships/chart" Target="charts/chart21.xml"/><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chart" Target="charts/chart41.xml"/><Relationship Id="rId88" Type="http://schemas.openxmlformats.org/officeDocument/2006/relationships/chart" Target="charts/chart46.xml"/><Relationship Id="rId91" Type="http://schemas.openxmlformats.org/officeDocument/2006/relationships/chart" Target="charts/chart49.xml"/><Relationship Id="rId96" Type="http://schemas.openxmlformats.org/officeDocument/2006/relationships/chart" Target="charts/chart54.xml"/><Relationship Id="rId111" Type="http://schemas.openxmlformats.org/officeDocument/2006/relationships/chart" Target="charts/chart6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chart" Target="charts/chart8.xml"/><Relationship Id="rId57" Type="http://schemas.openxmlformats.org/officeDocument/2006/relationships/chart" Target="charts/chart16.xml"/><Relationship Id="rId106" Type="http://schemas.openxmlformats.org/officeDocument/2006/relationships/chart" Target="charts/chart60.xml"/><Relationship Id="rId114" Type="http://schemas.openxmlformats.org/officeDocument/2006/relationships/chart" Target="charts/chart67.xml"/><Relationship Id="rId119" Type="http://schemas.openxmlformats.org/officeDocument/2006/relationships/chart" Target="charts/chart71.xml"/><Relationship Id="rId127" Type="http://schemas.openxmlformats.org/officeDocument/2006/relationships/chart" Target="charts/chart78.xml"/><Relationship Id="rId10"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31" Type="http://schemas.openxmlformats.org/officeDocument/2006/relationships/image" Target="media/image18.jpeg"/><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chart" Target="charts/chart24.xml"/><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chart" Target="charts/chart39.xml"/><Relationship Id="rId86" Type="http://schemas.openxmlformats.org/officeDocument/2006/relationships/chart" Target="charts/chart44.xml"/><Relationship Id="rId94" Type="http://schemas.openxmlformats.org/officeDocument/2006/relationships/chart" Target="charts/chart52.xml"/><Relationship Id="rId99"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01" Type="http://schemas.openxmlformats.org/officeDocument/2006/relationships/chart" Target="charts/chart56.xml"/><Relationship Id="rId122" Type="http://schemas.openxmlformats.org/officeDocument/2006/relationships/chart" Target="charts/chart74.xm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3"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chart" Target="charts/chart62.xml"/><Relationship Id="rId34" Type="http://schemas.openxmlformats.org/officeDocument/2006/relationships/image" Target="media/image21.jpeg"/><Relationship Id="rId50" Type="http://schemas.openxmlformats.org/officeDocument/2006/relationships/chart" Target="charts/chart9.xml"/><Relationship Id="rId55" Type="http://schemas.openxmlformats.org/officeDocument/2006/relationships/chart" Target="charts/chart14.xml"/><Relationship Id="rId76" Type="http://schemas.openxmlformats.org/officeDocument/2006/relationships/chart" Target="charts/chart34.xml"/><Relationship Id="rId97" Type="http://schemas.openxmlformats.org/officeDocument/2006/relationships/header" Target="header2.xml"/><Relationship Id="rId104" Type="http://schemas.openxmlformats.org/officeDocument/2006/relationships/chart" Target="charts/chart58.xml"/><Relationship Id="rId120" Type="http://schemas.openxmlformats.org/officeDocument/2006/relationships/chart" Target="charts/chart72.xml"/><Relationship Id="rId125" Type="http://schemas.openxmlformats.org/officeDocument/2006/relationships/chart" Target="charts/chart77.xml"/><Relationship Id="rId7" Type="http://schemas.openxmlformats.org/officeDocument/2006/relationships/endnotes" Target="endnotes.xml"/><Relationship Id="rId71" Type="http://schemas.openxmlformats.org/officeDocument/2006/relationships/chart" Target="charts/chart29.xml"/><Relationship Id="rId92" Type="http://schemas.openxmlformats.org/officeDocument/2006/relationships/chart" Target="charts/chart50.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chart" Target="charts/chart4.xml"/><Relationship Id="rId66" Type="http://schemas.openxmlformats.org/officeDocument/2006/relationships/chart" Target="charts/chart25.xml"/><Relationship Id="rId87" Type="http://schemas.openxmlformats.org/officeDocument/2006/relationships/chart" Target="charts/chart45.xml"/><Relationship Id="rId110" Type="http://schemas.openxmlformats.org/officeDocument/2006/relationships/chart" Target="charts/chart63.xml"/><Relationship Id="rId115" Type="http://schemas.openxmlformats.org/officeDocument/2006/relationships/chart" Target="charts/chart68.xml"/><Relationship Id="rId131" Type="http://schemas.openxmlformats.org/officeDocument/2006/relationships/theme" Target="theme/theme1.xml"/><Relationship Id="rId61" Type="http://schemas.openxmlformats.org/officeDocument/2006/relationships/chart" Target="charts/chart20.xml"/><Relationship Id="rId82" Type="http://schemas.openxmlformats.org/officeDocument/2006/relationships/chart" Target="charts/chart4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36.xlsx"/><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37.xlsx"/><Relationship Id="rId1" Type="http://schemas.openxmlformats.org/officeDocument/2006/relationships/themeOverride" Target="../theme/themeOverride30.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38.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Office_Excel39.xlsx"/><Relationship Id="rId1" Type="http://schemas.openxmlformats.org/officeDocument/2006/relationships/themeOverride" Target="../theme/themeOverride32.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Office_Excel40.xlsx"/><Relationship Id="rId1" Type="http://schemas.openxmlformats.org/officeDocument/2006/relationships/themeOverride" Target="../theme/themeOverride33.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Office_Excel41.xlsx"/><Relationship Id="rId1" Type="http://schemas.openxmlformats.org/officeDocument/2006/relationships/themeOverride" Target="../theme/themeOverride3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5.xml"/></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7.xml"/></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4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41.xml"/></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Office_Excel52.xlsx"/><Relationship Id="rId1" Type="http://schemas.openxmlformats.org/officeDocument/2006/relationships/themeOverride" Target="../theme/themeOverride42.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3.xm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Office_Excel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4.xml"/></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5.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46.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47.xml"/></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48.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49.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0.xml"/></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51.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2.xml"/></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Office_Excel77.xlsx"/><Relationship Id="rId1" Type="http://schemas.openxmlformats.org/officeDocument/2006/relationships/themeOverride" Target="../theme/themeOverride53.xml"/></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1746031746031744E-2"/>
          <c:y val="1.937984496124031E-2"/>
          <c:w val="0.946031746031746"/>
          <c:h val="0.60711882605585243"/>
        </c:manualLayout>
      </c:layout>
      <c:barChart>
        <c:barDir val="col"/>
        <c:grouping val="clustered"/>
        <c:ser>
          <c:idx val="1"/>
          <c:order val="0"/>
          <c:tx>
            <c:strRef>
              <c:f>Лист1!$A$2</c:f>
              <c:strCache>
                <c:ptCount val="1"/>
                <c:pt idx="0">
                  <c:v>Населення (на кінець року)</c:v>
                </c:pt>
              </c:strCache>
            </c:strRef>
          </c:tx>
          <c:spPr>
            <a:solidFill>
              <a:schemeClr val="accent3">
                <a:lumMod val="60000"/>
                <a:lumOff val="40000"/>
              </a:schemeClr>
            </a:solidFill>
            <a:ln w="12700">
              <a:solidFill>
                <a:srgbClr val="000000"/>
              </a:solidFill>
              <a:prstDash val="solid"/>
            </a:ln>
            <a:scene3d>
              <a:camera prst="orthographicFront"/>
              <a:lightRig rig="threePt" dir="t"/>
            </a:scene3d>
            <a:sp3d>
              <a:bevelT/>
            </a:sp3d>
          </c:spPr>
          <c:dLbls>
            <c:dLbl>
              <c:idx val="2"/>
              <c:layout>
                <c:manualLayout>
                  <c:x val="5.0734312416555113E-3"/>
                  <c:y val="-1.0454062519074638E-2"/>
                </c:manualLayout>
              </c:layout>
              <c:dLblPos val="outEnd"/>
              <c:showVal val="1"/>
            </c:dLbl>
            <c:dLbl>
              <c:idx val="3"/>
              <c:layout>
                <c:manualLayout>
                  <c:x val="1.9599363551058707E-3"/>
                  <c:y val="2.3520042949176808E-2"/>
                </c:manualLayout>
              </c:layout>
              <c:dLblPos val="outEnd"/>
              <c:showVal val="1"/>
            </c:dLbl>
            <c:dLbl>
              <c:idx val="4"/>
              <c:layout>
                <c:manualLayout>
                  <c:x val="-3.14416656467172E-4"/>
                  <c:y val="1.7298973991887501E-2"/>
                </c:manualLayout>
              </c:layout>
              <c:dLblPos val="outEnd"/>
              <c:showVal val="1"/>
            </c:dLbl>
            <c:dLbl>
              <c:idx val="5"/>
              <c:dLblPos val="outEnd"/>
              <c:showVal val="1"/>
            </c:dLbl>
            <c:dLbl>
              <c:idx val="6"/>
              <c:dLblPos val="outEnd"/>
              <c:showVal val="1"/>
            </c:dLbl>
            <c:dLbl>
              <c:idx val="7"/>
              <c:dLblPos val="outEnd"/>
              <c:showVal val="1"/>
            </c:dLbl>
            <c:numFmt formatCode="0.0"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Лист1!$B$1:$F$1</c:f>
              <c:strCache>
                <c:ptCount val="5"/>
                <c:pt idx="0">
                  <c:v>2008</c:v>
                </c:pt>
                <c:pt idx="1">
                  <c:v>2009</c:v>
                </c:pt>
                <c:pt idx="2">
                  <c:v>2010</c:v>
                </c:pt>
                <c:pt idx="3">
                  <c:v>2011</c:v>
                </c:pt>
                <c:pt idx="4">
                  <c:v>2012 очік.</c:v>
                </c:pt>
              </c:strCache>
            </c:strRef>
          </c:cat>
          <c:val>
            <c:numRef>
              <c:f>Лист1!$B$2:$F$2</c:f>
              <c:numCache>
                <c:formatCode>0.0</c:formatCode>
                <c:ptCount val="5"/>
                <c:pt idx="0">
                  <c:v>4486.7</c:v>
                </c:pt>
                <c:pt idx="1">
                  <c:v>4453.9000000000005</c:v>
                </c:pt>
                <c:pt idx="2" formatCode="General">
                  <c:v>4420.1000000000004</c:v>
                </c:pt>
                <c:pt idx="3">
                  <c:v>4390.3</c:v>
                </c:pt>
                <c:pt idx="4" formatCode="General">
                  <c:v>4365.5</c:v>
                </c:pt>
              </c:numCache>
            </c:numRef>
          </c:val>
        </c:ser>
        <c:dLbls>
          <c:showVal val="1"/>
        </c:dLbls>
        <c:gapWidth val="100"/>
        <c:overlap val="80"/>
        <c:axId val="164172544"/>
        <c:axId val="164174080"/>
      </c:barChart>
      <c:lineChart>
        <c:grouping val="standard"/>
        <c:ser>
          <c:idx val="0"/>
          <c:order val="1"/>
          <c:tx>
            <c:strRef>
              <c:f>Лист1!$A$3</c:f>
              <c:strCache>
                <c:ptCount val="1"/>
                <c:pt idx="0">
                  <c:v>Смертність</c:v>
                </c:pt>
              </c:strCache>
            </c:strRef>
          </c:tx>
          <c:spPr>
            <a:ln w="31750">
              <a:solidFill>
                <a:srgbClr val="333333"/>
              </a:solidFill>
              <a:prstDash val="solid"/>
            </a:ln>
          </c:spPr>
          <c:marker>
            <c:symbol val="triangle"/>
            <c:size val="9"/>
            <c:spPr>
              <a:solidFill>
                <a:srgbClr val="969696"/>
              </a:solidFill>
              <a:ln>
                <a:solidFill>
                  <a:srgbClr val="333333"/>
                </a:solidFill>
                <a:prstDash val="solid"/>
              </a:ln>
            </c:spPr>
          </c:marker>
          <c:dLbls>
            <c:dLbl>
              <c:idx val="0"/>
              <c:layout>
                <c:manualLayout>
                  <c:x val="-6.1274257816218584E-2"/>
                  <c:y val="-4.6690352730298847E-2"/>
                </c:manualLayout>
              </c:layout>
              <c:dLblPos val="r"/>
              <c:showVal val="1"/>
            </c:dLbl>
            <c:dLbl>
              <c:idx val="1"/>
              <c:layout>
                <c:manualLayout>
                  <c:x val="-6.3548882814518703E-2"/>
                  <c:y val="-6.3317329236284914E-2"/>
                </c:manualLayout>
              </c:layout>
              <c:dLblPos val="r"/>
              <c:showVal val="1"/>
            </c:dLbl>
            <c:dLbl>
              <c:idx val="2"/>
              <c:layout>
                <c:manualLayout>
                  <c:x val="-6.6102838181496801E-2"/>
                  <c:y val="-6.7190320722104901E-2"/>
                </c:manualLayout>
              </c:layout>
              <c:dLblPos val="r"/>
              <c:showVal val="1"/>
            </c:dLbl>
            <c:dLbl>
              <c:idx val="3"/>
              <c:layout>
                <c:manualLayout>
                  <c:x val="-6.314688643194212E-2"/>
                  <c:y val="-6.5374815952884011E-2"/>
                </c:manualLayout>
              </c:layout>
              <c:dLblPos val="r"/>
              <c:showVal val="1"/>
            </c:dLbl>
            <c:dLbl>
              <c:idx val="4"/>
              <c:layout>
                <c:manualLayout>
                  <c:x val="-5.7953571865694532E-2"/>
                  <c:y val="-7.2294987516804923E-2"/>
                </c:manualLayout>
              </c:layout>
              <c:dLblPos val="r"/>
              <c:showVal val="1"/>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81.900000000000006</c:v>
                </c:pt>
                <c:pt idx="1">
                  <c:v>75.3</c:v>
                </c:pt>
                <c:pt idx="2">
                  <c:v>73.900000000000006</c:v>
                </c:pt>
                <c:pt idx="3" formatCode="0.0">
                  <c:v>71</c:v>
                </c:pt>
                <c:pt idx="4">
                  <c:v>64.400000000000006</c:v>
                </c:pt>
              </c:numCache>
            </c:numRef>
          </c:val>
        </c:ser>
        <c:ser>
          <c:idx val="2"/>
          <c:order val="2"/>
          <c:tx>
            <c:strRef>
              <c:f>Лист1!$A$4</c:f>
              <c:strCache>
                <c:ptCount val="1"/>
                <c:pt idx="0">
                  <c:v>Народжуваність</c:v>
                </c:pt>
              </c:strCache>
            </c:strRef>
          </c:tx>
          <c:spPr>
            <a:ln w="31750">
              <a:solidFill>
                <a:srgbClr val="FF0000"/>
              </a:solidFill>
              <a:prstDash val="solid"/>
            </a:ln>
          </c:spPr>
          <c:marker>
            <c:symbol val="circle"/>
            <c:size val="9"/>
            <c:spPr>
              <a:solidFill>
                <a:schemeClr val="bg1"/>
              </a:solidFill>
              <a:ln>
                <a:solidFill>
                  <a:srgbClr val="FF0000"/>
                </a:solidFill>
                <a:prstDash val="solid"/>
              </a:ln>
            </c:spPr>
          </c:marker>
          <c:dLbls>
            <c:dLbl>
              <c:idx val="0"/>
              <c:layout>
                <c:manualLayout>
                  <c:x val="-6.1274257816218584E-2"/>
                  <c:y val="8.929432116440604E-2"/>
                </c:manualLayout>
              </c:layout>
              <c:dLblPos val="r"/>
              <c:showVal val="1"/>
            </c:dLbl>
            <c:dLbl>
              <c:idx val="1"/>
              <c:layout>
                <c:manualLayout>
                  <c:x val="-6.7003114248027559E-2"/>
                  <c:y val="7.4004225081623159E-2"/>
                </c:manualLayout>
              </c:layout>
              <c:dLblPos val="r"/>
              <c:showVal val="1"/>
            </c:dLbl>
            <c:dLbl>
              <c:idx val="2"/>
              <c:layout>
                <c:manualLayout>
                  <c:x val="-5.9474249656617122E-2"/>
                  <c:y val="7.6205108507777647E-2"/>
                </c:manualLayout>
              </c:layout>
              <c:dLblPos val="r"/>
              <c:showVal val="1"/>
            </c:dLbl>
            <c:dLbl>
              <c:idx val="3"/>
              <c:layout>
                <c:manualLayout>
                  <c:x val="-6.2028205023594886E-2"/>
                  <c:y val="7.9585813968375912E-2"/>
                </c:manualLayout>
              </c:layout>
              <c:dLblPos val="r"/>
              <c:showVal val="1"/>
            </c:dLbl>
            <c:dLbl>
              <c:idx val="4"/>
              <c:layout>
                <c:manualLayout>
                  <c:x val="-5.7953571865694532E-2"/>
                  <c:y val="6.582933230907112E-2"/>
                </c:manualLayout>
              </c:layout>
              <c:dLblPos val="r"/>
              <c:showVal val="1"/>
            </c:dLbl>
            <c:dLbl>
              <c:idx val="5"/>
              <c:dLblPos val="r"/>
              <c:showVal val="1"/>
            </c:dLbl>
            <c:dLbl>
              <c:idx val="6"/>
              <c:dLblPos val="r"/>
              <c:showVal val="1"/>
            </c:dLbl>
            <c:dLbl>
              <c:idx val="7"/>
              <c:dLblPos val="r"/>
              <c:showVal val="1"/>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Лист1!$B$4:$F$4</c:f>
              <c:numCache>
                <c:formatCode>0.0</c:formatCode>
                <c:ptCount val="5"/>
                <c:pt idx="0" formatCode="General">
                  <c:v>44.4</c:v>
                </c:pt>
                <c:pt idx="1">
                  <c:v>43.4</c:v>
                </c:pt>
                <c:pt idx="2" formatCode="General">
                  <c:v>41.3</c:v>
                </c:pt>
                <c:pt idx="3">
                  <c:v>41.7</c:v>
                </c:pt>
                <c:pt idx="4" formatCode="General">
                  <c:v>39.6</c:v>
                </c:pt>
              </c:numCache>
            </c:numRef>
          </c:val>
        </c:ser>
        <c:dLbls>
          <c:showVal val="1"/>
        </c:dLbls>
        <c:marker val="1"/>
        <c:axId val="164196352"/>
        <c:axId val="164197888"/>
      </c:lineChart>
      <c:catAx>
        <c:axId val="164172544"/>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4174080"/>
        <c:crosses val="autoZero"/>
        <c:lblAlgn val="ctr"/>
        <c:lblOffset val="100"/>
        <c:tickLblSkip val="1"/>
        <c:tickMarkSkip val="1"/>
      </c:catAx>
      <c:valAx>
        <c:axId val="164174080"/>
        <c:scaling>
          <c:orientation val="minMax"/>
          <c:max val="5000"/>
          <c:min val="2000"/>
        </c:scaling>
        <c:axPos val="l"/>
        <c:numFmt formatCode="0.0" sourceLinked="1"/>
        <c:majorTickMark val="cross"/>
        <c:tickLblPos val="nextTo"/>
        <c:spPr>
          <a:ln w="9525">
            <a:noFill/>
          </a:ln>
        </c:spPr>
        <c:txPr>
          <a:bodyPr rot="0" vert="horz"/>
          <a:lstStyle/>
          <a:p>
            <a:pPr>
              <a:defRPr sz="100" b="0" i="0" u="none" strike="noStrike" baseline="0">
                <a:solidFill>
                  <a:srgbClr val="FFFFFF"/>
                </a:solidFill>
                <a:latin typeface="Times New Roman"/>
                <a:ea typeface="Times New Roman"/>
                <a:cs typeface="Times New Roman"/>
              </a:defRPr>
            </a:pPr>
            <a:endParaRPr lang="ru-RU"/>
          </a:p>
        </c:txPr>
        <c:crossAx val="164172544"/>
        <c:crosses val="autoZero"/>
        <c:crossBetween val="between"/>
      </c:valAx>
      <c:catAx>
        <c:axId val="164196352"/>
        <c:scaling>
          <c:orientation val="minMax"/>
        </c:scaling>
        <c:delete val="1"/>
        <c:axPos val="b"/>
        <c:tickLblPos val="nextTo"/>
        <c:crossAx val="164197888"/>
        <c:crosses val="autoZero"/>
        <c:lblAlgn val="ctr"/>
        <c:lblOffset val="100"/>
      </c:catAx>
      <c:valAx>
        <c:axId val="164197888"/>
        <c:scaling>
          <c:orientation val="minMax"/>
          <c:max val="120"/>
          <c:min val="10"/>
        </c:scaling>
        <c:axPos val="r"/>
        <c:numFmt formatCode="General" sourceLinked="1"/>
        <c:tickLblPos val="nextTo"/>
        <c:spPr>
          <a:ln w="9525">
            <a:noFill/>
          </a:ln>
        </c:spPr>
        <c:txPr>
          <a:bodyPr rot="0" vert="horz"/>
          <a:lstStyle/>
          <a:p>
            <a:pPr>
              <a:defRPr sz="100" b="0" i="0" u="none" strike="noStrike" baseline="0">
                <a:solidFill>
                  <a:srgbClr val="FFFFFF"/>
                </a:solidFill>
                <a:latin typeface="Times New Roman"/>
                <a:ea typeface="Times New Roman"/>
                <a:cs typeface="Times New Roman"/>
              </a:defRPr>
            </a:pPr>
            <a:endParaRPr lang="ru-RU"/>
          </a:p>
        </c:txPr>
        <c:crossAx val="164196352"/>
        <c:crosses val="max"/>
        <c:crossBetween val="between"/>
      </c:valAx>
      <c:spPr>
        <a:noFill/>
        <a:ln w="25400">
          <a:noFill/>
        </a:ln>
      </c:spPr>
    </c:plotArea>
    <c:legend>
      <c:legendPos val="b"/>
      <c:layout>
        <c:manualLayout>
          <c:xMode val="edge"/>
          <c:yMode val="edge"/>
          <c:x val="4.5561312607944715E-2"/>
          <c:y val="0.77819550836690365"/>
          <c:w val="0.93651122625215888"/>
          <c:h val="0.18560539661050018"/>
        </c:manualLayout>
      </c:layout>
      <c:spPr>
        <a:solidFill>
          <a:srgbClr val="FFFFFF"/>
        </a:solidFill>
        <a:ln w="25400">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2083333333334134E-2"/>
          <c:y val="4.4943932511456064E-2"/>
          <c:w val="0.89691901793525808"/>
          <c:h val="0.66142707571390003"/>
        </c:manualLayout>
      </c:layout>
      <c:barChart>
        <c:barDir val="col"/>
        <c:grouping val="clustered"/>
        <c:ser>
          <c:idx val="1"/>
          <c:order val="0"/>
          <c:tx>
            <c:strRef>
              <c:f>ДНЗ!$A$2</c:f>
              <c:strCache>
                <c:ptCount val="1"/>
                <c:pt idx="0">
                  <c:v>Кількість закладів, од.</c:v>
                </c:pt>
              </c:strCache>
            </c:strRef>
          </c:tx>
          <c:spPr>
            <a:solidFill>
              <a:srgbClr val="FFC000"/>
            </a:solidFill>
            <a:ln w="3170">
              <a:solidFill>
                <a:srgbClr val="000000"/>
              </a:solidFill>
              <a:prstDash val="solid"/>
            </a:ln>
            <a:effectLst>
              <a:outerShdw dist="35921" dir="2700000" algn="br">
                <a:srgbClr val="000000"/>
              </a:outerShdw>
            </a:effectLst>
            <a:scene3d>
              <a:camera prst="orthographicFront"/>
              <a:lightRig rig="threePt" dir="t"/>
            </a:scene3d>
            <a:sp3d>
              <a:bevelT prst="angle"/>
            </a:sp3d>
          </c:spPr>
          <c:dLbls>
            <c:txPr>
              <a:bodyPr/>
              <a:lstStyle/>
              <a:p>
                <a:pPr>
                  <a:defRPr b="1">
                    <a:latin typeface="Times New Roman" pitchFamily="18" charset="0"/>
                    <a:cs typeface="Times New Roman" pitchFamily="18" charset="0"/>
                  </a:defRPr>
                </a:pPr>
                <a:endParaRPr lang="ru-RU"/>
              </a:p>
            </c:txPr>
            <c:dLblPos val="outEnd"/>
            <c:showVal val="1"/>
          </c:dLbls>
          <c:cat>
            <c:strRef>
              <c:f>ДНЗ!$B$1:$F$1</c:f>
              <c:strCache>
                <c:ptCount val="5"/>
                <c:pt idx="0">
                  <c:v>2008</c:v>
                </c:pt>
                <c:pt idx="1">
                  <c:v>2009</c:v>
                </c:pt>
                <c:pt idx="2">
                  <c:v>2010</c:v>
                </c:pt>
                <c:pt idx="3">
                  <c:v>2011</c:v>
                </c:pt>
                <c:pt idx="4">
                  <c:v>2012 очік.</c:v>
                </c:pt>
              </c:strCache>
            </c:strRef>
          </c:cat>
          <c:val>
            <c:numRef>
              <c:f>ДНЗ!$B$2:$F$2</c:f>
              <c:numCache>
                <c:formatCode>0</c:formatCode>
                <c:ptCount val="5"/>
                <c:pt idx="0">
                  <c:v>1146</c:v>
                </c:pt>
                <c:pt idx="1">
                  <c:v>1145</c:v>
                </c:pt>
                <c:pt idx="2">
                  <c:v>1144</c:v>
                </c:pt>
                <c:pt idx="3">
                  <c:v>1144</c:v>
                </c:pt>
                <c:pt idx="4">
                  <c:v>1155</c:v>
                </c:pt>
              </c:numCache>
            </c:numRef>
          </c:val>
        </c:ser>
        <c:dLbls>
          <c:showVal val="1"/>
        </c:dLbls>
        <c:gapWidth val="81"/>
        <c:axId val="169469056"/>
        <c:axId val="169470592"/>
      </c:barChart>
      <c:lineChart>
        <c:grouping val="standard"/>
        <c:ser>
          <c:idx val="0"/>
          <c:order val="1"/>
          <c:tx>
            <c:strRef>
              <c:f>ДНЗ!$A$3</c:f>
              <c:strCache>
                <c:ptCount val="1"/>
                <c:pt idx="0">
                  <c:v>Кількість дітей, тис.</c:v>
                </c:pt>
              </c:strCache>
            </c:strRef>
          </c:tx>
          <c:spPr>
            <a:ln w="34925">
              <a:solidFill>
                <a:srgbClr val="006600"/>
              </a:solidFill>
              <a:prstDash val="solid"/>
            </a:ln>
            <a:effectLst>
              <a:outerShdw blurRad="50800" dist="38100" algn="l" rotWithShape="0">
                <a:prstClr val="black">
                  <a:alpha val="40000"/>
                </a:prstClr>
              </a:outerShdw>
            </a:effectLst>
          </c:spPr>
          <c:marker>
            <c:symbol val="diamond"/>
            <c:size val="9"/>
            <c:spPr>
              <a:solidFill>
                <a:sysClr val="window" lastClr="FFFFFF"/>
              </a:solidFill>
              <a:ln>
                <a:solidFill>
                  <a:srgbClr val="006600"/>
                </a:solidFill>
                <a:prstDash val="solid"/>
              </a:ln>
              <a:effectLst>
                <a:outerShdw blurRad="50800" dist="38100" algn="l" rotWithShape="0">
                  <a:prstClr val="black">
                    <a:alpha val="40000"/>
                  </a:prstClr>
                </a:outerShdw>
              </a:effectLst>
            </c:spPr>
          </c:marker>
          <c:dLbls>
            <c:dLbl>
              <c:idx val="0"/>
              <c:layout>
                <c:manualLayout>
                  <c:x val="-6.8027164080218125E-2"/>
                  <c:y val="6.7538411631133263E-2"/>
                </c:manualLayout>
              </c:layout>
              <c:dLblPos val="r"/>
              <c:showVal val="1"/>
            </c:dLbl>
            <c:dLbl>
              <c:idx val="1"/>
              <c:layout>
                <c:manualLayout>
                  <c:x val="0"/>
                  <c:y val="0.17977528089888198"/>
                </c:manualLayout>
              </c:layout>
              <c:dLblPos val="t"/>
              <c:showVal val="1"/>
            </c:dLbl>
            <c:dLbl>
              <c:idx val="2"/>
              <c:layout>
                <c:manualLayout>
                  <c:x val="9.7087378640776708E-3"/>
                  <c:y val="0.19475655430711611"/>
                </c:manualLayout>
              </c:layout>
              <c:dLblPos val="t"/>
              <c:showVal val="1"/>
            </c:dLbl>
            <c:dLbl>
              <c:idx val="3"/>
              <c:layout>
                <c:manualLayout>
                  <c:x val="0"/>
                  <c:y val="0.20224719101124508"/>
                </c:manualLayout>
              </c:layout>
              <c:dLblPos val="t"/>
              <c:showVal val="1"/>
            </c:dLbl>
            <c:dLbl>
              <c:idx val="4"/>
              <c:layout>
                <c:manualLayout>
                  <c:x val="0"/>
                  <c:y val="0.17977528089888201"/>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ДНЗ!$B$1:$F$1</c:f>
              <c:strCache>
                <c:ptCount val="5"/>
                <c:pt idx="0">
                  <c:v>2008</c:v>
                </c:pt>
                <c:pt idx="1">
                  <c:v>2009</c:v>
                </c:pt>
                <c:pt idx="2">
                  <c:v>2010</c:v>
                </c:pt>
                <c:pt idx="3">
                  <c:v>2011</c:v>
                </c:pt>
                <c:pt idx="4">
                  <c:v>2012 очік.</c:v>
                </c:pt>
              </c:strCache>
            </c:strRef>
          </c:cat>
          <c:val>
            <c:numRef>
              <c:f>ДНЗ!$B$3:$F$3</c:f>
              <c:numCache>
                <c:formatCode>0.0</c:formatCode>
                <c:ptCount val="5"/>
                <c:pt idx="0">
                  <c:v>117.6</c:v>
                </c:pt>
                <c:pt idx="1">
                  <c:v>119.7</c:v>
                </c:pt>
                <c:pt idx="2">
                  <c:v>125</c:v>
                </c:pt>
                <c:pt idx="3">
                  <c:v>131.4</c:v>
                </c:pt>
                <c:pt idx="4">
                  <c:v>136.6</c:v>
                </c:pt>
              </c:numCache>
            </c:numRef>
          </c:val>
        </c:ser>
        <c:dLbls>
          <c:showVal val="1"/>
        </c:dLbls>
        <c:marker val="1"/>
        <c:axId val="169550208"/>
        <c:axId val="169551744"/>
      </c:lineChart>
      <c:catAx>
        <c:axId val="169469056"/>
        <c:scaling>
          <c:orientation val="minMax"/>
        </c:scaling>
        <c:axPos val="b"/>
        <c:numFmt formatCode="General" sourceLinked="1"/>
        <c:majorTickMark val="cross"/>
        <c:tickLblPos val="nextTo"/>
        <c:spPr>
          <a:ln w="3156">
            <a:solidFill>
              <a:srgbClr val="000000"/>
            </a:solidFill>
            <a:prstDash val="solid"/>
          </a:ln>
        </c:spPr>
        <c:txPr>
          <a:bodyPr rot="0" vert="horz"/>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crossAx val="169470592"/>
        <c:crosses val="autoZero"/>
        <c:lblAlgn val="ctr"/>
        <c:lblOffset val="100"/>
        <c:tickLblSkip val="1"/>
        <c:tickMarkSkip val="1"/>
      </c:catAx>
      <c:valAx>
        <c:axId val="169470592"/>
        <c:scaling>
          <c:orientation val="minMax"/>
          <c:min val="1130"/>
        </c:scaling>
        <c:axPos val="l"/>
        <c:numFmt formatCode="0" sourceLinked="1"/>
        <c:majorTickMark val="none"/>
        <c:tickLblPos val="none"/>
        <c:spPr>
          <a:ln w="9467">
            <a:noFill/>
          </a:ln>
        </c:spPr>
        <c:crossAx val="169469056"/>
        <c:crosses val="autoZero"/>
        <c:crossBetween val="between"/>
      </c:valAx>
      <c:catAx>
        <c:axId val="169550208"/>
        <c:scaling>
          <c:orientation val="minMax"/>
        </c:scaling>
        <c:delete val="1"/>
        <c:axPos val="b"/>
        <c:tickLblPos val="nextTo"/>
        <c:crossAx val="169551744"/>
        <c:crosses val="autoZero"/>
        <c:lblAlgn val="ctr"/>
        <c:lblOffset val="100"/>
      </c:catAx>
      <c:valAx>
        <c:axId val="169551744"/>
        <c:scaling>
          <c:orientation val="minMax"/>
          <c:max val="200"/>
          <c:min val="90"/>
        </c:scaling>
        <c:axPos val="r"/>
        <c:numFmt formatCode="0.0" sourceLinked="1"/>
        <c:majorTickMark val="none"/>
        <c:tickLblPos val="none"/>
        <c:spPr>
          <a:ln w="9467">
            <a:noFill/>
          </a:ln>
        </c:spPr>
        <c:crossAx val="169550208"/>
        <c:crosses val="max"/>
        <c:crossBetween val="between"/>
        <c:majorUnit val="30"/>
        <c:minorUnit val="10"/>
      </c:valAx>
      <c:spPr>
        <a:noFill/>
        <a:ln w="25360">
          <a:noFill/>
        </a:ln>
      </c:spPr>
    </c:plotArea>
    <c:legend>
      <c:legendPos val="b"/>
      <c:layout>
        <c:manualLayout>
          <c:xMode val="edge"/>
          <c:yMode val="edge"/>
          <c:x val="5.2505974066674496E-2"/>
          <c:y val="0.91011227120838967"/>
          <c:w val="0.89737480576119999"/>
          <c:h val="8.2397123267081027E-2"/>
        </c:manualLayout>
      </c:layout>
      <c:spPr>
        <a:solidFill>
          <a:srgbClr val="FFFFFF"/>
        </a:solidFill>
        <a:ln w="25244">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93" b="0" i="0" u="none" strike="noStrike" baseline="0">
          <a:solidFill>
            <a:srgbClr val="000000"/>
          </a:solidFill>
          <a:latin typeface="Arial"/>
          <a:ea typeface="Arial"/>
          <a:cs typeface="Arial"/>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784315706834772E-2"/>
          <c:y val="0.10165773656991102"/>
          <c:w val="0.95221568429316561"/>
          <c:h val="0.58193356008011543"/>
        </c:manualLayout>
      </c:layout>
      <c:barChart>
        <c:barDir val="col"/>
        <c:grouping val="clustered"/>
        <c:ser>
          <c:idx val="1"/>
          <c:order val="0"/>
          <c:tx>
            <c:strRef>
              <c:f>ЗНЗ!$A$2</c:f>
              <c:strCache>
                <c:ptCount val="1"/>
                <c:pt idx="0">
                  <c:v>Кількість закладів, од.</c:v>
                </c:pt>
              </c:strCache>
            </c:strRef>
          </c:tx>
          <c:spPr>
            <a:solidFill>
              <a:srgbClr val="244800"/>
            </a:solidFill>
            <a:ln w="12702">
              <a:solidFill>
                <a:srgbClr val="000000"/>
              </a:solidFill>
              <a:prstDash val="solid"/>
            </a:ln>
            <a:effectLst>
              <a:outerShdw blurRad="50800" dist="38100" algn="l" rotWithShape="0">
                <a:prstClr val="black">
                  <a:alpha val="40000"/>
                </a:prstClr>
              </a:outerShdw>
            </a:effectLst>
            <a:scene3d>
              <a:camera prst="orthographicFront"/>
              <a:lightRig rig="threePt" dir="t"/>
            </a:scene3d>
            <a:sp3d>
              <a:bevelT w="114300" prst="artDeco"/>
            </a:sp3d>
          </c:spPr>
          <c:dLbls>
            <c:spPr>
              <a:noFill/>
              <a:ln w="25403">
                <a:noFill/>
              </a:ln>
            </c:spPr>
            <c:txPr>
              <a:bodyPr/>
              <a:lstStyle/>
              <a:p>
                <a:pPr>
                  <a:defRPr sz="1000" b="1" i="0" u="none" strike="noStrike" baseline="0">
                    <a:solidFill>
                      <a:srgbClr val="000000"/>
                    </a:solidFill>
                    <a:latin typeface="Times New Roman" pitchFamily="18" charset="0"/>
                    <a:ea typeface="Times New Roman"/>
                    <a:cs typeface="Times New Roman" pitchFamily="18" charset="0"/>
                  </a:defRPr>
                </a:pPr>
                <a:endParaRPr lang="ru-RU"/>
              </a:p>
            </c:txPr>
            <c:dLblPos val="outEnd"/>
            <c:showVal val="1"/>
          </c:dLbls>
          <c:cat>
            <c:strRef>
              <c:f>ЗНЗ!$B$1:$F$1</c:f>
              <c:strCache>
                <c:ptCount val="5"/>
                <c:pt idx="0">
                  <c:v>2008</c:v>
                </c:pt>
                <c:pt idx="1">
                  <c:v>2009</c:v>
                </c:pt>
                <c:pt idx="2">
                  <c:v>2010</c:v>
                </c:pt>
                <c:pt idx="3">
                  <c:v>2011</c:v>
                </c:pt>
                <c:pt idx="4">
                  <c:v>2012 очік.</c:v>
                </c:pt>
              </c:strCache>
            </c:strRef>
          </c:cat>
          <c:val>
            <c:numRef>
              <c:f>ЗНЗ!$B$2:$F$2</c:f>
              <c:numCache>
                <c:formatCode>0</c:formatCode>
                <c:ptCount val="5"/>
                <c:pt idx="0">
                  <c:v>1194</c:v>
                </c:pt>
                <c:pt idx="1">
                  <c:v>1174</c:v>
                </c:pt>
                <c:pt idx="2">
                  <c:v>1151</c:v>
                </c:pt>
                <c:pt idx="3">
                  <c:v>1125</c:v>
                </c:pt>
                <c:pt idx="4">
                  <c:v>1123</c:v>
                </c:pt>
              </c:numCache>
            </c:numRef>
          </c:val>
        </c:ser>
        <c:dLbls>
          <c:showVal val="1"/>
        </c:dLbls>
        <c:gapWidth val="94"/>
        <c:overlap val="22"/>
        <c:axId val="169676800"/>
        <c:axId val="169678336"/>
      </c:barChart>
      <c:lineChart>
        <c:grouping val="standard"/>
        <c:ser>
          <c:idx val="0"/>
          <c:order val="1"/>
          <c:tx>
            <c:strRef>
              <c:f>ЗНЗ!$A$3</c:f>
              <c:strCache>
                <c:ptCount val="1"/>
                <c:pt idx="0">
                  <c:v>Кількість учнів, тис.</c:v>
                </c:pt>
              </c:strCache>
            </c:strRef>
          </c:tx>
          <c:spPr>
            <a:ln w="44450">
              <a:solidFill>
                <a:srgbClr val="FF0066"/>
              </a:solidFill>
              <a:prstDash val="solid"/>
            </a:ln>
          </c:spPr>
          <c:marker>
            <c:symbol val="circle"/>
            <c:size val="9"/>
            <c:spPr>
              <a:solidFill>
                <a:srgbClr val="FFFFFF"/>
              </a:solidFill>
              <a:ln>
                <a:solidFill>
                  <a:srgbClr val="FF0066"/>
                </a:solidFill>
                <a:prstDash val="solid"/>
              </a:ln>
            </c:spPr>
          </c:marker>
          <c:dLbls>
            <c:dLbl>
              <c:idx val="0"/>
              <c:layout>
                <c:manualLayout>
                  <c:x val="-6.8652366730020814E-2"/>
                  <c:y val="-8.9422708171841225E-2"/>
                </c:manualLayout>
              </c:layout>
              <c:dLblPos val="r"/>
              <c:showVal val="1"/>
            </c:dLbl>
            <c:dLbl>
              <c:idx val="1"/>
              <c:layout>
                <c:manualLayout>
                  <c:x val="-6.1436002542515813E-2"/>
                  <c:y val="-7.5473526621944384E-2"/>
                </c:manualLayout>
              </c:layout>
              <c:dLblPos val="r"/>
              <c:showVal val="1"/>
            </c:dLbl>
            <c:dLbl>
              <c:idx val="2"/>
              <c:layout>
                <c:manualLayout>
                  <c:x val="-6.3315620030254913E-2"/>
                  <c:y val="-7.9598003617423932E-2"/>
                </c:manualLayout>
              </c:layout>
              <c:dLblPos val="r"/>
              <c:showVal val="1"/>
            </c:dLbl>
            <c:dLbl>
              <c:idx val="3"/>
              <c:layout>
                <c:manualLayout>
                  <c:x val="-6.7573583779787005E-2"/>
                  <c:y val="-5.1454235854770734E-2"/>
                </c:manualLayout>
              </c:layout>
              <c:dLblPos val="r"/>
              <c:showVal val="1"/>
            </c:dLbl>
            <c:dLbl>
              <c:idx val="4"/>
              <c:layout>
                <c:manualLayout>
                  <c:x val="-4.2764309633709474E-2"/>
                  <c:y val="-7.3983653597704438E-2"/>
                </c:manualLayout>
              </c:layout>
              <c:dLblPos val="r"/>
              <c:showVal val="1"/>
            </c:dLbl>
            <c:spPr>
              <a:noFill/>
              <a:ln w="25403">
                <a:noFill/>
              </a:ln>
            </c:spPr>
            <c:txPr>
              <a:bodyPr/>
              <a:lstStyle/>
              <a:p>
                <a:pPr>
                  <a:defRPr sz="952" b="1" i="0" u="none" strike="noStrike" baseline="0">
                    <a:solidFill>
                      <a:schemeClr val="bg1"/>
                    </a:solidFill>
                    <a:latin typeface="Times New Roman" pitchFamily="18" charset="0"/>
                    <a:ea typeface="Times New Roman"/>
                    <a:cs typeface="Times New Roman" pitchFamily="18" charset="0"/>
                  </a:defRPr>
                </a:pPr>
                <a:endParaRPr lang="ru-RU"/>
              </a:p>
            </c:txPr>
            <c:showVal val="1"/>
          </c:dLbls>
          <c:cat>
            <c:strRef>
              <c:f>ЗНЗ!$B$1:$F$1</c:f>
              <c:strCache>
                <c:ptCount val="5"/>
                <c:pt idx="0">
                  <c:v>2008</c:v>
                </c:pt>
                <c:pt idx="1">
                  <c:v>2009</c:v>
                </c:pt>
                <c:pt idx="2">
                  <c:v>2010</c:v>
                </c:pt>
                <c:pt idx="3">
                  <c:v>2011</c:v>
                </c:pt>
                <c:pt idx="4">
                  <c:v>2012 очік.</c:v>
                </c:pt>
              </c:strCache>
            </c:strRef>
          </c:cat>
          <c:val>
            <c:numRef>
              <c:f>ЗНЗ!$B$3:$F$3</c:f>
              <c:numCache>
                <c:formatCode>0.0</c:formatCode>
                <c:ptCount val="5"/>
                <c:pt idx="0">
                  <c:v>360.1</c:v>
                </c:pt>
                <c:pt idx="1">
                  <c:v>354.9</c:v>
                </c:pt>
                <c:pt idx="2">
                  <c:v>337</c:v>
                </c:pt>
                <c:pt idx="3">
                  <c:v>343.9</c:v>
                </c:pt>
                <c:pt idx="4">
                  <c:v>336.9</c:v>
                </c:pt>
              </c:numCache>
            </c:numRef>
          </c:val>
        </c:ser>
        <c:dLbls>
          <c:showVal val="1"/>
        </c:dLbls>
        <c:marker val="1"/>
        <c:axId val="169679872"/>
        <c:axId val="169693952"/>
      </c:lineChart>
      <c:catAx>
        <c:axId val="169676800"/>
        <c:scaling>
          <c:orientation val="minMax"/>
        </c:scaling>
        <c:axPos val="b"/>
        <c:numFmt formatCode="General" sourceLinked="1"/>
        <c:majorTickMark val="cross"/>
        <c:tickLblPos val="nextTo"/>
        <c:spPr>
          <a:ln w="3176">
            <a:solidFill>
              <a:srgbClr val="000000"/>
            </a:solidFill>
            <a:prstDash val="solid"/>
          </a:ln>
        </c:spPr>
        <c:txPr>
          <a:bodyPr rot="0" vert="horz"/>
          <a:lstStyle/>
          <a:p>
            <a:pPr>
              <a:defRPr sz="800" b="0" i="0" u="none" strike="noStrike" baseline="0">
                <a:solidFill>
                  <a:srgbClr val="000000"/>
                </a:solidFill>
                <a:latin typeface="Times New Roman" pitchFamily="18" charset="0"/>
                <a:ea typeface="Times New Roman"/>
                <a:cs typeface="Times New Roman" pitchFamily="18" charset="0"/>
              </a:defRPr>
            </a:pPr>
            <a:endParaRPr lang="ru-RU"/>
          </a:p>
        </c:txPr>
        <c:crossAx val="169678336"/>
        <c:crosses val="autoZero"/>
        <c:lblAlgn val="ctr"/>
        <c:lblOffset val="100"/>
        <c:tickLblSkip val="1"/>
        <c:tickMarkSkip val="1"/>
      </c:catAx>
      <c:valAx>
        <c:axId val="169678336"/>
        <c:scaling>
          <c:orientation val="minMax"/>
        </c:scaling>
        <c:axPos val="l"/>
        <c:numFmt formatCode="0" sourceLinked="1"/>
        <c:tickLblPos val="nextTo"/>
        <c:spPr>
          <a:noFill/>
          <a:ln>
            <a:noFill/>
          </a:ln>
        </c:spPr>
        <c:txPr>
          <a:bodyPr/>
          <a:lstStyle/>
          <a:p>
            <a:pPr>
              <a:defRPr sz="100">
                <a:solidFill>
                  <a:schemeClr val="bg1"/>
                </a:solidFill>
              </a:defRPr>
            </a:pPr>
            <a:endParaRPr lang="ru-RU"/>
          </a:p>
        </c:txPr>
        <c:crossAx val="169676800"/>
        <c:crosses val="autoZero"/>
        <c:crossBetween val="between"/>
      </c:valAx>
      <c:catAx>
        <c:axId val="169679872"/>
        <c:scaling>
          <c:orientation val="minMax"/>
        </c:scaling>
        <c:delete val="1"/>
        <c:axPos val="b"/>
        <c:tickLblPos val="nextTo"/>
        <c:crossAx val="169693952"/>
        <c:crosses val="autoZero"/>
        <c:lblAlgn val="ctr"/>
        <c:lblOffset val="100"/>
      </c:catAx>
      <c:valAx>
        <c:axId val="169693952"/>
        <c:scaling>
          <c:orientation val="minMax"/>
          <c:max val="500"/>
          <c:min val="310"/>
        </c:scaling>
        <c:axPos val="l"/>
        <c:numFmt formatCode="0.0" sourceLinked="1"/>
        <c:majorTickMark val="none"/>
        <c:tickLblPos val="none"/>
        <c:spPr>
          <a:noFill/>
          <a:ln>
            <a:noFill/>
          </a:ln>
        </c:spPr>
        <c:txPr>
          <a:bodyPr/>
          <a:lstStyle/>
          <a:p>
            <a:pPr>
              <a:defRPr sz="100">
                <a:solidFill>
                  <a:schemeClr val="bg1"/>
                </a:solidFill>
              </a:defRPr>
            </a:pPr>
            <a:endParaRPr lang="ru-RU"/>
          </a:p>
        </c:txPr>
        <c:crossAx val="169679872"/>
        <c:crosses val="autoZero"/>
        <c:crossBetween val="between"/>
      </c:valAx>
      <c:spPr>
        <a:noFill/>
        <a:ln w="25413">
          <a:noFill/>
        </a:ln>
      </c:spPr>
    </c:plotArea>
    <c:legend>
      <c:legendPos val="r"/>
      <c:layout>
        <c:manualLayout>
          <c:xMode val="edge"/>
          <c:yMode val="edge"/>
          <c:x val="3.5087596809019642E-2"/>
          <c:y val="0.84313345447203714"/>
          <c:w val="0.93233077510880802"/>
          <c:h val="9.3749970442884245E-2"/>
        </c:manualLayout>
      </c:layout>
      <c:spPr>
        <a:solidFill>
          <a:srgbClr val="FFFFFF"/>
        </a:solidFill>
        <a:ln w="25403">
          <a:noFill/>
        </a:ln>
      </c:spPr>
      <c:txPr>
        <a:bodyPr/>
        <a:lstStyle/>
        <a:p>
          <a:pPr>
            <a:defRPr sz="1001"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1001" b="0" i="0" u="none" strike="noStrike" baseline="0">
          <a:solidFill>
            <a:srgbClr val="000000"/>
          </a:solidFill>
          <a:latin typeface="Arial"/>
          <a:ea typeface="Arial"/>
          <a:cs typeface="Arial"/>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1.8469656992084433E-2"/>
          <c:y val="0.11814345991562022"/>
          <c:w val="0.94722955145120002"/>
          <c:h val="0.60337552742616063"/>
        </c:manualLayout>
      </c:layout>
      <c:barChart>
        <c:barDir val="col"/>
        <c:grouping val="clustered"/>
        <c:ser>
          <c:idx val="1"/>
          <c:order val="0"/>
          <c:tx>
            <c:strRef>
              <c:f>ПТНЗ1!$A$2</c:f>
              <c:strCache>
                <c:ptCount val="1"/>
                <c:pt idx="0">
                  <c:v>Кількість закладів, од.</c:v>
                </c:pt>
              </c:strCache>
            </c:strRef>
          </c:tx>
          <c:spPr>
            <a:gradFill flip="none" rotWithShape="1">
              <a:gsLst>
                <a:gs pos="0">
                  <a:srgbClr val="8064A2">
                    <a:lumMod val="20000"/>
                    <a:lumOff val="80000"/>
                  </a:srgbClr>
                </a:gs>
                <a:gs pos="30000">
                  <a:srgbClr val="8064A2">
                    <a:lumMod val="40000"/>
                    <a:lumOff val="60000"/>
                  </a:srgbClr>
                </a:gs>
                <a:gs pos="70000">
                  <a:srgbClr val="8064A2">
                    <a:lumMod val="60000"/>
                    <a:lumOff val="40000"/>
                  </a:srgbClr>
                </a:gs>
                <a:gs pos="100000">
                  <a:schemeClr val="accent4">
                    <a:lumMod val="75000"/>
                  </a:schemeClr>
                </a:gs>
              </a:gsLst>
              <a:path path="rect">
                <a:fillToRect l="50000" t="50000" r="50000" b="50000"/>
              </a:path>
              <a:tileRect/>
            </a:gradFill>
            <a:ln w="12622">
              <a:solidFill>
                <a:srgbClr val="000000"/>
              </a:solidFill>
              <a:prstDash val="solid"/>
            </a:ln>
            <a:scene3d>
              <a:camera prst="orthographicFront"/>
              <a:lightRig rig="threePt" dir="t"/>
            </a:scene3d>
            <a:sp3d>
              <a:bevelT prst="slope"/>
            </a:sp3d>
          </c:spPr>
          <c:dLbls>
            <c:txPr>
              <a:bodyPr/>
              <a:lstStyle/>
              <a:p>
                <a:pPr>
                  <a:defRPr b="1">
                    <a:latin typeface="Times New Roman" pitchFamily="18" charset="0"/>
                    <a:cs typeface="Times New Roman" pitchFamily="18" charset="0"/>
                  </a:defRPr>
                </a:pPr>
                <a:endParaRPr lang="ru-RU"/>
              </a:p>
            </c:txPr>
            <c:showVal val="1"/>
          </c:dLbls>
          <c:cat>
            <c:strRef>
              <c:f>ПТНЗ1!$B$1:$F$1</c:f>
              <c:strCache>
                <c:ptCount val="5"/>
                <c:pt idx="0">
                  <c:v>2008</c:v>
                </c:pt>
                <c:pt idx="1">
                  <c:v>2009</c:v>
                </c:pt>
                <c:pt idx="2">
                  <c:v>112</c:v>
                </c:pt>
                <c:pt idx="3">
                  <c:v>2011</c:v>
                </c:pt>
                <c:pt idx="4">
                  <c:v>2012  очік.</c:v>
                </c:pt>
              </c:strCache>
            </c:strRef>
          </c:cat>
          <c:val>
            <c:numRef>
              <c:f>ПТНЗ1!$B$2:$F$2</c:f>
              <c:numCache>
                <c:formatCode>0</c:formatCode>
                <c:ptCount val="5"/>
                <c:pt idx="0">
                  <c:v>119</c:v>
                </c:pt>
                <c:pt idx="1">
                  <c:v>113</c:v>
                </c:pt>
                <c:pt idx="2">
                  <c:v>112</c:v>
                </c:pt>
                <c:pt idx="3">
                  <c:v>111</c:v>
                </c:pt>
                <c:pt idx="4">
                  <c:v>111</c:v>
                </c:pt>
              </c:numCache>
            </c:numRef>
          </c:val>
        </c:ser>
        <c:dLbls>
          <c:showVal val="1"/>
        </c:dLbls>
        <c:gapWidth val="117"/>
        <c:overlap val="64"/>
        <c:axId val="178076288"/>
        <c:axId val="178090368"/>
      </c:barChart>
      <c:lineChart>
        <c:grouping val="standard"/>
        <c:ser>
          <c:idx val="0"/>
          <c:order val="1"/>
          <c:tx>
            <c:strRef>
              <c:f>ПТНЗ1!$A$3</c:f>
              <c:strCache>
                <c:ptCount val="1"/>
                <c:pt idx="0">
                  <c:v>Кількість учнів, тис.</c:v>
                </c:pt>
              </c:strCache>
            </c:strRef>
          </c:tx>
          <c:spPr>
            <a:ln w="25245">
              <a:solidFill>
                <a:srgbClr val="000080"/>
              </a:solidFill>
              <a:prstDash val="solid"/>
            </a:ln>
          </c:spPr>
          <c:marker>
            <c:symbol val="triangle"/>
            <c:size val="5"/>
            <c:spPr>
              <a:solidFill>
                <a:srgbClr val="000080"/>
              </a:solidFill>
              <a:ln>
                <a:solidFill>
                  <a:srgbClr val="000080"/>
                </a:solidFill>
                <a:prstDash val="solid"/>
              </a:ln>
            </c:spPr>
          </c:marker>
          <c:dLbls>
            <c:txPr>
              <a:bodyPr/>
              <a:lstStyle/>
              <a:p>
                <a:pPr>
                  <a:defRPr sz="1000" b="1">
                    <a:latin typeface="Times New Roman" pitchFamily="18" charset="0"/>
                    <a:cs typeface="Times New Roman" pitchFamily="18" charset="0"/>
                  </a:defRPr>
                </a:pPr>
                <a:endParaRPr lang="ru-RU"/>
              </a:p>
            </c:txPr>
            <c:dLblPos val="t"/>
            <c:showVal val="1"/>
          </c:dLbls>
          <c:cat>
            <c:strRef>
              <c:f>ПТНЗ1!$B$1:$F$1</c:f>
              <c:strCache>
                <c:ptCount val="5"/>
                <c:pt idx="0">
                  <c:v>2008</c:v>
                </c:pt>
                <c:pt idx="1">
                  <c:v>2009</c:v>
                </c:pt>
                <c:pt idx="2">
                  <c:v>112</c:v>
                </c:pt>
                <c:pt idx="3">
                  <c:v>2011</c:v>
                </c:pt>
                <c:pt idx="4">
                  <c:v>2012  очік.</c:v>
                </c:pt>
              </c:strCache>
            </c:strRef>
          </c:cat>
          <c:val>
            <c:numRef>
              <c:f>ПТНЗ1!$B$3:$F$3</c:f>
              <c:numCache>
                <c:formatCode>0.0</c:formatCode>
                <c:ptCount val="5"/>
                <c:pt idx="0">
                  <c:v>47.5</c:v>
                </c:pt>
                <c:pt idx="1">
                  <c:v>41.4</c:v>
                </c:pt>
                <c:pt idx="2">
                  <c:v>42</c:v>
                </c:pt>
                <c:pt idx="3">
                  <c:v>38.1</c:v>
                </c:pt>
                <c:pt idx="4">
                  <c:v>35.700000000000003</c:v>
                </c:pt>
              </c:numCache>
            </c:numRef>
          </c:val>
        </c:ser>
        <c:dLbls>
          <c:showVal val="1"/>
        </c:dLbls>
        <c:marker val="1"/>
        <c:axId val="178091904"/>
        <c:axId val="178093440"/>
      </c:lineChart>
      <c:catAx>
        <c:axId val="178076288"/>
        <c:scaling>
          <c:orientation val="minMax"/>
        </c:scaling>
        <c:axPos val="b"/>
        <c:numFmt formatCode="General" sourceLinked="1"/>
        <c:majorTickMark val="cross"/>
        <c:tickLblPos val="nextTo"/>
        <c:spPr>
          <a:ln w="3156">
            <a:solidFill>
              <a:srgbClr val="000000"/>
            </a:solidFill>
            <a:prstDash val="solid"/>
          </a:ln>
        </c:spPr>
        <c:txPr>
          <a:bodyPr rot="0" vert="horz"/>
          <a:lstStyle/>
          <a:p>
            <a:pPr>
              <a:defRPr sz="795" b="0" i="0" u="none" strike="noStrike" baseline="0">
                <a:solidFill>
                  <a:srgbClr val="000000"/>
                </a:solidFill>
                <a:latin typeface="Times New Roman" pitchFamily="18" charset="0"/>
                <a:ea typeface="Times New Roman"/>
                <a:cs typeface="Times New Roman" pitchFamily="18" charset="0"/>
              </a:defRPr>
            </a:pPr>
            <a:endParaRPr lang="ru-RU"/>
          </a:p>
        </c:txPr>
        <c:crossAx val="178090368"/>
        <c:crosses val="autoZero"/>
        <c:lblAlgn val="ctr"/>
        <c:lblOffset val="100"/>
        <c:tickLblSkip val="1"/>
        <c:tickMarkSkip val="1"/>
      </c:catAx>
      <c:valAx>
        <c:axId val="178090368"/>
        <c:scaling>
          <c:orientation val="minMax"/>
        </c:scaling>
        <c:delete val="1"/>
        <c:axPos val="l"/>
        <c:numFmt formatCode="0" sourceLinked="1"/>
        <c:tickLblPos val="nextTo"/>
        <c:crossAx val="178076288"/>
        <c:crosses val="autoZero"/>
        <c:crossBetween val="between"/>
      </c:valAx>
      <c:catAx>
        <c:axId val="178091904"/>
        <c:scaling>
          <c:orientation val="minMax"/>
        </c:scaling>
        <c:delete val="1"/>
        <c:axPos val="b"/>
        <c:tickLblPos val="nextTo"/>
        <c:crossAx val="178093440"/>
        <c:crosses val="autoZero"/>
        <c:lblAlgn val="ctr"/>
        <c:lblOffset val="100"/>
      </c:catAx>
      <c:valAx>
        <c:axId val="178093440"/>
        <c:scaling>
          <c:orientation val="minMax"/>
        </c:scaling>
        <c:delete val="1"/>
        <c:axPos val="r"/>
        <c:numFmt formatCode="0.0" sourceLinked="1"/>
        <c:tickLblPos val="nextTo"/>
        <c:crossAx val="178091904"/>
        <c:crosses val="max"/>
        <c:crossBetween val="between"/>
      </c:valAx>
      <c:spPr>
        <a:noFill/>
        <a:ln w="25349">
          <a:noFill/>
        </a:ln>
      </c:spPr>
    </c:plotArea>
    <c:legend>
      <c:legendPos val="b"/>
      <c:layout>
        <c:manualLayout>
          <c:xMode val="edge"/>
          <c:yMode val="edge"/>
          <c:x val="2.1108368916572001E-2"/>
          <c:y val="0.84388181091102143"/>
          <c:w val="0.95778378448962587"/>
          <c:h val="0.10548522636387229"/>
        </c:manualLayout>
      </c:layout>
      <c:spPr>
        <a:noFill/>
        <a:ln w="25245">
          <a:noFill/>
        </a:ln>
      </c:spPr>
      <c:txPr>
        <a:bodyPr/>
        <a:lstStyle/>
        <a:p>
          <a:pPr>
            <a:defRPr sz="915"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93" b="0" i="0" u="none" strike="noStrike" baseline="0">
          <a:solidFill>
            <a:srgbClr val="000000"/>
          </a:solidFill>
          <a:latin typeface="Arial"/>
          <a:ea typeface="Arial"/>
          <a:cs typeface="Arial"/>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1715976331360969"/>
          <c:y val="6.1989292758523537E-2"/>
          <c:w val="0.46667494965497036"/>
          <c:h val="0.87602141448297555"/>
        </c:manualLayout>
      </c:layout>
      <c:barChart>
        <c:barDir val="bar"/>
        <c:grouping val="stacked"/>
        <c:ser>
          <c:idx val="0"/>
          <c:order val="0"/>
          <c:tx>
            <c:strRef>
              <c:f>Лист1!$A$2</c:f>
              <c:strCache>
                <c:ptCount val="1"/>
                <c:pt idx="0">
                  <c:v>Всього всиновлено дітей-сиріт та дітей, позбавлених батьківського піклування, у т.ч. усиновлено</c:v>
                </c:pt>
              </c:strCache>
            </c:strRef>
          </c:tx>
          <c:spPr>
            <a:solidFill>
              <a:schemeClr val="bg1"/>
            </a:solidFill>
            <a:ln>
              <a:solidFill>
                <a:sysClr val="windowText" lastClr="000000"/>
              </a:solidFill>
            </a:ln>
          </c:spPr>
          <c:dLbls>
            <c:dLbl>
              <c:idx val="0"/>
              <c:layout>
                <c:manualLayout>
                  <c:x val="0.43392453162290912"/>
                  <c:y val="-8.2342648345428247E-7"/>
                </c:manualLayout>
              </c:layout>
              <c:tx>
                <c:rich>
                  <a:bodyPr/>
                  <a:lstStyle/>
                  <a:p>
                    <a:r>
                      <a:rPr lang="ru-RU"/>
                      <a:t>739</a:t>
                    </a:r>
                    <a:endParaRPr lang="en-US"/>
                  </a:p>
                </c:rich>
              </c:tx>
              <c:dLblPos val="ctr"/>
            </c:dLbl>
            <c:dLbl>
              <c:idx val="1"/>
              <c:layout>
                <c:manualLayout>
                  <c:x val="0.42077528770442885"/>
                  <c:y val="-1.0864289022695695E-2"/>
                </c:manualLayout>
              </c:layout>
              <c:tx>
                <c:rich>
                  <a:bodyPr/>
                  <a:lstStyle/>
                  <a:p>
                    <a:r>
                      <a:rPr lang="ru-RU"/>
                      <a:t>699</a:t>
                    </a:r>
                    <a:endParaRPr lang="en-US"/>
                  </a:p>
                </c:rich>
              </c:tx>
              <c:dLblPos val="ctr"/>
            </c:dLbl>
            <c:dLbl>
              <c:idx val="2"/>
              <c:layout>
                <c:manualLayout>
                  <c:x val="0.38461486692862901"/>
                  <c:y val="-1.0864289022695695E-2"/>
                </c:manualLayout>
              </c:layout>
              <c:tx>
                <c:rich>
                  <a:bodyPr/>
                  <a:lstStyle/>
                  <a:p>
                    <a:r>
                      <a:rPr lang="uk-UA"/>
                      <a:t>617</a:t>
                    </a:r>
                    <a:endParaRPr lang="en-US"/>
                  </a:p>
                </c:rich>
              </c:tx>
              <c:dLblPos val="ctr"/>
            </c:dLbl>
            <c:dLbl>
              <c:idx val="3"/>
              <c:layout>
                <c:manualLayout>
                  <c:x val="0.33859251321396638"/>
                  <c:y val="0"/>
                </c:manualLayout>
              </c:layout>
              <c:tx>
                <c:rich>
                  <a:bodyPr/>
                  <a:lstStyle/>
                  <a:p>
                    <a:r>
                      <a:rPr lang="ru-RU"/>
                      <a:t>521</a:t>
                    </a:r>
                    <a:endParaRPr lang="en-US"/>
                  </a:p>
                </c:rich>
              </c:tx>
              <c:dLblPos val="ctr"/>
            </c:dLbl>
            <c:dLbl>
              <c:idx val="4"/>
              <c:layout>
                <c:manualLayout>
                  <c:x val="0.33859251321396638"/>
                  <c:y val="0"/>
                </c:manualLayout>
              </c:layout>
              <c:tx>
                <c:rich>
                  <a:bodyPr/>
                  <a:lstStyle/>
                  <a:p>
                    <a:r>
                      <a:rPr lang="uk-UA"/>
                      <a:t>396</a:t>
                    </a:r>
                    <a:endParaRPr lang="en-US"/>
                  </a:p>
                </c:rich>
              </c:tx>
              <c:dLblPos val="ctr"/>
            </c:dLbl>
            <c:spPr>
              <a:ln>
                <a:solidFill>
                  <a:sysClr val="windowText" lastClr="000000"/>
                </a:solidFill>
              </a:ln>
            </c:spPr>
            <c:txPr>
              <a:bodyPr/>
              <a:lstStyle/>
              <a:p>
                <a:pPr>
                  <a:defRPr b="1">
                    <a:latin typeface="Times New Roman" pitchFamily="18" charset="0"/>
                    <a:cs typeface="Times New Roman" pitchFamily="18" charset="0"/>
                  </a:defRPr>
                </a:pPr>
                <a:endParaRPr lang="ru-RU"/>
              </a:p>
            </c:txPr>
            <c:dLblPos val="inEnd"/>
            <c:showVal val="1"/>
          </c:dLbls>
          <c:cat>
            <c:strRef>
              <c:f>Лист1!$B$1:$F$1</c:f>
              <c:strCache>
                <c:ptCount val="5"/>
                <c:pt idx="0">
                  <c:v>2008</c:v>
                </c:pt>
                <c:pt idx="1">
                  <c:v>2009</c:v>
                </c:pt>
                <c:pt idx="2">
                  <c:v>2010</c:v>
                </c:pt>
                <c:pt idx="3">
                  <c:v>2011</c:v>
                </c:pt>
                <c:pt idx="4">
                  <c:v>2012</c:v>
                </c:pt>
              </c:strCache>
            </c:strRef>
          </c:cat>
          <c:val>
            <c:numRef>
              <c:f>Лист1!$B$2:$F$2</c:f>
              <c:numCache>
                <c:formatCode>General</c:formatCode>
                <c:ptCount val="5"/>
                <c:pt idx="0">
                  <c:v>0</c:v>
                </c:pt>
                <c:pt idx="1">
                  <c:v>0</c:v>
                </c:pt>
                <c:pt idx="2">
                  <c:v>0</c:v>
                </c:pt>
                <c:pt idx="3">
                  <c:v>0</c:v>
                </c:pt>
                <c:pt idx="4">
                  <c:v>0</c:v>
                </c:pt>
              </c:numCache>
            </c:numRef>
          </c:val>
        </c:ser>
        <c:ser>
          <c:idx val="1"/>
          <c:order val="1"/>
          <c:tx>
            <c:strRef>
              <c:f>Лист1!$A$3</c:f>
              <c:strCache>
                <c:ptCount val="1"/>
                <c:pt idx="0">
                  <c:v>громадянами України</c:v>
                </c:pt>
              </c:strCache>
            </c:strRef>
          </c:tx>
          <c:spPr>
            <a:solidFill>
              <a:schemeClr val="tx2">
                <a:lumMod val="75000"/>
              </a:schemeClr>
            </a:solidFill>
          </c:spPr>
          <c:dLbls>
            <c:dLbl>
              <c:idx val="4"/>
              <c:tx>
                <c:rich>
                  <a:bodyPr/>
                  <a:lstStyle/>
                  <a:p>
                    <a:r>
                      <a:rPr lang="uk-UA"/>
                      <a:t>260</a:t>
                    </a:r>
                    <a:endParaRPr lang="en-US"/>
                  </a:p>
                </c:rich>
              </c:tx>
              <c:dLblPos val="ctr"/>
              <c:showVal val="1"/>
            </c:dLbl>
            <c:txPr>
              <a:bodyPr/>
              <a:lstStyle/>
              <a:p>
                <a:pPr>
                  <a:defRPr b="1">
                    <a:solidFill>
                      <a:schemeClr val="bg1"/>
                    </a:solidFill>
                    <a:latin typeface="Times New Roman" pitchFamily="18" charset="0"/>
                    <a:cs typeface="Times New Roman" pitchFamily="18" charset="0"/>
                  </a:defRPr>
                </a:pPr>
                <a:endParaRPr lang="ru-RU"/>
              </a:p>
            </c:txPr>
            <c:dLblPos val="ctr"/>
            <c:showVal val="1"/>
          </c:dLbls>
          <c:cat>
            <c:strRef>
              <c:f>Лист1!$B$1:$F$1</c:f>
              <c:strCache>
                <c:ptCount val="5"/>
                <c:pt idx="0">
                  <c:v>2008</c:v>
                </c:pt>
                <c:pt idx="1">
                  <c:v>2009</c:v>
                </c:pt>
                <c:pt idx="2">
                  <c:v>2010</c:v>
                </c:pt>
                <c:pt idx="3">
                  <c:v>2011</c:v>
                </c:pt>
                <c:pt idx="4">
                  <c:v>2012</c:v>
                </c:pt>
              </c:strCache>
            </c:strRef>
          </c:cat>
          <c:val>
            <c:numRef>
              <c:f>Лист1!$B$3:$F$3</c:f>
              <c:numCache>
                <c:formatCode>General</c:formatCode>
                <c:ptCount val="5"/>
                <c:pt idx="0">
                  <c:v>438</c:v>
                </c:pt>
                <c:pt idx="1">
                  <c:v>456</c:v>
                </c:pt>
                <c:pt idx="2">
                  <c:v>430</c:v>
                </c:pt>
                <c:pt idx="3">
                  <c:v>388</c:v>
                </c:pt>
                <c:pt idx="4">
                  <c:v>388</c:v>
                </c:pt>
              </c:numCache>
            </c:numRef>
          </c:val>
        </c:ser>
        <c:ser>
          <c:idx val="2"/>
          <c:order val="2"/>
          <c:tx>
            <c:strRef>
              <c:f>Лист1!$A$4</c:f>
              <c:strCache>
                <c:ptCount val="1"/>
                <c:pt idx="0">
                  <c:v>іноземними громадянами</c:v>
                </c:pt>
              </c:strCache>
            </c:strRef>
          </c:tx>
          <c:dLbls>
            <c:dLbl>
              <c:idx val="2"/>
              <c:layout>
                <c:manualLayout>
                  <c:x val="3.287310979618748E-3"/>
                  <c:y val="-5.2287581699347104E-3"/>
                </c:manualLayout>
              </c:layout>
              <c:dLblPos val="ctr"/>
              <c:showVal val="1"/>
            </c:dLbl>
            <c:dLbl>
              <c:idx val="3"/>
              <c:layout>
                <c:manualLayout>
                  <c:x val="6.0266671753948159E-17"/>
                  <c:y val="0"/>
                </c:manualLayout>
              </c:layout>
              <c:dLblPos val="ctr"/>
              <c:showVal val="1"/>
            </c:dLbl>
            <c:dLbl>
              <c:idx val="4"/>
              <c:layout>
                <c:manualLayout>
                  <c:x val="3.2873109796188035E-3"/>
                  <c:y val="0"/>
                </c:manualLayout>
              </c:layout>
              <c:tx>
                <c:rich>
                  <a:bodyPr/>
                  <a:lstStyle/>
                  <a:p>
                    <a:r>
                      <a:rPr lang="uk-UA"/>
                      <a:t>136</a:t>
                    </a:r>
                    <a:endParaRPr lang="en-US"/>
                  </a:p>
                </c:rich>
              </c:tx>
              <c:dLblPos val="ctr"/>
              <c:showVal val="1"/>
            </c:dLbl>
            <c:txPr>
              <a:bodyPr/>
              <a:lstStyle/>
              <a:p>
                <a:pPr>
                  <a:defRPr b="1">
                    <a:latin typeface="Times New Roman" pitchFamily="18" charset="0"/>
                    <a:cs typeface="Times New Roman" pitchFamily="18" charset="0"/>
                  </a:defRPr>
                </a:pPr>
                <a:endParaRPr lang="ru-RU"/>
              </a:p>
            </c:txPr>
            <c:dLblPos val="ctr"/>
            <c:showVal val="1"/>
          </c:dLbls>
          <c:cat>
            <c:strRef>
              <c:f>Лист1!$B$1:$F$1</c:f>
              <c:strCache>
                <c:ptCount val="5"/>
                <c:pt idx="0">
                  <c:v>2008</c:v>
                </c:pt>
                <c:pt idx="1">
                  <c:v>2009</c:v>
                </c:pt>
                <c:pt idx="2">
                  <c:v>2010</c:v>
                </c:pt>
                <c:pt idx="3">
                  <c:v>2011</c:v>
                </c:pt>
                <c:pt idx="4">
                  <c:v>2012</c:v>
                </c:pt>
              </c:strCache>
            </c:strRef>
          </c:cat>
          <c:val>
            <c:numRef>
              <c:f>Лист1!$B$4:$F$4</c:f>
              <c:numCache>
                <c:formatCode>General</c:formatCode>
                <c:ptCount val="5"/>
                <c:pt idx="0">
                  <c:v>301</c:v>
                </c:pt>
                <c:pt idx="1">
                  <c:v>243</c:v>
                </c:pt>
                <c:pt idx="2">
                  <c:v>187</c:v>
                </c:pt>
                <c:pt idx="3">
                  <c:v>133</c:v>
                </c:pt>
                <c:pt idx="4">
                  <c:v>133</c:v>
                </c:pt>
              </c:numCache>
            </c:numRef>
          </c:val>
        </c:ser>
        <c:overlap val="100"/>
        <c:axId val="178050560"/>
        <c:axId val="178052096"/>
      </c:barChart>
      <c:catAx>
        <c:axId val="178050560"/>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78052096"/>
        <c:crosses val="autoZero"/>
        <c:auto val="1"/>
        <c:lblAlgn val="ctr"/>
        <c:lblOffset val="100"/>
      </c:catAx>
      <c:valAx>
        <c:axId val="178052096"/>
        <c:scaling>
          <c:orientation val="minMax"/>
        </c:scaling>
        <c:delete val="1"/>
        <c:axPos val="b"/>
        <c:numFmt formatCode="General" sourceLinked="1"/>
        <c:tickLblPos val="none"/>
        <c:crossAx val="178050560"/>
        <c:crosses val="autoZero"/>
        <c:crossBetween val="between"/>
      </c:valAx>
      <c:spPr>
        <a:noFill/>
        <a:ln w="25382">
          <a:noFill/>
        </a:ln>
      </c:spPr>
    </c:plotArea>
    <c:legend>
      <c:legendPos val="r"/>
      <c:layout>
        <c:manualLayout>
          <c:xMode val="edge"/>
          <c:yMode val="edge"/>
          <c:x val="0.58044809365934524"/>
          <c:y val="0.1848098141337349"/>
          <c:w val="0.41626657687526514"/>
          <c:h val="0.81187465852484209"/>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8"/>
  <c:chart>
    <c:title/>
    <c:plotArea>
      <c:layout>
        <c:manualLayout>
          <c:layoutTarget val="inner"/>
          <c:xMode val="edge"/>
          <c:yMode val="edge"/>
          <c:x val="4.4502617801060775E-2"/>
          <c:y val="0.12396579459825761"/>
          <c:w val="0.90481040781471578"/>
          <c:h val="0.70238446000701527"/>
        </c:manualLayout>
      </c:layout>
      <c:lineChart>
        <c:grouping val="standard"/>
        <c:ser>
          <c:idx val="0"/>
          <c:order val="0"/>
          <c:tx>
            <c:strRef>
              <c:f>Лист2!$A$2</c:f>
              <c:strCache>
                <c:ptCount val="1"/>
              </c:strCache>
            </c:strRef>
          </c:tx>
          <c:spPr>
            <a:ln w="38100"/>
          </c:spPr>
          <c:dLbls>
            <c:dLbl>
              <c:idx val="0"/>
              <c:layout>
                <c:manualLayout>
                  <c:x val="-9.4003262379926747E-2"/>
                  <c:y val="-7.85006712870569E-2"/>
                </c:manualLayout>
              </c:layout>
              <c:dLblPos val="r"/>
              <c:showVal val="1"/>
            </c:dLbl>
            <c:dLbl>
              <c:idx val="1"/>
              <c:layout>
                <c:manualLayout>
                  <c:x val="-6.3348705452739129E-2"/>
                  <c:y val="-8.6396458507202747E-2"/>
                </c:manualLayout>
              </c:layout>
              <c:dLblPos val="r"/>
              <c:showVal val="1"/>
            </c:dLbl>
            <c:dLbl>
              <c:idx val="2"/>
              <c:layout>
                <c:manualLayout>
                  <c:x val="-7.2032811755309123E-2"/>
                  <c:y val="-9.7753909793534044E-2"/>
                </c:manualLayout>
              </c:layout>
              <c:dLblPos val="r"/>
              <c:showVal val="1"/>
            </c:dLbl>
            <c:dLbl>
              <c:idx val="3"/>
              <c:layout>
                <c:manualLayout>
                  <c:x val="-7.992454907330955E-2"/>
                  <c:y val="-8.7744838346821868E-2"/>
                </c:manualLayout>
              </c:layout>
              <c:dLblPos val="r"/>
              <c:showVal val="1"/>
            </c:dLbl>
            <c:dLbl>
              <c:idx val="4"/>
              <c:layout>
                <c:manualLayout>
                  <c:x val="-8.525149190110827E-2"/>
                  <c:y val="-9.8310291858678955E-2"/>
                </c:manualLayout>
              </c:layout>
              <c:tx>
                <c:rich>
                  <a:bodyPr/>
                  <a:lstStyle/>
                  <a:p>
                    <a:r>
                      <a:rPr lang="uk-UA"/>
                      <a:t>9897</a:t>
                    </a:r>
                    <a:endParaRPr lang="en-US"/>
                  </a:p>
                </c:rich>
              </c:tx>
              <c:dLblPos val="r"/>
              <c:showVal val="1"/>
            </c:dLbl>
            <c:txPr>
              <a:bodyPr/>
              <a:lstStyle/>
              <a:p>
                <a:pPr>
                  <a:defRPr b="1">
                    <a:latin typeface="Times New Roman" pitchFamily="18" charset="0"/>
                    <a:cs typeface="Times New Roman" pitchFamily="18" charset="0"/>
                  </a:defRPr>
                </a:pPr>
                <a:endParaRPr lang="ru-RU"/>
              </a:p>
            </c:txPr>
            <c:showVal val="1"/>
          </c:dLbls>
          <c:cat>
            <c:numRef>
              <c:f>Лист2!$B$1:$F$1</c:f>
              <c:numCache>
                <c:formatCode>General</c:formatCode>
                <c:ptCount val="5"/>
                <c:pt idx="0">
                  <c:v>2008</c:v>
                </c:pt>
                <c:pt idx="1">
                  <c:v>2009</c:v>
                </c:pt>
                <c:pt idx="2">
                  <c:v>2010</c:v>
                </c:pt>
                <c:pt idx="3">
                  <c:v>2011</c:v>
                </c:pt>
                <c:pt idx="4">
                  <c:v>2012</c:v>
                </c:pt>
              </c:numCache>
            </c:numRef>
          </c:cat>
          <c:val>
            <c:numRef>
              <c:f>Лист2!$B$2:$F$2</c:f>
              <c:numCache>
                <c:formatCode>General</c:formatCode>
                <c:ptCount val="5"/>
                <c:pt idx="0">
                  <c:v>11755</c:v>
                </c:pt>
                <c:pt idx="1">
                  <c:v>11153</c:v>
                </c:pt>
                <c:pt idx="2">
                  <c:v>10677</c:v>
                </c:pt>
                <c:pt idx="3">
                  <c:v>10374</c:v>
                </c:pt>
                <c:pt idx="4">
                  <c:v>9970</c:v>
                </c:pt>
              </c:numCache>
            </c:numRef>
          </c:val>
        </c:ser>
        <c:dLbls>
          <c:showVal val="1"/>
        </c:dLbls>
        <c:marker val="1"/>
        <c:axId val="177883776"/>
        <c:axId val="178200960"/>
      </c:lineChart>
      <c:catAx>
        <c:axId val="177883776"/>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78200960"/>
        <c:crosses val="autoZero"/>
        <c:lblAlgn val="ctr"/>
        <c:lblOffset val="100"/>
        <c:tickLblSkip val="1"/>
        <c:tickMarkSkip val="1"/>
      </c:catAx>
      <c:valAx>
        <c:axId val="178200960"/>
        <c:scaling>
          <c:orientation val="minMax"/>
          <c:max val="12000"/>
          <c:min val="7000"/>
        </c:scaling>
        <c:axPos val="l"/>
        <c:numFmt formatCode="General" sourceLinked="1"/>
        <c:majorTickMark val="cross"/>
        <c:tickLblPos val="nextTo"/>
        <c:spPr>
          <a:ln>
            <a:noFill/>
          </a:ln>
        </c:spPr>
        <c:txPr>
          <a:bodyPr rot="0" vert="horz"/>
          <a:lstStyle/>
          <a:p>
            <a:pPr>
              <a:defRPr sz="100">
                <a:solidFill>
                  <a:schemeClr val="bg1"/>
                </a:solidFill>
              </a:defRPr>
            </a:pPr>
            <a:endParaRPr lang="ru-RU"/>
          </a:p>
        </c:txPr>
        <c:crossAx val="177883776"/>
        <c:crosses val="autoZero"/>
        <c:crossBetween val="between"/>
      </c:valAx>
      <c:spPr>
        <a:noFill/>
        <a:ln w="25423">
          <a:noFill/>
        </a:ln>
      </c:spPr>
    </c:plotArea>
    <c:plotVisOnly val="1"/>
    <c:dispBlanksAs val="gap"/>
  </c:chart>
  <c:spPr>
    <a:noFill/>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386634844868735E-2"/>
          <c:y val="4.0404040404040414E-2"/>
          <c:w val="0.9284009546539379"/>
          <c:h val="0.572879459936524"/>
        </c:manualLayout>
      </c:layout>
      <c:barChart>
        <c:barDir val="col"/>
        <c:grouping val="stacked"/>
        <c:ser>
          <c:idx val="0"/>
          <c:order val="0"/>
          <c:tx>
            <c:strRef>
              <c:f>Лист3!$A$2</c:f>
              <c:strCache>
                <c:ptCount val="1"/>
                <c:pt idx="0">
                  <c:v>Кількість закладів культури у міських поселеннях</c:v>
                </c:pt>
              </c:strCache>
            </c:strRef>
          </c:tx>
          <c:spPr>
            <a:solidFill>
              <a:srgbClr val="FFC000"/>
            </a:solidFill>
            <a:ln>
              <a:solidFill>
                <a:schemeClr val="tx1">
                  <a:lumMod val="75000"/>
                  <a:lumOff val="25000"/>
                </a:schemeClr>
              </a:solidFill>
            </a:ln>
          </c:spPr>
          <c:dLbls>
            <c:dLbl>
              <c:idx val="5"/>
              <c:tx>
                <c:rich>
                  <a:bodyPr/>
                  <a:lstStyle/>
                  <a:p>
                    <a:r>
                      <a:rPr sz="858" b="1">
                        <a:latin typeface="Times New Roman" pitchFamily="18" charset="0"/>
                        <a:cs typeface="Times New Roman" pitchFamily="18" charset="0"/>
                      </a:rPr>
                      <a:t>262</a:t>
                    </a:r>
                  </a:p>
                </c:rich>
              </c:tx>
            </c:dLbl>
            <c:spPr>
              <a:noFill/>
              <a:ln w="21804">
                <a:noFill/>
              </a:ln>
            </c:spPr>
            <c:txPr>
              <a:bodyPr/>
              <a:lstStyle/>
              <a:p>
                <a:pPr>
                  <a:defRPr b="1">
                    <a:latin typeface="Times New Roman" pitchFamily="18" charset="0"/>
                    <a:cs typeface="Times New Roman" pitchFamily="18" charset="0"/>
                  </a:defRPr>
                </a:pPr>
                <a:endParaRPr lang="ru-RU"/>
              </a:p>
            </c:txPr>
            <c:showVal val="1"/>
          </c:dLbls>
          <c:cat>
            <c:strRef>
              <c:f>Лист3!$B$1:$F$1</c:f>
              <c:strCache>
                <c:ptCount val="5"/>
                <c:pt idx="0">
                  <c:v>2008</c:v>
                </c:pt>
                <c:pt idx="1">
                  <c:v>2009</c:v>
                </c:pt>
                <c:pt idx="2">
                  <c:v>2010</c:v>
                </c:pt>
                <c:pt idx="3">
                  <c:v>2011</c:v>
                </c:pt>
                <c:pt idx="4">
                  <c:v>2012 очік.</c:v>
                </c:pt>
              </c:strCache>
            </c:strRef>
          </c:cat>
          <c:val>
            <c:numRef>
              <c:f>Лист3!$B$2:$F$2</c:f>
              <c:numCache>
                <c:formatCode>General</c:formatCode>
                <c:ptCount val="5"/>
                <c:pt idx="0">
                  <c:v>276</c:v>
                </c:pt>
                <c:pt idx="1">
                  <c:v>262</c:v>
                </c:pt>
                <c:pt idx="2">
                  <c:v>256</c:v>
                </c:pt>
                <c:pt idx="3">
                  <c:v>250</c:v>
                </c:pt>
                <c:pt idx="4">
                  <c:v>250</c:v>
                </c:pt>
              </c:numCache>
            </c:numRef>
          </c:val>
        </c:ser>
        <c:ser>
          <c:idx val="1"/>
          <c:order val="1"/>
          <c:tx>
            <c:strRef>
              <c:f>Лист3!$A$3</c:f>
              <c:strCache>
                <c:ptCount val="1"/>
                <c:pt idx="0">
                  <c:v>Кількість закладів культури у сільській місцевості</c:v>
                </c:pt>
              </c:strCache>
            </c:strRef>
          </c:tx>
          <c:spPr>
            <a:solidFill>
              <a:srgbClr val="9900CC"/>
            </a:solidFill>
            <a:ln>
              <a:solidFill>
                <a:schemeClr val="tx1">
                  <a:lumMod val="75000"/>
                  <a:lumOff val="25000"/>
                </a:schemeClr>
              </a:solidFill>
            </a:ln>
          </c:spPr>
          <c:dLbls>
            <c:dLbl>
              <c:idx val="5"/>
              <c:tx>
                <c:rich>
                  <a:bodyPr/>
                  <a:lstStyle/>
                  <a:p>
                    <a:r>
                      <a:rPr sz="858" b="1">
                        <a:solidFill>
                          <a:schemeClr val="bg1"/>
                        </a:solidFill>
                        <a:latin typeface="Times New Roman" pitchFamily="18" charset="0"/>
                        <a:cs typeface="Times New Roman" pitchFamily="18" charset="0"/>
                      </a:rPr>
                      <a:t>410</a:t>
                    </a:r>
                  </a:p>
                </c:rich>
              </c:tx>
            </c:dLbl>
            <c:spPr>
              <a:noFill/>
              <a:ln w="21804">
                <a:noFill/>
              </a:ln>
            </c:spPr>
            <c:txPr>
              <a:bodyPr/>
              <a:lstStyle/>
              <a:p>
                <a:pPr>
                  <a:defRPr b="1">
                    <a:solidFill>
                      <a:schemeClr val="bg1"/>
                    </a:solidFill>
                    <a:latin typeface="Times New Roman" pitchFamily="18" charset="0"/>
                    <a:cs typeface="Times New Roman" pitchFamily="18" charset="0"/>
                  </a:defRPr>
                </a:pPr>
                <a:endParaRPr lang="ru-RU"/>
              </a:p>
            </c:txPr>
            <c:showVal val="1"/>
          </c:dLbls>
          <c:cat>
            <c:strRef>
              <c:f>Лист3!$B$1:$F$1</c:f>
              <c:strCache>
                <c:ptCount val="5"/>
                <c:pt idx="0">
                  <c:v>2008</c:v>
                </c:pt>
                <c:pt idx="1">
                  <c:v>2009</c:v>
                </c:pt>
                <c:pt idx="2">
                  <c:v>2010</c:v>
                </c:pt>
                <c:pt idx="3">
                  <c:v>2011</c:v>
                </c:pt>
                <c:pt idx="4">
                  <c:v>2012 очік.</c:v>
                </c:pt>
              </c:strCache>
            </c:strRef>
          </c:cat>
          <c:val>
            <c:numRef>
              <c:f>Лист3!$B$3:$F$3</c:f>
              <c:numCache>
                <c:formatCode>General</c:formatCode>
                <c:ptCount val="5"/>
                <c:pt idx="0">
                  <c:v>416</c:v>
                </c:pt>
                <c:pt idx="1">
                  <c:v>410</c:v>
                </c:pt>
                <c:pt idx="2">
                  <c:v>407</c:v>
                </c:pt>
                <c:pt idx="3">
                  <c:v>406</c:v>
                </c:pt>
                <c:pt idx="4">
                  <c:v>406</c:v>
                </c:pt>
              </c:numCache>
            </c:numRef>
          </c:val>
        </c:ser>
        <c:ser>
          <c:idx val="2"/>
          <c:order val="2"/>
          <c:tx>
            <c:strRef>
              <c:f>Лист3!$A$4</c:f>
              <c:strCache>
                <c:ptCount val="1"/>
                <c:pt idx="0">
                  <c:v>Загальна кількість закладів культури клубного типу</c:v>
                </c:pt>
              </c:strCache>
            </c:strRef>
          </c:tx>
          <c:spPr>
            <a:noFill/>
            <a:ln>
              <a:solidFill>
                <a:sysClr val="windowText" lastClr="000000">
                  <a:lumMod val="75000"/>
                  <a:lumOff val="25000"/>
                </a:sysClr>
              </a:solidFill>
            </a:ln>
          </c:spPr>
          <c:dLbls>
            <c:dLbl>
              <c:idx val="0"/>
              <c:layout>
                <c:manualLayout>
                  <c:x val="-3.2567985670086492E-3"/>
                  <c:y val="-5.0731707317073174E-2"/>
                </c:manualLayout>
              </c:layout>
              <c:tx>
                <c:rich>
                  <a:bodyPr/>
                  <a:lstStyle/>
                  <a:p>
                    <a:r>
                      <a:rPr lang="uk-UA" b="1">
                        <a:latin typeface="Times New Roman" pitchFamily="18" charset="0"/>
                        <a:cs typeface="Times New Roman" pitchFamily="18" charset="0"/>
                      </a:rPr>
                      <a:t>692</a:t>
                    </a:r>
                    <a:endParaRPr lang="en-US" b="1">
                      <a:latin typeface="Times New Roman" pitchFamily="18" charset="0"/>
                      <a:cs typeface="Times New Roman" pitchFamily="18" charset="0"/>
                    </a:endParaRPr>
                  </a:p>
                </c:rich>
              </c:tx>
              <c:dLblPos val="ctr"/>
            </c:dLbl>
            <c:dLbl>
              <c:idx val="1"/>
              <c:layout>
                <c:manualLayout>
                  <c:x val="-3.2567985670086492E-3"/>
                  <c:y val="-5.0731707317073174E-2"/>
                </c:manualLayout>
              </c:layout>
              <c:tx>
                <c:rich>
                  <a:bodyPr/>
                  <a:lstStyle/>
                  <a:p>
                    <a:r>
                      <a:rPr lang="ru-RU" b="1">
                        <a:latin typeface="Times New Roman" pitchFamily="18" charset="0"/>
                        <a:cs typeface="Times New Roman" pitchFamily="18" charset="0"/>
                      </a:rPr>
                      <a:t>672</a:t>
                    </a:r>
                    <a:endParaRPr lang="en-US" b="1">
                      <a:latin typeface="Times New Roman" pitchFamily="18" charset="0"/>
                      <a:cs typeface="Times New Roman" pitchFamily="18" charset="0"/>
                    </a:endParaRPr>
                  </a:p>
                </c:rich>
              </c:tx>
              <c:dLblPos val="ctr"/>
            </c:dLbl>
            <c:dLbl>
              <c:idx val="2"/>
              <c:layout>
                <c:manualLayout>
                  <c:x val="-9.7703957010258913E-3"/>
                  <c:y val="-5.4634146341463415E-2"/>
                </c:manualLayout>
              </c:layout>
              <c:tx>
                <c:rich>
                  <a:bodyPr/>
                  <a:lstStyle/>
                  <a:p>
                    <a:r>
                      <a:rPr lang="ru-RU" b="1">
                        <a:latin typeface="Times New Roman" pitchFamily="18" charset="0"/>
                        <a:cs typeface="Times New Roman" pitchFamily="18" charset="0"/>
                      </a:rPr>
                      <a:t>663</a:t>
                    </a:r>
                    <a:endParaRPr lang="en-US" b="1">
                      <a:latin typeface="Times New Roman" pitchFamily="18" charset="0"/>
                      <a:cs typeface="Times New Roman" pitchFamily="18" charset="0"/>
                    </a:endParaRPr>
                  </a:p>
                </c:rich>
              </c:tx>
              <c:dLblPos val="ctr"/>
            </c:dLbl>
            <c:dLbl>
              <c:idx val="3"/>
              <c:layout>
                <c:manualLayout>
                  <c:x val="0"/>
                  <c:y val="-5.4634146341463415E-2"/>
                </c:manualLayout>
              </c:layout>
              <c:tx>
                <c:rich>
                  <a:bodyPr/>
                  <a:lstStyle/>
                  <a:p>
                    <a:r>
                      <a:rPr lang="ru-RU" b="1">
                        <a:latin typeface="Times New Roman" pitchFamily="18" charset="0"/>
                        <a:cs typeface="Times New Roman" pitchFamily="18" charset="0"/>
                      </a:rPr>
                      <a:t>656</a:t>
                    </a:r>
                    <a:endParaRPr lang="en-US" b="1">
                      <a:latin typeface="Times New Roman" pitchFamily="18" charset="0"/>
                      <a:cs typeface="Times New Roman" pitchFamily="18" charset="0"/>
                    </a:endParaRPr>
                  </a:p>
                </c:rich>
              </c:tx>
              <c:dLblPos val="ctr"/>
            </c:dLbl>
            <c:dLbl>
              <c:idx val="4"/>
              <c:layout>
                <c:manualLayout>
                  <c:x val="0"/>
                  <c:y val="-5.0731707317073174E-2"/>
                </c:manualLayout>
              </c:layout>
              <c:tx>
                <c:rich>
                  <a:bodyPr/>
                  <a:lstStyle/>
                  <a:p>
                    <a:r>
                      <a:rPr lang="ru-RU" b="1">
                        <a:latin typeface="Times New Roman" pitchFamily="18" charset="0"/>
                        <a:cs typeface="Times New Roman" pitchFamily="18" charset="0"/>
                      </a:rPr>
                      <a:t>656</a:t>
                    </a:r>
                    <a:endParaRPr lang="en-US" b="1">
                      <a:latin typeface="Times New Roman" pitchFamily="18" charset="0"/>
                      <a:cs typeface="Times New Roman" pitchFamily="18" charset="0"/>
                    </a:endParaRPr>
                  </a:p>
                </c:rich>
              </c:tx>
              <c:dLblPos val="ctr"/>
            </c:dLbl>
            <c:spPr>
              <a:noFill/>
              <a:ln>
                <a:solidFill>
                  <a:sysClr val="windowText" lastClr="000000">
                    <a:lumMod val="75000"/>
                    <a:lumOff val="25000"/>
                  </a:sysClr>
                </a:solidFill>
              </a:ln>
            </c:spPr>
            <c:txPr>
              <a:bodyPr/>
              <a:lstStyle/>
              <a:p>
                <a:pPr>
                  <a:defRPr b="1">
                    <a:latin typeface="Times New Roman" pitchFamily="18" charset="0"/>
                    <a:cs typeface="Times New Roman" pitchFamily="18" charset="0"/>
                  </a:defRPr>
                </a:pPr>
                <a:endParaRPr lang="ru-RU"/>
              </a:p>
            </c:txPr>
            <c:showVal val="1"/>
          </c:dLbls>
          <c:cat>
            <c:strRef>
              <c:f>Лист3!$B$1:$F$1</c:f>
              <c:strCache>
                <c:ptCount val="5"/>
                <c:pt idx="0">
                  <c:v>2008</c:v>
                </c:pt>
                <c:pt idx="1">
                  <c:v>2009</c:v>
                </c:pt>
                <c:pt idx="2">
                  <c:v>2010</c:v>
                </c:pt>
                <c:pt idx="3">
                  <c:v>2011</c:v>
                </c:pt>
                <c:pt idx="4">
                  <c:v>2012 очік.</c:v>
                </c:pt>
              </c:strCache>
            </c:strRef>
          </c:cat>
          <c:val>
            <c:numRef>
              <c:f>Лист3!$B$4:$F$4</c:f>
              <c:numCache>
                <c:formatCode>General</c:formatCode>
                <c:ptCount val="5"/>
                <c:pt idx="0">
                  <c:v>0</c:v>
                </c:pt>
                <c:pt idx="1">
                  <c:v>0</c:v>
                </c:pt>
                <c:pt idx="2">
                  <c:v>0</c:v>
                </c:pt>
                <c:pt idx="3">
                  <c:v>0</c:v>
                </c:pt>
                <c:pt idx="4">
                  <c:v>0</c:v>
                </c:pt>
              </c:numCache>
            </c:numRef>
          </c:val>
        </c:ser>
        <c:dLbls>
          <c:showVal val="1"/>
        </c:dLbls>
        <c:gapWidth val="100"/>
        <c:overlap val="100"/>
        <c:axId val="178395392"/>
        <c:axId val="178409472"/>
      </c:barChart>
      <c:catAx>
        <c:axId val="178395392"/>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78409472"/>
        <c:crosses val="autoZero"/>
        <c:auto val="1"/>
        <c:lblAlgn val="ctr"/>
        <c:lblOffset val="100"/>
        <c:tickLblSkip val="1"/>
        <c:tickMarkSkip val="1"/>
      </c:catAx>
      <c:valAx>
        <c:axId val="178409472"/>
        <c:scaling>
          <c:orientation val="minMax"/>
        </c:scaling>
        <c:delete val="1"/>
        <c:axPos val="l"/>
        <c:numFmt formatCode="General" sourceLinked="1"/>
        <c:tickLblPos val="nextTo"/>
        <c:crossAx val="178395392"/>
        <c:crosses val="autoZero"/>
        <c:crossBetween val="between"/>
      </c:valAx>
      <c:spPr>
        <a:noFill/>
        <a:ln w="21804">
          <a:noFill/>
        </a:ln>
      </c:spPr>
    </c:plotArea>
    <c:legend>
      <c:legendPos val="b"/>
      <c:layout>
        <c:manualLayout>
          <c:xMode val="edge"/>
          <c:yMode val="edge"/>
          <c:x val="2.1479713603822437E-2"/>
          <c:y val="0.7449494949495814"/>
          <c:w val="0.94838423859442778"/>
          <c:h val="0.232323232323232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
          <c:y val="0"/>
          <c:w val="0.9744779582366585"/>
          <c:h val="0.58626066272963517"/>
        </c:manualLayout>
      </c:layout>
      <c:lineChart>
        <c:grouping val="standard"/>
        <c:ser>
          <c:idx val="0"/>
          <c:order val="0"/>
          <c:tx>
            <c:strRef>
              <c:f>Лист1!$J$6</c:f>
              <c:strCache>
                <c:ptCount val="1"/>
                <c:pt idx="0">
                  <c:v>Загальна чисельність туристів, у т.ч.</c:v>
                </c:pt>
              </c:strCache>
            </c:strRef>
          </c:tx>
          <c:spPr>
            <a:ln w="38100"/>
          </c:spPr>
          <c:marker>
            <c:symbol val="diamond"/>
            <c:size val="8"/>
          </c:marker>
          <c:dLbls>
            <c:dLbl>
              <c:idx val="0"/>
              <c:layout>
                <c:manualLayout>
                  <c:x val="-6.8462348003601001E-2"/>
                  <c:y val="-4.6066272965879292E-2"/>
                </c:manualLayout>
              </c:layout>
              <c:dLblPos val="r"/>
              <c:showVal val="1"/>
            </c:dLbl>
            <c:dLbl>
              <c:idx val="1"/>
              <c:layout>
                <c:manualLayout>
                  <c:x val="-7.0374427834205194E-2"/>
                  <c:y val="-5.1118356299212575E-2"/>
                </c:manualLayout>
              </c:layout>
              <c:dLblPos val="r"/>
              <c:showVal val="1"/>
            </c:dLbl>
            <c:dLbl>
              <c:idx val="2"/>
              <c:layout>
                <c:manualLayout>
                  <c:x val="-6.5267405635536582E-2"/>
                  <c:y val="-5.5122023912562504E-2"/>
                </c:manualLayout>
              </c:layout>
              <c:dLblPos val="r"/>
              <c:showVal val="1"/>
            </c:dLbl>
            <c:dLbl>
              <c:idx val="3"/>
              <c:layout>
                <c:manualLayout>
                  <c:x val="-8.0441097159390143E-2"/>
                  <c:y val="-5.6110678766951097E-2"/>
                </c:manualLayout>
              </c:layout>
              <c:dLblPos val="r"/>
              <c:showVal val="1"/>
            </c:dLbl>
            <c:dLbl>
              <c:idx val="4"/>
              <c:layout>
                <c:manualLayout>
                  <c:x val="-1.4949471895723368E-2"/>
                  <c:y val="-1.9750656167979003E-3"/>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Лист1!$K$6:$O$6</c:f>
              <c:numCache>
                <c:formatCode>0.0</c:formatCode>
                <c:ptCount val="5"/>
                <c:pt idx="0">
                  <c:v>155.869</c:v>
                </c:pt>
                <c:pt idx="1">
                  <c:v>123</c:v>
                </c:pt>
                <c:pt idx="2">
                  <c:v>138.80000000000001</c:v>
                </c:pt>
                <c:pt idx="3">
                  <c:v>152.4</c:v>
                </c:pt>
                <c:pt idx="4">
                  <c:v>167.8</c:v>
                </c:pt>
              </c:numCache>
            </c:numRef>
          </c:val>
        </c:ser>
        <c:ser>
          <c:idx val="1"/>
          <c:order val="1"/>
          <c:tx>
            <c:strRef>
              <c:f>Лист1!$J$7</c:f>
              <c:strCache>
                <c:ptCount val="1"/>
                <c:pt idx="0">
                  <c:v>внутрішні туристи</c:v>
                </c:pt>
              </c:strCache>
            </c:strRef>
          </c:tx>
          <c:spPr>
            <a:ln w="38100">
              <a:solidFill>
                <a:srgbClr val="9900CC"/>
              </a:solidFill>
            </a:ln>
          </c:spPr>
          <c:marker>
            <c:symbol val="square"/>
            <c:size val="8"/>
            <c:spPr>
              <a:solidFill>
                <a:srgbClr val="9900CC"/>
              </a:solidFill>
              <a:ln>
                <a:solidFill>
                  <a:srgbClr val="9900CC"/>
                </a:solidFill>
              </a:ln>
            </c:spPr>
          </c:marker>
          <c:dLbls>
            <c:dLbl>
              <c:idx val="0"/>
              <c:layout>
                <c:manualLayout>
                  <c:x val="-0.12010690067122294"/>
                  <c:y val="-4.0483553012278101E-2"/>
                </c:manualLayout>
              </c:layout>
              <c:dLblPos val="r"/>
              <c:showVal val="1"/>
            </c:dLbl>
            <c:dLbl>
              <c:idx val="1"/>
              <c:layout>
                <c:manualLayout>
                  <c:x val="-5.0193078659500984E-2"/>
                  <c:y val="-6.5229802639243856E-2"/>
                </c:manualLayout>
              </c:layout>
              <c:dLblPos val="r"/>
              <c:showVal val="1"/>
            </c:dLbl>
            <c:dLbl>
              <c:idx val="2"/>
              <c:layout>
                <c:manualLayout>
                  <c:x val="-6.4016590349616237E-2"/>
                  <c:y val="-5.4301012214621934E-2"/>
                </c:manualLayout>
              </c:layout>
              <c:dLblPos val="r"/>
              <c:showVal val="1"/>
            </c:dLbl>
            <c:dLbl>
              <c:idx val="3"/>
              <c:layout>
                <c:manualLayout>
                  <c:x val="-5.5238819785207845E-2"/>
                  <c:y val="5.6863517060367463E-2"/>
                </c:manualLayout>
              </c:layout>
              <c:dLblPos val="r"/>
              <c:showVal val="1"/>
            </c:dLbl>
            <c:dLbl>
              <c:idx val="4"/>
              <c:layout>
                <c:manualLayout>
                  <c:x val="-2.5308430649067419E-4"/>
                  <c:y val="2.6071194225722256E-2"/>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Лист1!$K$7:$O$7</c:f>
              <c:numCache>
                <c:formatCode>0.0</c:formatCode>
                <c:ptCount val="5"/>
                <c:pt idx="0">
                  <c:v>90.570999999999998</c:v>
                </c:pt>
                <c:pt idx="1">
                  <c:v>69.7</c:v>
                </c:pt>
                <c:pt idx="2" formatCode="General">
                  <c:v>75.2</c:v>
                </c:pt>
                <c:pt idx="3" formatCode="General">
                  <c:v>66.7</c:v>
                </c:pt>
                <c:pt idx="4" formatCode="General">
                  <c:v>68.900000000000006</c:v>
                </c:pt>
              </c:numCache>
            </c:numRef>
          </c:val>
        </c:ser>
        <c:ser>
          <c:idx val="2"/>
          <c:order val="2"/>
          <c:tx>
            <c:strRef>
              <c:f>Лист1!$J$8</c:f>
              <c:strCache>
                <c:ptCount val="1"/>
                <c:pt idx="0">
                  <c:v>громадяни України, які виїжджали за кордон</c:v>
                </c:pt>
              </c:strCache>
            </c:strRef>
          </c:tx>
          <c:spPr>
            <a:ln w="38100">
              <a:solidFill>
                <a:srgbClr val="FF0000"/>
              </a:solidFill>
            </a:ln>
          </c:spPr>
          <c:marker>
            <c:symbol val="triangle"/>
            <c:size val="8"/>
            <c:spPr>
              <a:solidFill>
                <a:srgbClr val="FFFF00"/>
              </a:solidFill>
              <a:ln>
                <a:solidFill>
                  <a:srgbClr val="FF0000"/>
                </a:solidFill>
              </a:ln>
            </c:spPr>
          </c:marker>
          <c:dLbls>
            <c:dLbl>
              <c:idx val="0"/>
              <c:layout>
                <c:manualLayout>
                  <c:x val="-0.11980664930920576"/>
                  <c:y val="-6.3339375423594694E-3"/>
                </c:manualLayout>
              </c:layout>
              <c:dLblPos val="r"/>
              <c:showVal val="1"/>
            </c:dLbl>
            <c:dLbl>
              <c:idx val="1"/>
              <c:layout>
                <c:manualLayout>
                  <c:x val="-7.1655446775841167E-2"/>
                  <c:y val="4.3821434001117113E-2"/>
                </c:manualLayout>
              </c:layout>
              <c:dLblPos val="r"/>
              <c:showVal val="1"/>
            </c:dLbl>
            <c:dLbl>
              <c:idx val="2"/>
              <c:layout>
                <c:manualLayout>
                  <c:x val="-4.9081538456392723E-2"/>
                  <c:y val="5.2197163414483529E-2"/>
                </c:manualLayout>
              </c:layout>
              <c:dLblPos val="r"/>
              <c:showVal val="1"/>
            </c:dLbl>
            <c:dLbl>
              <c:idx val="3"/>
              <c:layout>
                <c:manualLayout>
                  <c:x val="-5.1518632634688824E-2"/>
                  <c:y val="-6.6769603018372703E-2"/>
                </c:manualLayout>
              </c:layout>
              <c:dLblPos val="r"/>
              <c:showVal val="1"/>
            </c:dLbl>
            <c:dLbl>
              <c:idx val="4"/>
              <c:layout>
                <c:manualLayout>
                  <c:x val="-1.6805508007151609E-3"/>
                  <c:y val="-3.0113188976377991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Лист1!$K$8:$O$8</c:f>
              <c:numCache>
                <c:formatCode>0.0</c:formatCode>
                <c:ptCount val="5"/>
                <c:pt idx="0">
                  <c:v>61.760000000000012</c:v>
                </c:pt>
                <c:pt idx="1">
                  <c:v>50.2</c:v>
                </c:pt>
                <c:pt idx="2">
                  <c:v>60.5</c:v>
                </c:pt>
                <c:pt idx="3">
                  <c:v>84</c:v>
                </c:pt>
                <c:pt idx="4">
                  <c:v>93.5</c:v>
                </c:pt>
              </c:numCache>
            </c:numRef>
          </c:val>
        </c:ser>
        <c:ser>
          <c:idx val="3"/>
          <c:order val="3"/>
          <c:tx>
            <c:strRef>
              <c:f>Лист1!$J$9</c:f>
              <c:strCache>
                <c:ptCount val="1"/>
                <c:pt idx="0">
                  <c:v>іноземні туристи</c:v>
                </c:pt>
              </c:strCache>
            </c:strRef>
          </c:tx>
          <c:spPr>
            <a:ln w="38100">
              <a:solidFill>
                <a:srgbClr val="006600"/>
              </a:solidFill>
            </a:ln>
          </c:spPr>
          <c:marker>
            <c:symbol val="circle"/>
            <c:size val="8"/>
            <c:spPr>
              <a:solidFill>
                <a:schemeClr val="bg1"/>
              </a:solidFill>
              <a:ln>
                <a:solidFill>
                  <a:srgbClr val="006600"/>
                </a:solidFill>
              </a:ln>
            </c:spPr>
          </c:marker>
          <c:dLbls>
            <c:dLbl>
              <c:idx val="0"/>
              <c:layout>
                <c:manualLayout>
                  <c:x val="-9.9931076931212767E-2"/>
                  <c:y val="-4.0951902097236294E-2"/>
                </c:manualLayout>
              </c:layout>
              <c:dLblPos val="r"/>
              <c:showVal val="1"/>
            </c:dLbl>
            <c:dLbl>
              <c:idx val="1"/>
              <c:layout>
                <c:manualLayout>
                  <c:x val="-4.4441355404537475E-2"/>
                  <c:y val="-6.1261826454224087E-2"/>
                </c:manualLayout>
              </c:layout>
              <c:dLblPos val="r"/>
              <c:showVal val="1"/>
            </c:dLbl>
            <c:dLbl>
              <c:idx val="2"/>
              <c:layout>
                <c:manualLayout>
                  <c:x val="-3.9605976654630642E-2"/>
                  <c:y val="-4.1096664541677923E-2"/>
                </c:manualLayout>
              </c:layout>
              <c:dLblPos val="r"/>
              <c:showVal val="1"/>
            </c:dLbl>
            <c:dLbl>
              <c:idx val="3"/>
              <c:layout>
                <c:manualLayout>
                  <c:x val="-4.6494381594726124E-2"/>
                  <c:y val="-4.2848132800069841E-2"/>
                </c:manualLayout>
              </c:layout>
              <c:dLblPos val="r"/>
              <c:showVal val="1"/>
            </c:dLbl>
            <c:dLbl>
              <c:idx val="4"/>
              <c:layout>
                <c:manualLayout>
                  <c:x val="-3.4762321376494605E-3"/>
                  <c:y val="-3.7864993438320692E-2"/>
                </c:manualLayout>
              </c:layout>
              <c:dLblPos val="r"/>
              <c:showVal val="1"/>
            </c:dLbl>
            <c:dLbl>
              <c:idx val="5"/>
              <c:layout>
                <c:manualLayout>
                  <c:xMode val="edge"/>
                  <c:yMode val="edge"/>
                  <c:x val="0.82598607888631059"/>
                  <c:y val="0.67553191489361764"/>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Лист1!$K$9:$O$9</c:f>
              <c:numCache>
                <c:formatCode>0.0</c:formatCode>
                <c:ptCount val="5"/>
                <c:pt idx="0">
                  <c:v>3.5379999999999998</c:v>
                </c:pt>
                <c:pt idx="1">
                  <c:v>3.1</c:v>
                </c:pt>
                <c:pt idx="2" formatCode="General">
                  <c:v>3.1</c:v>
                </c:pt>
                <c:pt idx="3" formatCode="General">
                  <c:v>1.7</c:v>
                </c:pt>
                <c:pt idx="4" formatCode="General">
                  <c:v>5.4</c:v>
                </c:pt>
              </c:numCache>
            </c:numRef>
          </c:val>
        </c:ser>
        <c:dLbls>
          <c:showVal val="1"/>
        </c:dLbls>
        <c:marker val="1"/>
        <c:axId val="178334720"/>
        <c:axId val="178361088"/>
      </c:lineChart>
      <c:catAx>
        <c:axId val="17833472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78361088"/>
        <c:crosses val="autoZero"/>
        <c:auto val="1"/>
        <c:lblAlgn val="ctr"/>
        <c:lblOffset val="100"/>
        <c:tickLblSkip val="1"/>
        <c:tickMarkSkip val="1"/>
      </c:catAx>
      <c:valAx>
        <c:axId val="178361088"/>
        <c:scaling>
          <c:orientation val="minMax"/>
        </c:scaling>
        <c:delete val="1"/>
        <c:axPos val="l"/>
        <c:numFmt formatCode="0.0" sourceLinked="1"/>
        <c:tickLblPos val="nextTo"/>
        <c:crossAx val="178334720"/>
        <c:crosses val="autoZero"/>
        <c:crossBetween val="between"/>
      </c:valAx>
      <c:spPr>
        <a:noFill/>
        <a:ln w="25422">
          <a:noFill/>
        </a:ln>
      </c:spPr>
    </c:plotArea>
    <c:legend>
      <c:legendPos val="r"/>
      <c:layout>
        <c:manualLayout>
          <c:xMode val="edge"/>
          <c:yMode val="edge"/>
          <c:x val="3.0202957303604411E-2"/>
          <c:y val="0.7102378608923885"/>
          <c:w val="0.95042436527117369"/>
          <c:h val="0.25490034448817978"/>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2905623695999591"/>
          <c:w val="1"/>
          <c:h val="0.53260132073804367"/>
        </c:manualLayout>
      </c:layout>
      <c:lineChart>
        <c:grouping val="standard"/>
        <c:ser>
          <c:idx val="0"/>
          <c:order val="0"/>
          <c:tx>
            <c:strRef>
              <c:f>Лист1!$A$3</c:f>
              <c:strCache>
                <c:ptCount val="1"/>
                <c:pt idx="0">
                  <c:v>кількість населення, яке займається фізичною культурою і спортом</c:v>
                </c:pt>
              </c:strCache>
            </c:strRef>
          </c:tx>
          <c:spPr>
            <a:ln w="38100"/>
          </c:spPr>
          <c:marker>
            <c:symbol val="diamond"/>
            <c:size val="9"/>
          </c:marker>
          <c:dLbls>
            <c:dLbl>
              <c:idx val="0"/>
              <c:layout>
                <c:manualLayout>
                  <c:x val="-8.798676027565519E-2"/>
                  <c:y val="-0.10346645518231112"/>
                </c:manualLayout>
              </c:layout>
              <c:dLblPos val="r"/>
              <c:showVal val="1"/>
            </c:dLbl>
            <c:dLbl>
              <c:idx val="1"/>
              <c:layout>
                <c:manualLayout>
                  <c:x val="-7.1955872379857247E-2"/>
                  <c:y val="-0.12179577029312595"/>
                </c:manualLayout>
              </c:layout>
              <c:dLblPos val="r"/>
              <c:showVal val="1"/>
            </c:dLbl>
            <c:dLbl>
              <c:idx val="2"/>
              <c:layout>
                <c:manualLayout>
                  <c:x val="-7.2445862906189956E-2"/>
                  <c:y val="-8.6995277422782888E-2"/>
                </c:manualLayout>
              </c:layout>
              <c:dLblPos val="r"/>
              <c:showVal val="1"/>
            </c:dLbl>
            <c:dLbl>
              <c:idx val="3"/>
              <c:layout>
                <c:manualLayout>
                  <c:x val="-7.5756210947013819E-2"/>
                  <c:y val="-7.4074379446024782E-2"/>
                </c:manualLayout>
              </c:layout>
              <c:dLblPos val="r"/>
              <c:showVal val="1"/>
            </c:dLbl>
            <c:dLbl>
              <c:idx val="4"/>
              <c:layout>
                <c:manualLayout>
                  <c:x val="-5.6780661293078113E-2"/>
                  <c:y val="-8.5523995364468974E-2"/>
                </c:manualLayout>
              </c:layout>
              <c:dLblPos val="r"/>
              <c:showVal val="1"/>
            </c:dLbl>
            <c:dLbl>
              <c:idx val="5"/>
              <c:layout>
                <c:manualLayout>
                  <c:xMode val="edge"/>
                  <c:yMode val="edge"/>
                  <c:x val="0.35987590486044868"/>
                  <c:y val="1.0169491525423728E-2"/>
                </c:manualLayout>
              </c:layout>
              <c:dLblPos val="r"/>
              <c:showVal val="1"/>
            </c:dLbl>
            <c:dLbl>
              <c:idx val="6"/>
              <c:layout>
                <c:manualLayout>
                  <c:xMode val="edge"/>
                  <c:yMode val="edge"/>
                  <c:x val="0.26783867631851088"/>
                  <c:y val="2.0338983050847428E-2"/>
                </c:manualLayout>
              </c:layout>
              <c:dLblPos val="r"/>
              <c:showVal val="1"/>
            </c:dLbl>
            <c:dLbl>
              <c:idx val="7"/>
              <c:layout>
                <c:manualLayout>
                  <c:xMode val="edge"/>
                  <c:yMode val="edge"/>
                  <c:x val="0.30196483971051075"/>
                  <c:y val="1.0169491525423728E-2"/>
                </c:manualLayout>
              </c:layout>
              <c:dLblPos val="r"/>
              <c:showVal val="1"/>
            </c:dLbl>
            <c:dLbl>
              <c:idx val="8"/>
              <c:layout>
                <c:manualLayout>
                  <c:xMode val="edge"/>
                  <c:yMode val="edge"/>
                  <c:x val="0.34126163391933817"/>
                  <c:y val="5.0847457627119013E-3"/>
                </c:manualLayout>
              </c:layout>
              <c:dLblPos val="r"/>
              <c:showVal val="1"/>
            </c:dLbl>
            <c:dLbl>
              <c:idx val="9"/>
              <c:layout>
                <c:manualLayout>
                  <c:xMode val="edge"/>
                  <c:yMode val="edge"/>
                  <c:x val="0.39089968976221329"/>
                  <c:y val="3.0508474576271191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2008</c:v>
                </c:pt>
                <c:pt idx="1">
                  <c:v>2009</c:v>
                </c:pt>
                <c:pt idx="2">
                  <c:v>2010</c:v>
                </c:pt>
                <c:pt idx="3">
                  <c:v>2011</c:v>
                </c:pt>
                <c:pt idx="4">
                  <c:v>2012 очік.</c:v>
                </c:pt>
              </c:strCache>
            </c:strRef>
          </c:cat>
          <c:val>
            <c:numRef>
              <c:f>Лист1!$B$3:$F$3</c:f>
              <c:numCache>
                <c:formatCode>General</c:formatCode>
                <c:ptCount val="5"/>
                <c:pt idx="0" formatCode="0.0">
                  <c:v>770</c:v>
                </c:pt>
                <c:pt idx="1">
                  <c:v>745.7</c:v>
                </c:pt>
                <c:pt idx="2">
                  <c:v>739.3</c:v>
                </c:pt>
                <c:pt idx="3">
                  <c:v>741.1</c:v>
                </c:pt>
                <c:pt idx="4">
                  <c:v>741.7</c:v>
                </c:pt>
              </c:numCache>
            </c:numRef>
          </c:val>
        </c:ser>
        <c:dLbls>
          <c:showVal val="1"/>
        </c:dLbls>
        <c:marker val="1"/>
        <c:axId val="178569984"/>
        <c:axId val="178571520"/>
      </c:lineChart>
      <c:catAx>
        <c:axId val="178569984"/>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78571520"/>
        <c:crosses val="autoZero"/>
        <c:auto val="1"/>
        <c:lblAlgn val="ctr"/>
        <c:lblOffset val="100"/>
        <c:tickLblSkip val="1"/>
        <c:tickMarkSkip val="1"/>
      </c:catAx>
      <c:valAx>
        <c:axId val="178571520"/>
        <c:scaling>
          <c:orientation val="minMax"/>
          <c:max val="800"/>
          <c:min val="500"/>
        </c:scaling>
        <c:delete val="1"/>
        <c:axPos val="l"/>
        <c:numFmt formatCode="0.0" sourceLinked="1"/>
        <c:tickLblPos val="nextTo"/>
        <c:crossAx val="178569984"/>
        <c:crosses val="autoZero"/>
        <c:crossBetween val="between"/>
        <c:majorUnit val="20"/>
      </c:valAx>
    </c:plotArea>
    <c:plotVisOnly val="1"/>
    <c:dispBlanksAs val="gap"/>
  </c:chart>
  <c:spPr>
    <a:noFill/>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6966794998292934E-2"/>
          <c:y val="3.8730158730158732E-3"/>
          <c:w val="0.94278606965174128"/>
          <c:h val="0.78250674145179056"/>
        </c:manualLayout>
      </c:layout>
      <c:barChart>
        <c:barDir val="col"/>
        <c:grouping val="clustered"/>
        <c:ser>
          <c:idx val="1"/>
          <c:order val="0"/>
          <c:tx>
            <c:strRef>
              <c:f>Лист3!$A$62</c:f>
              <c:strCache>
                <c:ptCount val="1"/>
                <c:pt idx="0">
                  <c:v>Донецька область</c:v>
                </c:pt>
              </c:strCache>
            </c:strRef>
          </c:tx>
          <c:spPr>
            <a:solidFill>
              <a:srgbClr val="006666"/>
            </a:solidFill>
          </c:spPr>
          <c:dLbls>
            <c:dLbl>
              <c:idx val="0"/>
              <c:layout>
                <c:manualLayout>
                  <c:x val="-8.0004748668955747E-6"/>
                  <c:y val="0"/>
                </c:manualLayout>
              </c:layout>
              <c:dLblPos val="outEnd"/>
              <c:showVal val="1"/>
            </c:dLbl>
            <c:dLbl>
              <c:idx val="1"/>
              <c:layout>
                <c:manualLayout>
                  <c:x val="-4.9035168539035933E-6"/>
                  <c:y val="-7.3583517292127934E-3"/>
                </c:manualLayout>
              </c:layout>
              <c:dLblPos val="outEnd"/>
              <c:showVal val="1"/>
            </c:dLbl>
            <c:dLbl>
              <c:idx val="2"/>
              <c:layout>
                <c:manualLayout>
                  <c:x val="-9.5489538733911956E-6"/>
                  <c:y val="7.3583517292127934E-3"/>
                </c:manualLayout>
              </c:layout>
              <c:dLblPos val="outEnd"/>
              <c:showVal val="1"/>
            </c:dLbl>
            <c:dLbl>
              <c:idx val="3"/>
              <c:layout>
                <c:manualLayout>
                  <c:x val="6.5520065520065516E-3"/>
                  <c:y val="5.2231115520100244E-17"/>
                </c:manualLayout>
              </c:layout>
              <c:dLblPos val="outEnd"/>
              <c:showVal val="1"/>
            </c:dLbl>
            <c:numFmt formatCode="0" sourceLinked="0"/>
            <c:txPr>
              <a:bodyPr/>
              <a:lstStyle/>
              <a:p>
                <a:pPr>
                  <a:defRPr b="1">
                    <a:latin typeface="Times New Roman" pitchFamily="18" charset="0"/>
                    <a:cs typeface="Times New Roman" pitchFamily="18" charset="0"/>
                  </a:defRPr>
                </a:pPr>
                <a:endParaRPr lang="ru-RU"/>
              </a:p>
            </c:txPr>
            <c:showVal val="1"/>
          </c:dLbls>
          <c:cat>
            <c:numRef>
              <c:f>Лист3!$B$61:$E$61</c:f>
              <c:numCache>
                <c:formatCode>General</c:formatCode>
                <c:ptCount val="4"/>
                <c:pt idx="0">
                  <c:v>2008</c:v>
                </c:pt>
                <c:pt idx="1">
                  <c:v>2009</c:v>
                </c:pt>
                <c:pt idx="2">
                  <c:v>2010</c:v>
                </c:pt>
                <c:pt idx="3">
                  <c:v>2011</c:v>
                </c:pt>
              </c:numCache>
            </c:numRef>
          </c:cat>
          <c:val>
            <c:numRef>
              <c:f>Лист3!$B$62:$E$62</c:f>
              <c:numCache>
                <c:formatCode>0</c:formatCode>
                <c:ptCount val="4"/>
                <c:pt idx="0">
                  <c:v>1767.2</c:v>
                </c:pt>
                <c:pt idx="1">
                  <c:v>1513.3</c:v>
                </c:pt>
                <c:pt idx="2">
                  <c:v>1589.9</c:v>
                </c:pt>
                <c:pt idx="3">
                  <c:v>1729.3</c:v>
                </c:pt>
              </c:numCache>
            </c:numRef>
          </c:val>
        </c:ser>
        <c:dLbls>
          <c:showVal val="1"/>
        </c:dLbls>
        <c:axId val="178548736"/>
        <c:axId val="178550272"/>
      </c:barChart>
      <c:lineChart>
        <c:grouping val="standard"/>
        <c:ser>
          <c:idx val="2"/>
          <c:order val="1"/>
          <c:tx>
            <c:strRef>
              <c:f>Лист3!$A$63</c:f>
              <c:strCache>
                <c:ptCount val="1"/>
                <c:pt idx="0">
                  <c:v>Питома вага області у загальноукраїнському показнику, %</c:v>
                </c:pt>
              </c:strCache>
            </c:strRef>
          </c:tx>
          <c:spPr>
            <a:ln w="38077">
              <a:solidFill>
                <a:srgbClr val="C00000"/>
              </a:solidFill>
            </a:ln>
          </c:spPr>
          <c:marker>
            <c:spPr>
              <a:ln>
                <a:solidFill>
                  <a:srgbClr val="C00000"/>
                </a:solidFill>
              </a:ln>
            </c:spPr>
          </c:marker>
          <c:dLbls>
            <c:dLbl>
              <c:idx val="0"/>
              <c:layout>
                <c:manualLayout>
                  <c:x val="-5.5692313645069554E-2"/>
                  <c:y val="-8.7423572053493367E-2"/>
                </c:manualLayout>
              </c:layout>
              <c:dLblPos val="r"/>
              <c:showVal val="1"/>
            </c:dLbl>
            <c:dLbl>
              <c:idx val="1"/>
              <c:layout>
                <c:manualLayout>
                  <c:x val="-6.5520065520065507E-2"/>
                  <c:y val="-7.6027996500437484E-2"/>
                </c:manualLayout>
              </c:layout>
              <c:dLblPos val="r"/>
              <c:showVal val="1"/>
            </c:dLbl>
            <c:dLbl>
              <c:idx val="2"/>
              <c:layout>
                <c:manualLayout>
                  <c:x val="-5.8968058968058956E-2"/>
                  <c:y val="-8.1725784276965349E-2"/>
                </c:manualLayout>
              </c:layout>
              <c:dLblPos val="r"/>
              <c:showVal val="1"/>
            </c:dLbl>
            <c:dLbl>
              <c:idx val="3"/>
              <c:layout>
                <c:manualLayout>
                  <c:x val="-6.2244320197076097E-2"/>
                  <c:y val="-8.1725784276965349E-2"/>
                </c:manualLayout>
              </c:layout>
              <c:dLblPos val="r"/>
              <c:showVal val="1"/>
            </c:dLbl>
            <c:txPr>
              <a:bodyPr/>
              <a:lstStyle/>
              <a:p>
                <a:pPr>
                  <a:defRPr b="1">
                    <a:solidFill>
                      <a:schemeClr val="bg1"/>
                    </a:solidFill>
                    <a:latin typeface="Times New Roman" pitchFamily="18" charset="0"/>
                    <a:cs typeface="Times New Roman" pitchFamily="18" charset="0"/>
                  </a:defRPr>
                </a:pPr>
                <a:endParaRPr lang="ru-RU"/>
              </a:p>
            </c:txPr>
            <c:showVal val="1"/>
          </c:dLbls>
          <c:cat>
            <c:numRef>
              <c:f>Лист3!$B$61:$E$61</c:f>
              <c:numCache>
                <c:formatCode>General</c:formatCode>
                <c:ptCount val="4"/>
                <c:pt idx="0">
                  <c:v>2008</c:v>
                </c:pt>
                <c:pt idx="1">
                  <c:v>2009</c:v>
                </c:pt>
                <c:pt idx="2">
                  <c:v>2010</c:v>
                </c:pt>
                <c:pt idx="3">
                  <c:v>2011</c:v>
                </c:pt>
              </c:numCache>
            </c:numRef>
          </c:cat>
          <c:val>
            <c:numRef>
              <c:f>Лист3!$B$63:$E$63</c:f>
              <c:numCache>
                <c:formatCode>0.0</c:formatCode>
                <c:ptCount val="4"/>
                <c:pt idx="0">
                  <c:v>24.50938241127276</c:v>
                </c:pt>
                <c:pt idx="1">
                  <c:v>23.487870368933226</c:v>
                </c:pt>
                <c:pt idx="2">
                  <c:v>23.808026355196169</c:v>
                </c:pt>
                <c:pt idx="3">
                  <c:v>25.1</c:v>
                </c:pt>
              </c:numCache>
            </c:numRef>
          </c:val>
        </c:ser>
        <c:dLbls>
          <c:showVal val="1"/>
        </c:dLbls>
        <c:marker val="1"/>
        <c:axId val="178551808"/>
        <c:axId val="178787072"/>
      </c:lineChart>
      <c:catAx>
        <c:axId val="178548736"/>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78550272"/>
        <c:crosses val="autoZero"/>
        <c:auto val="1"/>
        <c:lblAlgn val="ctr"/>
        <c:lblOffset val="100"/>
        <c:tickLblSkip val="1"/>
        <c:tickMarkSkip val="1"/>
      </c:catAx>
      <c:valAx>
        <c:axId val="178550272"/>
        <c:scaling>
          <c:orientation val="minMax"/>
          <c:max val="2200"/>
        </c:scaling>
        <c:axPos val="l"/>
        <c:numFmt formatCode="0" sourceLinked="1"/>
        <c:tickLblPos val="nextTo"/>
        <c:spPr>
          <a:noFill/>
          <a:ln>
            <a:noFill/>
          </a:ln>
        </c:spPr>
        <c:txPr>
          <a:bodyPr/>
          <a:lstStyle/>
          <a:p>
            <a:pPr>
              <a:defRPr sz="100">
                <a:solidFill>
                  <a:schemeClr val="bg1"/>
                </a:solidFill>
              </a:defRPr>
            </a:pPr>
            <a:endParaRPr lang="ru-RU"/>
          </a:p>
        </c:txPr>
        <c:crossAx val="178548736"/>
        <c:crosses val="autoZero"/>
        <c:crossBetween val="between"/>
      </c:valAx>
      <c:catAx>
        <c:axId val="178551808"/>
        <c:scaling>
          <c:orientation val="minMax"/>
        </c:scaling>
        <c:delete val="1"/>
        <c:axPos val="b"/>
        <c:numFmt formatCode="General" sourceLinked="1"/>
        <c:tickLblPos val="nextTo"/>
        <c:crossAx val="178787072"/>
        <c:crosses val="autoZero"/>
        <c:auto val="1"/>
        <c:lblAlgn val="ctr"/>
        <c:lblOffset val="100"/>
      </c:catAx>
      <c:valAx>
        <c:axId val="178787072"/>
        <c:scaling>
          <c:orientation val="minMax"/>
          <c:max val="40"/>
          <c:min val="10"/>
        </c:scaling>
        <c:axPos val="r"/>
        <c:numFmt formatCode="0.0" sourceLinked="1"/>
        <c:tickLblPos val="nextTo"/>
        <c:spPr>
          <a:ln>
            <a:noFill/>
          </a:ln>
        </c:spPr>
        <c:txPr>
          <a:bodyPr/>
          <a:lstStyle/>
          <a:p>
            <a:pPr>
              <a:defRPr sz="100">
                <a:solidFill>
                  <a:schemeClr val="bg1"/>
                </a:solidFill>
              </a:defRPr>
            </a:pPr>
            <a:endParaRPr lang="ru-RU"/>
          </a:p>
        </c:txPr>
        <c:crossAx val="178551808"/>
        <c:crosses val="max"/>
        <c:crossBetween val="between"/>
      </c:valAx>
    </c:plotArea>
    <c:legend>
      <c:legendPos val="b"/>
      <c:legendEntry>
        <c:idx val="0"/>
        <c:delete val="1"/>
      </c:legendEntry>
      <c:layout>
        <c:manualLayout>
          <c:xMode val="edge"/>
          <c:yMode val="edge"/>
          <c:x val="0"/>
          <c:y val="0.87414099553352775"/>
          <c:w val="0.99505318762104356"/>
          <c:h val="0.1258590044665465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334153138797841"/>
          <c:y val="6.2584665642837503E-2"/>
          <c:w val="0.75822228205363862"/>
          <c:h val="0.50629433017603354"/>
        </c:manualLayout>
      </c:layout>
      <c:barChart>
        <c:barDir val="col"/>
        <c:grouping val="stacked"/>
        <c:ser>
          <c:idx val="0"/>
          <c:order val="0"/>
          <c:tx>
            <c:strRef>
              <c:f>Лист1!$A$2</c:f>
              <c:strCache>
                <c:ptCount val="1"/>
                <c:pt idx="0">
                  <c:v>у тому числі забруднених зворотних </c:v>
                </c:pt>
              </c:strCache>
            </c:strRef>
          </c:tx>
          <c:spPr>
            <a:solidFill>
              <a:schemeClr val="bg2">
                <a:lumMod val="25000"/>
              </a:schemeClr>
            </a:solidFill>
            <a:ln>
              <a:solidFill>
                <a:schemeClr val="tx1"/>
              </a:solidFill>
            </a:ln>
          </c:spPr>
          <c:dLbls>
            <c:txPr>
              <a:bodyPr/>
              <a:lstStyle/>
              <a:p>
                <a:pPr>
                  <a:defRPr b="1">
                    <a:solidFill>
                      <a:schemeClr val="bg1"/>
                    </a:solidFill>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Лист1!$B$2:$E$2</c:f>
              <c:numCache>
                <c:formatCode>General</c:formatCode>
                <c:ptCount val="4"/>
                <c:pt idx="0">
                  <c:v>615</c:v>
                </c:pt>
                <c:pt idx="1">
                  <c:v>531</c:v>
                </c:pt>
                <c:pt idx="2">
                  <c:v>550</c:v>
                </c:pt>
                <c:pt idx="3">
                  <c:v>554</c:v>
                </c:pt>
              </c:numCache>
            </c:numRef>
          </c:val>
        </c:ser>
        <c:ser>
          <c:idx val="1"/>
          <c:order val="1"/>
          <c:tx>
            <c:strRef>
              <c:f>Лист1!$A$3</c:f>
              <c:strCache>
                <c:ptCount val="1"/>
                <c:pt idx="0">
                  <c:v>Відведення зворотних вод (стічних) вод, всього</c:v>
                </c:pt>
              </c:strCache>
            </c:strRef>
          </c:tx>
          <c:spPr>
            <a:solidFill>
              <a:schemeClr val="bg2">
                <a:lumMod val="75000"/>
              </a:schemeClr>
            </a:solidFill>
            <a:ln>
              <a:solidFill>
                <a:sysClr val="windowText" lastClr="000000"/>
              </a:solidFill>
            </a:ln>
          </c:spPr>
          <c:dLbls>
            <c:dLbl>
              <c:idx val="0"/>
              <c:layout>
                <c:manualLayout>
                  <c:x val="0"/>
                  <c:y val="-0.11360239162929738"/>
                </c:manualLayout>
              </c:layout>
              <c:tx>
                <c:rich>
                  <a:bodyPr/>
                  <a:lstStyle/>
                  <a:p>
                    <a:r>
                      <a:rPr lang="uk-UA"/>
                      <a:t>1546</a:t>
                    </a:r>
                    <a:endParaRPr lang="en-US"/>
                  </a:p>
                </c:rich>
              </c:tx>
              <c:dLblPos val="inEnd"/>
              <c:showVal val="1"/>
            </c:dLbl>
            <c:dLbl>
              <c:idx val="1"/>
              <c:layout>
                <c:manualLayout>
                  <c:x val="0"/>
                  <c:y val="-0.14349775784754124"/>
                </c:manualLayout>
              </c:layout>
              <c:tx>
                <c:rich>
                  <a:bodyPr/>
                  <a:lstStyle/>
                  <a:p>
                    <a:r>
                      <a:rPr lang="uk-UA"/>
                      <a:t>1232</a:t>
                    </a:r>
                    <a:endParaRPr lang="en-US"/>
                  </a:p>
                </c:rich>
              </c:tx>
              <c:dLblPos val="inEnd"/>
              <c:showVal val="1"/>
            </c:dLbl>
            <c:dLbl>
              <c:idx val="2"/>
              <c:layout>
                <c:manualLayout>
                  <c:x val="0"/>
                  <c:y val="-0.11360239162929738"/>
                </c:manualLayout>
              </c:layout>
              <c:tx>
                <c:rich>
                  <a:bodyPr/>
                  <a:lstStyle/>
                  <a:p>
                    <a:r>
                      <a:rPr lang="uk-UA"/>
                      <a:t>1503</a:t>
                    </a:r>
                    <a:endParaRPr lang="en-US"/>
                  </a:p>
                </c:rich>
              </c:tx>
              <c:dLblPos val="inEnd"/>
              <c:showVal val="1"/>
            </c:dLbl>
            <c:dLbl>
              <c:idx val="3"/>
              <c:layout>
                <c:manualLayout>
                  <c:x val="0"/>
                  <c:y val="-0.11958146487294465"/>
                </c:manualLayout>
              </c:layout>
              <c:tx>
                <c:rich>
                  <a:bodyPr/>
                  <a:lstStyle/>
                  <a:p>
                    <a:r>
                      <a:rPr lang="uk-UA"/>
                      <a:t>1529</a:t>
                    </a:r>
                    <a:endParaRPr lang="en-US"/>
                  </a:p>
                </c:rich>
              </c:tx>
              <c:dLblPos val="inEnd"/>
              <c:showVal val="1"/>
            </c:dLbl>
            <c:txPr>
              <a:bodyPr/>
              <a:lstStyle/>
              <a:p>
                <a:pPr>
                  <a:defRPr b="1">
                    <a:latin typeface="Times New Roman" pitchFamily="18" charset="0"/>
                    <a:cs typeface="Times New Roman" pitchFamily="18" charset="0"/>
                  </a:defRPr>
                </a:pPr>
                <a:endParaRPr lang="ru-RU"/>
              </a:p>
            </c:txPr>
            <c:dLblPos val="inEnd"/>
            <c:showVal val="1"/>
          </c:dLbls>
          <c:cat>
            <c:strRef>
              <c:f>Лист1!$B$1:$E$1</c:f>
              <c:strCache>
                <c:ptCount val="4"/>
                <c:pt idx="0">
                  <c:v>2008</c:v>
                </c:pt>
                <c:pt idx="1">
                  <c:v>2009</c:v>
                </c:pt>
                <c:pt idx="2">
                  <c:v>2010</c:v>
                </c:pt>
                <c:pt idx="3">
                  <c:v>2011</c:v>
                </c:pt>
              </c:strCache>
            </c:strRef>
          </c:cat>
          <c:val>
            <c:numRef>
              <c:f>Лист1!$B$3:$E$3</c:f>
              <c:numCache>
                <c:formatCode>General</c:formatCode>
                <c:ptCount val="4"/>
                <c:pt idx="0">
                  <c:v>929</c:v>
                </c:pt>
                <c:pt idx="1">
                  <c:v>699</c:v>
                </c:pt>
                <c:pt idx="2">
                  <c:v>953</c:v>
                </c:pt>
                <c:pt idx="3">
                  <c:v>975</c:v>
                </c:pt>
              </c:numCache>
            </c:numRef>
          </c:val>
        </c:ser>
        <c:overlap val="100"/>
        <c:axId val="178917760"/>
        <c:axId val="178919296"/>
      </c:barChart>
      <c:lineChart>
        <c:grouping val="standard"/>
        <c:ser>
          <c:idx val="2"/>
          <c:order val="2"/>
          <c:tx>
            <c:strRef>
              <c:f>Лист1!$A$4</c:f>
              <c:strCache>
                <c:ptCount val="1"/>
              </c:strCache>
            </c:strRef>
          </c:tx>
          <c:spPr>
            <a:ln>
              <a:solidFill>
                <a:schemeClr val="accent4">
                  <a:lumMod val="50000"/>
                </a:schemeClr>
              </a:solidFill>
            </a:ln>
          </c:spPr>
          <c:marker>
            <c:spPr>
              <a:solidFill>
                <a:srgbClr val="FF0000"/>
              </a:solidFill>
              <a:ln>
                <a:solidFill>
                  <a:srgbClr val="8064A2">
                    <a:lumMod val="50000"/>
                  </a:srgbClr>
                </a:solidFill>
              </a:ln>
            </c:spPr>
          </c:marker>
          <c:dLbls>
            <c:dLbl>
              <c:idx val="0"/>
              <c:layout>
                <c:manualLayout>
                  <c:x val="-5.5893473614992834E-2"/>
                  <c:y val="-7.1748878923766815E-2"/>
                </c:manualLayout>
              </c:layout>
              <c:showVal val="1"/>
            </c:dLbl>
            <c:dLbl>
              <c:idx val="1"/>
              <c:layout>
                <c:manualLayout>
                  <c:x val="-5.5893473614992834E-2"/>
                  <c:y val="-4.1853512705530622E-2"/>
                </c:manualLayout>
              </c:layout>
              <c:showVal val="1"/>
            </c:dLbl>
            <c:dLbl>
              <c:idx val="2"/>
              <c:layout>
                <c:manualLayout>
                  <c:x val="-5.9181325004109817E-2"/>
                  <c:y val="-6.5769805680119586E-2"/>
                </c:manualLayout>
              </c:layout>
              <c:showVal val="1"/>
            </c:dLbl>
            <c:dLbl>
              <c:idx val="3"/>
              <c:layout>
                <c:manualLayout>
                  <c:x val="-5.5893473614992834E-2"/>
                  <c:y val="-7.17488789237668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Лист1!$B$4:$E$4</c:f>
              <c:numCache>
                <c:formatCode>0.0</c:formatCode>
                <c:ptCount val="4"/>
                <c:pt idx="0">
                  <c:v>22.543988269794731</c:v>
                </c:pt>
                <c:pt idx="1">
                  <c:v>30.067950169875935</c:v>
                </c:pt>
                <c:pt idx="2">
                  <c:v>31.536697247706424</c:v>
                </c:pt>
                <c:pt idx="3">
                  <c:v>34.4</c:v>
                </c:pt>
              </c:numCache>
            </c:numRef>
          </c:val>
        </c:ser>
        <c:marker val="1"/>
        <c:axId val="178939008"/>
        <c:axId val="178920832"/>
      </c:lineChart>
      <c:catAx>
        <c:axId val="178917760"/>
        <c:scaling>
          <c:orientation val="minMax"/>
        </c:scaling>
        <c:axPos val="b"/>
        <c:tickLblPos val="nextTo"/>
        <c:txPr>
          <a:bodyPr/>
          <a:lstStyle/>
          <a:p>
            <a:pPr>
              <a:defRPr>
                <a:latin typeface="Times New Roman" pitchFamily="18" charset="0"/>
                <a:cs typeface="Times New Roman" pitchFamily="18" charset="0"/>
              </a:defRPr>
            </a:pPr>
            <a:endParaRPr lang="ru-RU"/>
          </a:p>
        </c:txPr>
        <c:crossAx val="178919296"/>
        <c:crosses val="autoZero"/>
        <c:auto val="1"/>
        <c:lblAlgn val="ctr"/>
        <c:lblOffset val="100"/>
      </c:catAx>
      <c:valAx>
        <c:axId val="178919296"/>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78917760"/>
        <c:crosses val="autoZero"/>
        <c:crossBetween val="between"/>
      </c:valAx>
      <c:valAx>
        <c:axId val="178920832"/>
        <c:scaling>
          <c:orientation val="minMax"/>
          <c:max val="60"/>
        </c:scaling>
        <c:axPos val="r"/>
        <c:numFmt formatCode="0.0" sourceLinked="1"/>
        <c:tickLblPos val="nextTo"/>
        <c:spPr>
          <a:ln>
            <a:noFill/>
          </a:ln>
        </c:spPr>
        <c:txPr>
          <a:bodyPr/>
          <a:lstStyle/>
          <a:p>
            <a:pPr>
              <a:defRPr sz="100">
                <a:solidFill>
                  <a:schemeClr val="bg1"/>
                </a:solidFill>
              </a:defRPr>
            </a:pPr>
            <a:endParaRPr lang="ru-RU"/>
          </a:p>
        </c:txPr>
        <c:crossAx val="178939008"/>
        <c:crosses val="max"/>
        <c:crossBetween val="between"/>
      </c:valAx>
      <c:catAx>
        <c:axId val="178939008"/>
        <c:scaling>
          <c:orientation val="minMax"/>
        </c:scaling>
        <c:delete val="1"/>
        <c:axPos val="b"/>
        <c:tickLblPos val="nextTo"/>
        <c:crossAx val="178920832"/>
        <c:crosses val="autoZero"/>
        <c:auto val="1"/>
        <c:lblAlgn val="ctr"/>
        <c:lblOffset val="100"/>
      </c:catAx>
    </c:plotArea>
    <c:legend>
      <c:legendPos val="r"/>
      <c:layout>
        <c:manualLayout>
          <c:xMode val="edge"/>
          <c:yMode val="edge"/>
          <c:x val="8.8443202367253226E-3"/>
          <c:y val="0.71330061320814109"/>
          <c:w val="0.97142857142860062"/>
          <c:h val="0.2273348389590836"/>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1739130434782612E-2"/>
          <c:y val="0.22539050861884885"/>
          <c:w val="0.94565217391304368"/>
          <c:h val="0.72330212101863856"/>
        </c:manualLayout>
      </c:layout>
      <c:barChart>
        <c:barDir val="col"/>
        <c:grouping val="clustered"/>
        <c:ser>
          <c:idx val="0"/>
          <c:order val="0"/>
          <c:tx>
            <c:strRef>
              <c:f>Лист1!$A$2</c:f>
              <c:strCache>
                <c:ptCount val="1"/>
                <c:pt idx="0">
                  <c:v>Сальдо міграції</c:v>
                </c:pt>
              </c:strCache>
            </c:strRef>
          </c:tx>
          <c:spPr>
            <a:solidFill>
              <a:srgbClr val="756D43"/>
            </a:solidFill>
            <a:ln w="12700">
              <a:solidFill>
                <a:srgbClr val="000000"/>
              </a:solidFill>
              <a:prstDash val="solid"/>
            </a:ln>
            <a:scene3d>
              <a:camera prst="orthographicFront"/>
              <a:lightRig rig="threePt" dir="t"/>
            </a:scene3d>
            <a:sp3d>
              <a:bevelT/>
            </a:sp3d>
          </c:spPr>
          <c:dLbls>
            <c:dLbl>
              <c:idx val="0"/>
              <c:layout>
                <c:manualLayout>
                  <c:x val="8.3832335329341548E-2"/>
                  <c:y val="6.3063063063063071E-2"/>
                </c:manualLayout>
              </c:layout>
              <c:tx>
                <c:rich>
                  <a:bodyPr/>
                  <a:lstStyle/>
                  <a:p>
                    <a:r>
                      <a:rPr lang="ru-RU" sz="1000"/>
                      <a:t>-9299</a:t>
                    </a:r>
                  </a:p>
                </c:rich>
              </c:tx>
            </c:dLbl>
            <c:dLbl>
              <c:idx val="2"/>
              <c:tx>
                <c:rich>
                  <a:bodyPr/>
                  <a:lstStyle/>
                  <a:p>
                    <a:r>
                      <a:rPr lang="ru-RU" sz="1000"/>
                      <a:t>-90</a:t>
                    </a:r>
                  </a:p>
                </c:rich>
              </c:tx>
            </c:dLbl>
            <c:dLbl>
              <c:idx val="5"/>
              <c:layout>
                <c:manualLayout>
                  <c:x val="1.054631579019292E-2"/>
                  <c:y val="5.0775106803835464E-2"/>
                </c:manualLayout>
              </c:layout>
              <c:tx>
                <c:rich>
                  <a:bodyPr/>
                  <a:lstStyle/>
                  <a:p>
                    <a:r>
                      <a:rPr lang="ru-RU" sz="1000"/>
                      <a:t>-18</a:t>
                    </a:r>
                  </a:p>
                </c:rich>
              </c:tx>
              <c:dLblPos val="outEnd"/>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Лист1!$B$1:$G$1</c:f>
              <c:strCache>
                <c:ptCount val="6"/>
                <c:pt idx="0">
                  <c:v>2002</c:v>
                </c:pt>
                <c:pt idx="1">
                  <c:v>2008</c:v>
                </c:pt>
                <c:pt idx="2">
                  <c:v>2009</c:v>
                </c:pt>
                <c:pt idx="3">
                  <c:v>2010</c:v>
                </c:pt>
                <c:pt idx="4">
                  <c:v>2011</c:v>
                </c:pt>
                <c:pt idx="5">
                  <c:v>2012 очік.</c:v>
                </c:pt>
              </c:strCache>
            </c:strRef>
          </c:cat>
          <c:val>
            <c:numRef>
              <c:f>Лист1!$B$2:$G$2</c:f>
              <c:numCache>
                <c:formatCode>General</c:formatCode>
                <c:ptCount val="6"/>
                <c:pt idx="0">
                  <c:v>-8990</c:v>
                </c:pt>
                <c:pt idx="1">
                  <c:v>-887</c:v>
                </c:pt>
                <c:pt idx="2">
                  <c:v>-1859</c:v>
                </c:pt>
                <c:pt idx="3">
                  <c:v>-1071</c:v>
                </c:pt>
                <c:pt idx="4">
                  <c:v>-511</c:v>
                </c:pt>
                <c:pt idx="5">
                  <c:v>-92.5</c:v>
                </c:pt>
              </c:numCache>
            </c:numRef>
          </c:val>
        </c:ser>
        <c:axId val="164209792"/>
        <c:axId val="164211328"/>
      </c:barChart>
      <c:catAx>
        <c:axId val="164209792"/>
        <c:scaling>
          <c:orientation val="minMax"/>
        </c:scaling>
        <c:axPos val="b"/>
        <c:numFmt formatCode="General" sourceLinked="1"/>
        <c:tickLblPos val="high"/>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64211328"/>
        <c:crosses val="autoZero"/>
        <c:auto val="1"/>
        <c:lblAlgn val="ctr"/>
        <c:lblOffset val="100"/>
        <c:tickLblSkip val="1"/>
        <c:tickMarkSkip val="1"/>
      </c:catAx>
      <c:valAx>
        <c:axId val="164211328"/>
        <c:scaling>
          <c:orientation val="minMax"/>
          <c:min val="-9500"/>
        </c:scaling>
        <c:axPos val="l"/>
        <c:numFmt formatCode="General" sourceLinked="1"/>
        <c:tickLblPos val="none"/>
        <c:spPr>
          <a:ln w="9525">
            <a:noFill/>
          </a:ln>
        </c:spPr>
        <c:crossAx val="164209792"/>
        <c:crosses val="autoZero"/>
        <c:crossBetween val="between"/>
      </c:valAx>
      <c:spPr>
        <a:noFill/>
        <a:ln w="25400">
          <a:noFill/>
        </a:ln>
      </c:spPr>
    </c:plotArea>
    <c:plotVisOnly val="1"/>
    <c:dispBlanksAs val="gap"/>
  </c:chart>
  <c:spPr>
    <a:solidFill>
      <a:srgbClr val="FFFFFF"/>
    </a:solid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1992506512894066"/>
          <c:y val="6.4325143018768072E-2"/>
          <c:w val="0.76861570066502138"/>
          <c:h val="0.50994562093412465"/>
        </c:manualLayout>
      </c:layout>
      <c:barChart>
        <c:barDir val="col"/>
        <c:grouping val="clustered"/>
        <c:ser>
          <c:idx val="0"/>
          <c:order val="0"/>
          <c:tx>
            <c:strRef>
              <c:f>Лист1!$B$1</c:f>
              <c:strCache>
                <c:ptCount val="1"/>
                <c:pt idx="0">
                  <c:v>Утворено </c:v>
                </c:pt>
              </c:strCache>
            </c:strRef>
          </c:tx>
          <c:spPr>
            <a:solidFill>
              <a:schemeClr val="accent4">
                <a:lumMod val="50000"/>
              </a:schemeClr>
            </a:solidFill>
          </c:spPr>
          <c:dLbls>
            <c:dLbl>
              <c:idx val="0"/>
              <c:layout>
                <c:manualLayout>
                  <c:x val="-3.3795201081446452E-3"/>
                  <c:y val="1.7381228273464645E-2"/>
                </c:manualLayout>
              </c:layout>
              <c:dLblPos val="outEnd"/>
              <c:showVal val="1"/>
            </c:dLbl>
            <c:dLbl>
              <c:idx val="1"/>
              <c:layout>
                <c:manualLayout>
                  <c:x val="0"/>
                  <c:y val="1.7381228273464673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Лист1!$A$2:$A$3</c:f>
              <c:numCache>
                <c:formatCode>General</c:formatCode>
                <c:ptCount val="2"/>
                <c:pt idx="0">
                  <c:v>2010</c:v>
                </c:pt>
                <c:pt idx="1">
                  <c:v>2011</c:v>
                </c:pt>
              </c:numCache>
            </c:numRef>
          </c:cat>
          <c:val>
            <c:numRef>
              <c:f>Лист1!$B$2:$B$3</c:f>
              <c:numCache>
                <c:formatCode>General</c:formatCode>
                <c:ptCount val="2"/>
                <c:pt idx="0">
                  <c:v>56.4</c:v>
                </c:pt>
                <c:pt idx="1">
                  <c:v>61.8</c:v>
                </c:pt>
              </c:numCache>
            </c:numRef>
          </c:val>
        </c:ser>
        <c:ser>
          <c:idx val="1"/>
          <c:order val="1"/>
          <c:tx>
            <c:strRef>
              <c:f>Лист1!$C$1</c:f>
              <c:strCache>
                <c:ptCount val="1"/>
                <c:pt idx="0">
                  <c:v>Утилізовано, оброблено (перероблено)</c:v>
                </c:pt>
              </c:strCache>
            </c:strRef>
          </c:tx>
          <c:spPr>
            <a:solidFill>
              <a:schemeClr val="accent4">
                <a:lumMod val="40000"/>
                <a:lumOff val="60000"/>
              </a:schemeClr>
            </a:solidFill>
            <a:ln>
              <a:solidFill>
                <a:srgbClr val="8064A2">
                  <a:lumMod val="50000"/>
                </a:srgbClr>
              </a:solidFill>
            </a:ln>
          </c:spPr>
          <c:dLbls>
            <c:dLbl>
              <c:idx val="1"/>
              <c:layout>
                <c:manualLayout>
                  <c:x val="3.3795201081446452E-3"/>
                  <c:y val="1.7381228273464663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Лист1!$A$2:$A$3</c:f>
              <c:numCache>
                <c:formatCode>General</c:formatCode>
                <c:ptCount val="2"/>
                <c:pt idx="0">
                  <c:v>2010</c:v>
                </c:pt>
                <c:pt idx="1">
                  <c:v>2011</c:v>
                </c:pt>
              </c:numCache>
            </c:numRef>
          </c:cat>
          <c:val>
            <c:numRef>
              <c:f>Лист1!$C$2:$C$3</c:f>
              <c:numCache>
                <c:formatCode>General</c:formatCode>
                <c:ptCount val="2"/>
                <c:pt idx="0">
                  <c:v>17.100000000000001</c:v>
                </c:pt>
                <c:pt idx="1">
                  <c:v>19.899999999999999</c:v>
                </c:pt>
              </c:numCache>
            </c:numRef>
          </c:val>
        </c:ser>
        <c:axId val="179052928"/>
        <c:axId val="179054464"/>
      </c:barChart>
      <c:lineChart>
        <c:grouping val="standard"/>
        <c:ser>
          <c:idx val="2"/>
          <c:order val="2"/>
          <c:tx>
            <c:strRef>
              <c:f>Лист1!$D$1</c:f>
              <c:strCache>
                <c:ptCount val="1"/>
                <c:pt idx="0">
                  <c:v>Питома вага області в обсязі утворення відходів по Україні, %</c:v>
                </c:pt>
              </c:strCache>
            </c:strRef>
          </c:tx>
          <c:spPr>
            <a:ln w="44450">
              <a:solidFill>
                <a:schemeClr val="tx2">
                  <a:lumMod val="50000"/>
                </a:schemeClr>
              </a:solidFill>
            </a:ln>
          </c:spPr>
          <c:marker>
            <c:symbol val="diamond"/>
            <c:size val="9"/>
            <c:spPr>
              <a:solidFill>
                <a:schemeClr val="bg1">
                  <a:lumMod val="95000"/>
                </a:schemeClr>
              </a:solidFill>
              <a:ln>
                <a:solidFill>
                  <a:schemeClr val="tx2">
                    <a:lumMod val="75000"/>
                  </a:schemeClr>
                </a:solidFill>
              </a:ln>
            </c:spPr>
          </c:marker>
          <c:dLbls>
            <c:dLbl>
              <c:idx val="0"/>
              <c:layout>
                <c:manualLayout>
                  <c:x val="-1.0138560324433931E-2"/>
                  <c:y val="-5.7937427578215933E-2"/>
                </c:manualLayout>
              </c:layout>
              <c:dLblPos val="r"/>
              <c:showVal val="1"/>
            </c:dLbl>
            <c:dLbl>
              <c:idx val="1"/>
              <c:layout>
                <c:manualLayout>
                  <c:x val="-2.0277120648867882E-2"/>
                  <c:y val="-5.7937427578215933E-2"/>
                </c:manualLayout>
              </c:layout>
              <c:dLblPos val="r"/>
              <c:showVal val="1"/>
            </c:dLbl>
            <c:dLbl>
              <c:idx val="2"/>
              <c:layout>
                <c:manualLayout>
                  <c:x val="-9.8006083136194744E-2"/>
                  <c:y val="-5.7937427578215933E-2"/>
                </c:manualLayout>
              </c:layout>
              <c:dLblPos val="r"/>
              <c:showVal val="1"/>
            </c:dLbl>
            <c:txPr>
              <a:bodyPr/>
              <a:lstStyle/>
              <a:p>
                <a:pPr>
                  <a:defRPr b="1">
                    <a:solidFill>
                      <a:schemeClr val="tx1"/>
                    </a:solidFill>
                    <a:latin typeface="Times New Roman" pitchFamily="18" charset="0"/>
                    <a:cs typeface="Times New Roman" pitchFamily="18" charset="0"/>
                  </a:defRPr>
                </a:pPr>
                <a:endParaRPr lang="ru-RU"/>
              </a:p>
            </c:txPr>
            <c:dLblPos val="r"/>
            <c:showVal val="1"/>
          </c:dLbls>
          <c:cat>
            <c:numRef>
              <c:f>Лист1!$A$2:$A$3</c:f>
              <c:numCache>
                <c:formatCode>General</c:formatCode>
                <c:ptCount val="2"/>
                <c:pt idx="0">
                  <c:v>2010</c:v>
                </c:pt>
                <c:pt idx="1">
                  <c:v>2011</c:v>
                </c:pt>
              </c:numCache>
            </c:numRef>
          </c:cat>
          <c:val>
            <c:numRef>
              <c:f>Лист1!$D$2:$D$3</c:f>
              <c:numCache>
                <c:formatCode>0.0</c:formatCode>
                <c:ptCount val="2"/>
                <c:pt idx="0">
                  <c:v>13.5</c:v>
                </c:pt>
                <c:pt idx="1">
                  <c:v>13.8</c:v>
                </c:pt>
              </c:numCache>
            </c:numRef>
          </c:val>
        </c:ser>
        <c:marker val="1"/>
        <c:axId val="179078272"/>
        <c:axId val="179056000"/>
      </c:lineChart>
      <c:catAx>
        <c:axId val="17905292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79054464"/>
        <c:crosses val="autoZero"/>
        <c:auto val="1"/>
        <c:lblAlgn val="ctr"/>
        <c:lblOffset val="100"/>
      </c:catAx>
      <c:valAx>
        <c:axId val="179054464"/>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79052928"/>
        <c:crosses val="autoZero"/>
        <c:crossBetween val="between"/>
      </c:valAx>
      <c:valAx>
        <c:axId val="179056000"/>
        <c:scaling>
          <c:orientation val="minMax"/>
          <c:max val="26"/>
        </c:scaling>
        <c:axPos val="r"/>
        <c:numFmt formatCode="0.0" sourceLinked="1"/>
        <c:tickLblPos val="nextTo"/>
        <c:spPr>
          <a:ln>
            <a:noFill/>
          </a:ln>
        </c:spPr>
        <c:txPr>
          <a:bodyPr/>
          <a:lstStyle/>
          <a:p>
            <a:pPr>
              <a:defRPr sz="100">
                <a:solidFill>
                  <a:schemeClr val="bg1"/>
                </a:solidFill>
              </a:defRPr>
            </a:pPr>
            <a:endParaRPr lang="ru-RU"/>
          </a:p>
        </c:txPr>
        <c:crossAx val="179078272"/>
        <c:crosses val="max"/>
        <c:crossBetween val="between"/>
      </c:valAx>
      <c:catAx>
        <c:axId val="179078272"/>
        <c:scaling>
          <c:orientation val="minMax"/>
        </c:scaling>
        <c:delete val="1"/>
        <c:axPos val="b"/>
        <c:numFmt formatCode="General" sourceLinked="1"/>
        <c:tickLblPos val="nextTo"/>
        <c:crossAx val="179056000"/>
        <c:crosses val="autoZero"/>
        <c:auto val="1"/>
        <c:lblAlgn val="ctr"/>
        <c:lblOffset val="100"/>
      </c:catAx>
      <c:spPr>
        <a:noFill/>
        <a:ln>
          <a:noFill/>
        </a:ln>
      </c:spPr>
    </c:plotArea>
    <c:legend>
      <c:legendPos val="r"/>
      <c:layout>
        <c:manualLayout>
          <c:xMode val="edge"/>
          <c:yMode val="edge"/>
          <c:x val="0"/>
          <c:y val="0.68433274856187021"/>
          <c:w val="1"/>
          <c:h val="0.2880334121039041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4.8000000000000001E-2"/>
          <c:y val="7.3891625615763554E-2"/>
          <c:w val="0.93333333333333335"/>
          <c:h val="0.55961800549579765"/>
        </c:manualLayout>
      </c:layout>
      <c:barChart>
        <c:barDir val="col"/>
        <c:grouping val="clustered"/>
        <c:ser>
          <c:idx val="0"/>
          <c:order val="0"/>
          <c:tx>
            <c:strRef>
              <c:f>Лист3!$I$7</c:f>
              <c:strCache>
                <c:ptCount val="1"/>
                <c:pt idx="0">
                  <c:v>Площа об'єктів на кінець року, тис.га</c:v>
                </c:pt>
              </c:strCache>
            </c:strRef>
          </c:tx>
          <c:spPr>
            <a:effectLst>
              <a:outerShdw blurRad="50800" dist="38100" algn="l" rotWithShape="0">
                <a:prstClr val="black">
                  <a:alpha val="40000"/>
                </a:prstClr>
              </a:outerShdw>
            </a:effectLst>
            <a:scene3d>
              <a:camera prst="orthographicFront"/>
              <a:lightRig rig="threePt" dir="t">
                <a:rot lat="0" lon="0" rev="1200000"/>
              </a:lightRig>
            </a:scene3d>
            <a:sp3d>
              <a:bevelT w="63500" h="25400" prst="convex"/>
            </a:sp3d>
          </c:spPr>
          <c:dLbls>
            <c:txPr>
              <a:bodyPr/>
              <a:lstStyle/>
              <a:p>
                <a:pPr>
                  <a:defRPr b="1">
                    <a:latin typeface="Times New Roman" pitchFamily="18" charset="0"/>
                    <a:cs typeface="Times New Roman" pitchFamily="18" charset="0"/>
                  </a:defRPr>
                </a:pPr>
                <a:endParaRPr lang="ru-RU"/>
              </a:p>
            </c:txPr>
            <c:showVal val="1"/>
          </c:dLbls>
          <c:cat>
            <c:numRef>
              <c:f>Лист3!$J$6:$M$6</c:f>
              <c:numCache>
                <c:formatCode>General</c:formatCode>
                <c:ptCount val="4"/>
                <c:pt idx="0">
                  <c:v>2008</c:v>
                </c:pt>
                <c:pt idx="1">
                  <c:v>2009</c:v>
                </c:pt>
                <c:pt idx="2">
                  <c:v>2011</c:v>
                </c:pt>
                <c:pt idx="3">
                  <c:v>2012</c:v>
                </c:pt>
              </c:numCache>
            </c:numRef>
          </c:cat>
          <c:val>
            <c:numRef>
              <c:f>Лист3!$J$7:$M$7</c:f>
              <c:numCache>
                <c:formatCode>General</c:formatCode>
                <c:ptCount val="4"/>
                <c:pt idx="0">
                  <c:v>87.2</c:v>
                </c:pt>
                <c:pt idx="1">
                  <c:v>91.3</c:v>
                </c:pt>
                <c:pt idx="2">
                  <c:v>91.8</c:v>
                </c:pt>
                <c:pt idx="3">
                  <c:v>91.8</c:v>
                </c:pt>
              </c:numCache>
            </c:numRef>
          </c:val>
        </c:ser>
        <c:dLbls>
          <c:showVal val="1"/>
        </c:dLbls>
        <c:gapWidth val="117"/>
        <c:axId val="179432448"/>
        <c:axId val="179434240"/>
      </c:barChart>
      <c:lineChart>
        <c:grouping val="standard"/>
        <c:ser>
          <c:idx val="1"/>
          <c:order val="1"/>
          <c:tx>
            <c:strRef>
              <c:f>Лист3!$I$8</c:f>
              <c:strCache>
                <c:ptCount val="1"/>
                <c:pt idx="0">
                  <c:v>Відношення заповідних площ до площі області, %</c:v>
                </c:pt>
              </c:strCache>
            </c:strRef>
          </c:tx>
          <c:spPr>
            <a:ln w="38091">
              <a:solidFill>
                <a:schemeClr val="accent3">
                  <a:lumMod val="50000"/>
                </a:schemeClr>
              </a:solidFill>
            </a:ln>
          </c:spPr>
          <c:marker>
            <c:symbol val="circle"/>
            <c:size val="24"/>
            <c:spPr>
              <a:solidFill>
                <a:schemeClr val="bg1"/>
              </a:solidFill>
              <a:ln>
                <a:solidFill>
                  <a:srgbClr val="9BBB59">
                    <a:lumMod val="50000"/>
                  </a:srgbClr>
                </a:solidFill>
              </a:ln>
            </c:spPr>
          </c:marker>
          <c:dLbls>
            <c:dLbl>
              <c:idx val="0"/>
              <c:layout>
                <c:manualLayout>
                  <c:x val="-8.9267005686790246E-2"/>
                  <c:y val="-7.0727336967495134E-3"/>
                </c:manualLayout>
              </c:layout>
              <c:dLblPos val="r"/>
              <c:showVal val="1"/>
            </c:dLbl>
            <c:dLbl>
              <c:idx val="1"/>
              <c:layout>
                <c:manualLayout>
                  <c:x val="-9.1142825896763008E-2"/>
                  <c:y val="1.6042465845616911E-3"/>
                </c:manualLayout>
              </c:layout>
              <c:dLblPos val="r"/>
              <c:showVal val="1"/>
            </c:dLbl>
            <c:dLbl>
              <c:idx val="2"/>
              <c:layout>
                <c:manualLayout>
                  <c:x val="-9.4074529746289895E-2"/>
                  <c:y val="-1.0179016084527878E-3"/>
                </c:manualLayout>
              </c:layout>
              <c:dLblPos val="r"/>
              <c:showVal val="1"/>
            </c:dLbl>
            <c:dLbl>
              <c:idx val="3"/>
              <c:layout>
                <c:manualLayout>
                  <c:x val="-9.5145177165354325E-2"/>
                  <c:y val="-5.1652197321488903E-4"/>
                </c:manualLayout>
              </c:layout>
              <c:dLblPos val="r"/>
              <c:showVal val="1"/>
            </c:dLbl>
            <c:dLbl>
              <c:idx val="4"/>
              <c:layout>
                <c:manualLayout>
                  <c:x val="-4.1465879265091786E-2"/>
                  <c:y val="-1.0461324680214401E-2"/>
                </c:manualLayout>
              </c:layout>
              <c:dLblPos val="r"/>
              <c:showVal val="1"/>
            </c:dLbl>
            <c:txPr>
              <a:bodyPr/>
              <a:lstStyle/>
              <a:p>
                <a:pPr>
                  <a:defRPr b="1">
                    <a:latin typeface="Times New Roman" pitchFamily="18" charset="0"/>
                    <a:cs typeface="Times New Roman" pitchFamily="18" charset="0"/>
                  </a:defRPr>
                </a:pPr>
                <a:endParaRPr lang="ru-RU"/>
              </a:p>
            </c:txPr>
            <c:showVal val="1"/>
          </c:dLbls>
          <c:cat>
            <c:numRef>
              <c:f>Лист3!$J$6:$M$6</c:f>
              <c:numCache>
                <c:formatCode>General</c:formatCode>
                <c:ptCount val="4"/>
                <c:pt idx="0">
                  <c:v>2008</c:v>
                </c:pt>
                <c:pt idx="1">
                  <c:v>2009</c:v>
                </c:pt>
                <c:pt idx="2">
                  <c:v>2011</c:v>
                </c:pt>
                <c:pt idx="3">
                  <c:v>2012</c:v>
                </c:pt>
              </c:numCache>
            </c:numRef>
          </c:cat>
          <c:val>
            <c:numRef>
              <c:f>Лист3!$J$8:$M$8</c:f>
              <c:numCache>
                <c:formatCode>0.00</c:formatCode>
                <c:ptCount val="4"/>
                <c:pt idx="0">
                  <c:v>3.2905660377358497</c:v>
                </c:pt>
                <c:pt idx="1">
                  <c:v>3.4452830188679338</c:v>
                </c:pt>
                <c:pt idx="2">
                  <c:v>3.4641509433962261</c:v>
                </c:pt>
                <c:pt idx="3">
                  <c:v>3.46</c:v>
                </c:pt>
              </c:numCache>
            </c:numRef>
          </c:val>
        </c:ser>
        <c:dLbls>
          <c:showVal val="1"/>
        </c:dLbls>
        <c:marker val="1"/>
        <c:axId val="179435776"/>
        <c:axId val="179187712"/>
      </c:lineChart>
      <c:catAx>
        <c:axId val="179432448"/>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79434240"/>
        <c:crosses val="autoZero"/>
        <c:lblAlgn val="ctr"/>
        <c:lblOffset val="100"/>
        <c:tickLblSkip val="1"/>
        <c:tickMarkSkip val="1"/>
      </c:catAx>
      <c:valAx>
        <c:axId val="179434240"/>
        <c:scaling>
          <c:orientation val="minMax"/>
          <c:min val="50"/>
        </c:scaling>
        <c:axPos val="l"/>
        <c:numFmt formatCode="General" sourceLinked="1"/>
        <c:majorTickMark val="cross"/>
        <c:tickLblPos val="nextTo"/>
        <c:spPr>
          <a:ln>
            <a:noFill/>
          </a:ln>
        </c:spPr>
        <c:txPr>
          <a:bodyPr rot="0" vert="horz"/>
          <a:lstStyle/>
          <a:p>
            <a:pPr>
              <a:defRPr sz="100">
                <a:solidFill>
                  <a:schemeClr val="bg1"/>
                </a:solidFill>
              </a:defRPr>
            </a:pPr>
            <a:endParaRPr lang="ru-RU"/>
          </a:p>
        </c:txPr>
        <c:crossAx val="179432448"/>
        <c:crosses val="autoZero"/>
        <c:crossBetween val="between"/>
      </c:valAx>
      <c:catAx>
        <c:axId val="179435776"/>
        <c:scaling>
          <c:orientation val="minMax"/>
        </c:scaling>
        <c:delete val="1"/>
        <c:axPos val="b"/>
        <c:numFmt formatCode="General" sourceLinked="1"/>
        <c:tickLblPos val="nextTo"/>
        <c:crossAx val="179187712"/>
        <c:crosses val="autoZero"/>
        <c:lblAlgn val="ctr"/>
        <c:lblOffset val="100"/>
      </c:catAx>
      <c:valAx>
        <c:axId val="179187712"/>
        <c:scaling>
          <c:orientation val="minMax"/>
          <c:max val="7"/>
          <c:min val="0"/>
        </c:scaling>
        <c:axPos val="r"/>
        <c:numFmt formatCode="0.00" sourceLinked="1"/>
        <c:majorTickMark val="cross"/>
        <c:tickLblPos val="nextTo"/>
        <c:spPr>
          <a:ln>
            <a:noFill/>
          </a:ln>
        </c:spPr>
        <c:txPr>
          <a:bodyPr rot="0" vert="horz"/>
          <a:lstStyle/>
          <a:p>
            <a:pPr>
              <a:defRPr sz="100">
                <a:solidFill>
                  <a:schemeClr val="bg1"/>
                </a:solidFill>
              </a:defRPr>
            </a:pPr>
            <a:endParaRPr lang="ru-RU"/>
          </a:p>
        </c:txPr>
        <c:crossAx val="179435776"/>
        <c:crosses val="max"/>
        <c:crossBetween val="between"/>
      </c:valAx>
      <c:spPr>
        <a:noFill/>
        <a:ln w="25394">
          <a:noFill/>
        </a:ln>
      </c:spPr>
    </c:plotArea>
    <c:legend>
      <c:legendPos val="b"/>
      <c:layout>
        <c:manualLayout>
          <c:xMode val="edge"/>
          <c:yMode val="edge"/>
          <c:x val="2.2500035089196811E-2"/>
          <c:y val="0.7721907774081449"/>
          <c:w val="0.96541664912201286"/>
          <c:h val="0.19025071656837839"/>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5.0915097062809632E-2"/>
          <c:y val="6.1873331051009929E-2"/>
          <c:w val="0.8765851909477943"/>
          <c:h val="0.56525892959032298"/>
        </c:manualLayout>
      </c:layout>
      <c:barChart>
        <c:barDir val="col"/>
        <c:grouping val="clustered"/>
        <c:ser>
          <c:idx val="0"/>
          <c:order val="0"/>
          <c:tx>
            <c:strRef>
              <c:f>Лист1!$B$1</c:f>
              <c:strCache>
                <c:ptCount val="1"/>
                <c:pt idx="0">
                  <c:v>Пред’явлено</c:v>
                </c:pt>
              </c:strCache>
            </c:strRef>
          </c:tx>
          <c:spPr>
            <a:solidFill>
              <a:schemeClr val="tx2">
                <a:lumMod val="75000"/>
              </a:schemeClr>
            </a:solidFill>
          </c:spPr>
          <c:dLbls>
            <c:dLbl>
              <c:idx val="2"/>
              <c:layout>
                <c:manualLayout>
                  <c:x val="-3.2840722495896392E-3"/>
                  <c:y val="1.7391304347826087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Лист1!$A$2:$A$5</c:f>
              <c:numCache>
                <c:formatCode>General</c:formatCode>
                <c:ptCount val="4"/>
                <c:pt idx="0">
                  <c:v>2008</c:v>
                </c:pt>
                <c:pt idx="1">
                  <c:v>2009</c:v>
                </c:pt>
                <c:pt idx="2">
                  <c:v>2010</c:v>
                </c:pt>
                <c:pt idx="3">
                  <c:v>2011</c:v>
                </c:pt>
              </c:numCache>
            </c:numRef>
          </c:cat>
          <c:val>
            <c:numRef>
              <c:f>Лист1!$B$2:$B$5</c:f>
              <c:numCache>
                <c:formatCode>0</c:formatCode>
                <c:ptCount val="4"/>
                <c:pt idx="0">
                  <c:v>258</c:v>
                </c:pt>
                <c:pt idx="1">
                  <c:v>299</c:v>
                </c:pt>
                <c:pt idx="2">
                  <c:v>492</c:v>
                </c:pt>
                <c:pt idx="3">
                  <c:v>589</c:v>
                </c:pt>
              </c:numCache>
            </c:numRef>
          </c:val>
        </c:ser>
        <c:ser>
          <c:idx val="1"/>
          <c:order val="1"/>
          <c:tx>
            <c:strRef>
              <c:f>Лист1!$C$1</c:f>
              <c:strCache>
                <c:ptCount val="1"/>
                <c:pt idx="0">
                  <c:v>Сплачено</c:v>
                </c:pt>
              </c:strCache>
            </c:strRef>
          </c:tx>
          <c:spPr>
            <a:solidFill>
              <a:schemeClr val="accent6">
                <a:lumMod val="75000"/>
              </a:schemeClr>
            </a:solidFill>
          </c:spPr>
          <c:dLbls>
            <c:dLbl>
              <c:idx val="0"/>
              <c:layout>
                <c:manualLayout>
                  <c:x val="9.8635541673517766E-3"/>
                  <c:y val="1.1494252873563218E-2"/>
                </c:manualLayout>
              </c:layout>
              <c:dLblPos val="outEnd"/>
              <c:showVal val="1"/>
            </c:dLbl>
            <c:dLbl>
              <c:idx val="1"/>
              <c:layout>
                <c:manualLayout>
                  <c:x val="6.5757027782347034E-3"/>
                  <c:y val="1.7241379310344827E-2"/>
                </c:manualLayout>
              </c:layout>
              <c:dLblPos val="outEnd"/>
              <c:showVal val="1"/>
            </c:dLbl>
            <c:dLbl>
              <c:idx val="2"/>
              <c:layout>
                <c:manualLayout>
                  <c:x val="3.2878513891173486E-3"/>
                  <c:y val="1.1494252873563218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Лист1!$A$2:$A$5</c:f>
              <c:numCache>
                <c:formatCode>General</c:formatCode>
                <c:ptCount val="4"/>
                <c:pt idx="0">
                  <c:v>2008</c:v>
                </c:pt>
                <c:pt idx="1">
                  <c:v>2009</c:v>
                </c:pt>
                <c:pt idx="2">
                  <c:v>2010</c:v>
                </c:pt>
                <c:pt idx="3">
                  <c:v>2011</c:v>
                </c:pt>
              </c:numCache>
            </c:numRef>
          </c:cat>
          <c:val>
            <c:numRef>
              <c:f>Лист1!$C$2:$C$5</c:f>
              <c:numCache>
                <c:formatCode>0</c:formatCode>
                <c:ptCount val="4"/>
                <c:pt idx="0">
                  <c:v>243</c:v>
                </c:pt>
                <c:pt idx="1">
                  <c:v>233</c:v>
                </c:pt>
                <c:pt idx="2">
                  <c:v>304</c:v>
                </c:pt>
                <c:pt idx="3">
                  <c:v>461</c:v>
                </c:pt>
              </c:numCache>
            </c:numRef>
          </c:val>
        </c:ser>
        <c:gapWidth val="100"/>
        <c:axId val="179219456"/>
        <c:axId val="179225344"/>
      </c:barChart>
      <c:lineChart>
        <c:grouping val="standard"/>
        <c:ser>
          <c:idx val="2"/>
          <c:order val="2"/>
          <c:tx>
            <c:strRef>
              <c:f>Лист1!$D$1</c:f>
              <c:strCache>
                <c:ptCount val="1"/>
                <c:pt idx="0">
                  <c:v>Частка сплачених у загальній сумі пред’явлених платежів, %</c:v>
                </c:pt>
              </c:strCache>
            </c:strRef>
          </c:tx>
          <c:spPr>
            <a:ln w="44450">
              <a:solidFill>
                <a:schemeClr val="accent5">
                  <a:lumMod val="50000"/>
                </a:schemeClr>
              </a:solidFill>
            </a:ln>
          </c:spPr>
          <c:marker>
            <c:spPr>
              <a:solidFill>
                <a:schemeClr val="bg1"/>
              </a:solidFill>
              <a:ln>
                <a:solidFill>
                  <a:srgbClr val="4BACC6">
                    <a:lumMod val="50000"/>
                  </a:srgbClr>
                </a:solidFill>
              </a:ln>
            </c:spPr>
          </c:marker>
          <c:dLbls>
            <c:dLbl>
              <c:idx val="0"/>
              <c:layout>
                <c:manualLayout>
                  <c:x val="3.2878476397346881E-2"/>
                  <c:y val="-2.3188862261782427E-2"/>
                </c:manualLayout>
              </c:layout>
              <c:dLblPos val="b"/>
              <c:showVal val="1"/>
            </c:dLbl>
            <c:dLbl>
              <c:idx val="1"/>
              <c:layout>
                <c:manualLayout>
                  <c:x val="3.9454216669406655E-2"/>
                  <c:y val="-1.149425287356327E-2"/>
                </c:manualLayout>
              </c:layout>
              <c:dLblPos val="b"/>
              <c:showVal val="1"/>
            </c:dLbl>
            <c:dLbl>
              <c:idx val="2"/>
              <c:layout>
                <c:manualLayout>
                  <c:x val="3.6162548646936375E-2"/>
                  <c:y val="-1.8593175853019075E-2"/>
                </c:manualLayout>
              </c:layout>
              <c:dLblPos val="b"/>
              <c:showVal val="1"/>
            </c:dLbl>
            <c:dLbl>
              <c:idx val="3"/>
              <c:layout>
                <c:manualLayout>
                  <c:x val="4.2738192208732532E-2"/>
                  <c:y val="-2.893575259614288E-2"/>
                </c:manualLayout>
              </c:layout>
              <c:dLblPos val="b"/>
              <c:showVal val="1"/>
            </c:dLbl>
            <c:txPr>
              <a:bodyPr/>
              <a:lstStyle/>
              <a:p>
                <a:pPr>
                  <a:defRPr b="1">
                    <a:latin typeface="Times New Roman" pitchFamily="18" charset="0"/>
                    <a:cs typeface="Times New Roman" pitchFamily="18" charset="0"/>
                  </a:defRPr>
                </a:pPr>
                <a:endParaRPr lang="ru-RU"/>
              </a:p>
            </c:txPr>
            <c:dLblPos val="b"/>
            <c:showVal val="1"/>
          </c:dLbls>
          <c:cat>
            <c:numRef>
              <c:f>Лист1!$A$2:$A$5</c:f>
              <c:numCache>
                <c:formatCode>General</c:formatCode>
                <c:ptCount val="4"/>
                <c:pt idx="0">
                  <c:v>2008</c:v>
                </c:pt>
                <c:pt idx="1">
                  <c:v>2009</c:v>
                </c:pt>
                <c:pt idx="2">
                  <c:v>2010</c:v>
                </c:pt>
                <c:pt idx="3">
                  <c:v>2011</c:v>
                </c:pt>
              </c:numCache>
            </c:numRef>
          </c:cat>
          <c:val>
            <c:numRef>
              <c:f>Лист1!$D$2:$D$5</c:f>
              <c:numCache>
                <c:formatCode>0.0</c:formatCode>
                <c:ptCount val="4"/>
                <c:pt idx="0">
                  <c:v>94.186046511623388</c:v>
                </c:pt>
                <c:pt idx="1">
                  <c:v>77.926421404682273</c:v>
                </c:pt>
                <c:pt idx="2">
                  <c:v>61.788617886180013</c:v>
                </c:pt>
                <c:pt idx="3">
                  <c:v>78.268251273344646</c:v>
                </c:pt>
              </c:numCache>
            </c:numRef>
          </c:val>
        </c:ser>
        <c:marker val="1"/>
        <c:axId val="179388416"/>
        <c:axId val="179226880"/>
      </c:lineChart>
      <c:catAx>
        <c:axId val="17921945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79225344"/>
        <c:crosses val="autoZero"/>
        <c:auto val="1"/>
        <c:lblAlgn val="ctr"/>
        <c:lblOffset val="100"/>
      </c:catAx>
      <c:valAx>
        <c:axId val="179225344"/>
        <c:scaling>
          <c:orientation val="minMax"/>
          <c:max val="600"/>
        </c:scaling>
        <c:axPos val="l"/>
        <c:numFmt formatCode="0" sourceLinked="1"/>
        <c:tickLblPos val="nextTo"/>
        <c:spPr>
          <a:ln>
            <a:noFill/>
          </a:ln>
        </c:spPr>
        <c:txPr>
          <a:bodyPr/>
          <a:lstStyle/>
          <a:p>
            <a:pPr>
              <a:defRPr sz="100">
                <a:solidFill>
                  <a:schemeClr val="bg1"/>
                </a:solidFill>
              </a:defRPr>
            </a:pPr>
            <a:endParaRPr lang="ru-RU"/>
          </a:p>
        </c:txPr>
        <c:crossAx val="179219456"/>
        <c:crosses val="autoZero"/>
        <c:crossBetween val="between"/>
      </c:valAx>
      <c:valAx>
        <c:axId val="179226880"/>
        <c:scaling>
          <c:orientation val="minMax"/>
          <c:max val="250"/>
        </c:scaling>
        <c:axPos val="r"/>
        <c:numFmt formatCode="0.0" sourceLinked="1"/>
        <c:tickLblPos val="nextTo"/>
        <c:spPr>
          <a:ln>
            <a:noFill/>
          </a:ln>
        </c:spPr>
        <c:txPr>
          <a:bodyPr/>
          <a:lstStyle/>
          <a:p>
            <a:pPr>
              <a:defRPr sz="100">
                <a:solidFill>
                  <a:schemeClr val="bg1"/>
                </a:solidFill>
              </a:defRPr>
            </a:pPr>
            <a:endParaRPr lang="ru-RU"/>
          </a:p>
        </c:txPr>
        <c:crossAx val="179388416"/>
        <c:crosses val="max"/>
        <c:crossBetween val="between"/>
      </c:valAx>
      <c:catAx>
        <c:axId val="179388416"/>
        <c:scaling>
          <c:orientation val="minMax"/>
        </c:scaling>
        <c:delete val="1"/>
        <c:axPos val="b"/>
        <c:numFmt formatCode="General" sourceLinked="1"/>
        <c:tickLblPos val="nextTo"/>
        <c:crossAx val="179226880"/>
        <c:crosses val="autoZero"/>
        <c:auto val="1"/>
        <c:lblAlgn val="ctr"/>
        <c:lblOffset val="100"/>
      </c:catAx>
      <c:spPr>
        <a:noFill/>
        <a:ln>
          <a:noFill/>
        </a:ln>
      </c:spPr>
    </c:plotArea>
    <c:legend>
      <c:legendPos val="r"/>
      <c:layout>
        <c:manualLayout>
          <c:xMode val="edge"/>
          <c:yMode val="edge"/>
          <c:x val="0"/>
          <c:y val="0.76309893871961665"/>
          <c:w val="1"/>
          <c:h val="0.2122770740614003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plotArea>
      <c:layout>
        <c:manualLayout>
          <c:layoutTarget val="inner"/>
          <c:xMode val="edge"/>
          <c:yMode val="edge"/>
          <c:x val="3.4210526315789476E-2"/>
          <c:y val="0"/>
          <c:w val="0.95263157894736838"/>
          <c:h val="0.94539775120702507"/>
        </c:manualLayout>
      </c:layout>
      <c:barChart>
        <c:barDir val="bar"/>
        <c:grouping val="clustered"/>
        <c:ser>
          <c:idx val="0"/>
          <c:order val="0"/>
          <c:spPr>
            <a:solidFill>
              <a:srgbClr val="7030A0"/>
            </a:solidFill>
            <a:ln>
              <a:solidFill>
                <a:sysClr val="windowText" lastClr="000000">
                  <a:lumMod val="75000"/>
                  <a:lumOff val="25000"/>
                </a:sysClr>
              </a:solidFill>
            </a:ln>
            <a:effectLst>
              <a:outerShdw blurRad="50800" dist="38100" algn="l" rotWithShape="0">
                <a:prstClr val="black">
                  <a:alpha val="40000"/>
                </a:prstClr>
              </a:outerShdw>
            </a:effectLst>
          </c:spPr>
          <c:dLbls>
            <c:txPr>
              <a:bodyPr/>
              <a:lstStyle/>
              <a:p>
                <a:pPr>
                  <a:defRPr b="1">
                    <a:latin typeface="Times New Roman" pitchFamily="18" charset="0"/>
                    <a:cs typeface="Times New Roman" pitchFamily="18" charset="0"/>
                  </a:defRPr>
                </a:pPr>
                <a:endParaRPr lang="ru-RU"/>
              </a:p>
            </c:txPr>
            <c:showVal val="1"/>
          </c:dLbls>
          <c:cat>
            <c:strRef>
              <c:f>Лист1!$A$1:$D$1</c:f>
              <c:strCache>
                <c:ptCount val="4"/>
                <c:pt idx="0">
                  <c:v>на 01.01.2010</c:v>
                </c:pt>
                <c:pt idx="1">
                  <c:v>на 01.01.2011</c:v>
                </c:pt>
                <c:pt idx="2">
                  <c:v>на 01.01.2012</c:v>
                </c:pt>
                <c:pt idx="3">
                  <c:v>на 01.01.2013</c:v>
                </c:pt>
              </c:strCache>
            </c:strRef>
          </c:cat>
          <c:val>
            <c:numRef>
              <c:f>Лист1!$A$2:$D$2</c:f>
              <c:numCache>
                <c:formatCode>General</c:formatCode>
                <c:ptCount val="4"/>
                <c:pt idx="0">
                  <c:v>49.1</c:v>
                </c:pt>
                <c:pt idx="1">
                  <c:v>48.2</c:v>
                </c:pt>
                <c:pt idx="2">
                  <c:v>36.9</c:v>
                </c:pt>
                <c:pt idx="3">
                  <c:v>34.300000000000004</c:v>
                </c:pt>
              </c:numCache>
            </c:numRef>
          </c:val>
        </c:ser>
        <c:dLbls>
          <c:showVal val="1"/>
        </c:dLbls>
        <c:axId val="179359104"/>
        <c:axId val="179418240"/>
      </c:barChart>
      <c:catAx>
        <c:axId val="179359104"/>
        <c:scaling>
          <c:orientation val="minMax"/>
        </c:scaling>
        <c:axPos val="l"/>
        <c:numFmt formatCode="General" sourceLinked="1"/>
        <c:tickLblPos val="nextTo"/>
        <c:txPr>
          <a:bodyPr rot="0" vert="horz"/>
          <a:lstStyle/>
          <a:p>
            <a:pPr>
              <a:defRPr>
                <a:latin typeface="Times New Roman" pitchFamily="18" charset="0"/>
                <a:cs typeface="Times New Roman" pitchFamily="18" charset="0"/>
              </a:defRPr>
            </a:pPr>
            <a:endParaRPr lang="ru-RU"/>
          </a:p>
        </c:txPr>
        <c:crossAx val="179418240"/>
        <c:crosses val="autoZero"/>
        <c:auto val="1"/>
        <c:lblAlgn val="ctr"/>
        <c:lblOffset val="100"/>
        <c:tickLblSkip val="1"/>
        <c:tickMarkSkip val="1"/>
      </c:catAx>
      <c:valAx>
        <c:axId val="179418240"/>
        <c:scaling>
          <c:orientation val="minMax"/>
        </c:scaling>
        <c:delete val="1"/>
        <c:axPos val="b"/>
        <c:numFmt formatCode="General" sourceLinked="1"/>
        <c:tickLblPos val="nextTo"/>
        <c:crossAx val="179359104"/>
        <c:crosses val="autoZero"/>
        <c:crossBetween val="between"/>
      </c:valAx>
    </c:plotArea>
    <c:plotVisOnly val="1"/>
    <c:dispBlanksAs val="gap"/>
  </c:chart>
  <c:spPr>
    <a:noFill/>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
          <c:y val="0"/>
          <c:w val="1"/>
          <c:h val="0.66320300091243967"/>
        </c:manualLayout>
      </c:layout>
      <c:barChart>
        <c:barDir val="col"/>
        <c:grouping val="clustered"/>
        <c:ser>
          <c:idx val="0"/>
          <c:order val="0"/>
          <c:tx>
            <c:strRef>
              <c:f>Лист3!$A$2</c:f>
              <c:strCache>
                <c:ptCount val="1"/>
                <c:pt idx="0">
                  <c:v>Прибуток</c:v>
                </c:pt>
              </c:strCache>
            </c:strRef>
          </c:tx>
          <c:spPr>
            <a:solidFill>
              <a:srgbClr val="FFFF00"/>
            </a:solidFill>
            <a:ln>
              <a:solidFill>
                <a:schemeClr val="tx1">
                  <a:lumMod val="65000"/>
                  <a:lumOff val="35000"/>
                </a:schemeClr>
              </a:solidFill>
            </a:ln>
            <a:scene3d>
              <a:camera prst="orthographicFront"/>
              <a:lightRig rig="threePt" dir="t">
                <a:rot lat="0" lon="0" rev="1200000"/>
              </a:lightRig>
            </a:scene3d>
            <a:sp3d>
              <a:bevelT w="63500" h="25400" prst="angle"/>
            </a:sp3d>
          </c:spPr>
          <c:dLbls>
            <c:dLbl>
              <c:idx val="3"/>
              <c:tx>
                <c:rich>
                  <a:bodyPr/>
                  <a:lstStyle/>
                  <a:p>
                    <a:r>
                      <a:rPr lang="en-US"/>
                      <a:t>27,</a:t>
                    </a:r>
                    <a:r>
                      <a:rPr lang="ru-RU"/>
                      <a:t>5</a:t>
                    </a:r>
                    <a:endParaRPr lang="en-US"/>
                  </a:p>
                </c:rich>
              </c:tx>
              <c:dLblPos val="outEnd"/>
              <c:showVal val="1"/>
            </c:dLbl>
            <c:dLbl>
              <c:idx val="4"/>
              <c:layout>
                <c:manualLayout>
                  <c:x val="0"/>
                  <c:y val="-5.9259259259259274E-3"/>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Лист3!$B$1:$F$1</c:f>
              <c:strCache>
                <c:ptCount val="5"/>
                <c:pt idx="0">
                  <c:v>2008</c:v>
                </c:pt>
                <c:pt idx="1">
                  <c:v>2009</c:v>
                </c:pt>
                <c:pt idx="2">
                  <c:v>2010</c:v>
                </c:pt>
                <c:pt idx="3">
                  <c:v>2011</c:v>
                </c:pt>
                <c:pt idx="4">
                  <c:v>2012</c:v>
                </c:pt>
              </c:strCache>
            </c:strRef>
          </c:cat>
          <c:val>
            <c:numRef>
              <c:f>Лист3!$B$2:$F$2</c:f>
              <c:numCache>
                <c:formatCode>General</c:formatCode>
                <c:ptCount val="5"/>
                <c:pt idx="0">
                  <c:v>20.3</c:v>
                </c:pt>
                <c:pt idx="1">
                  <c:v>11.6</c:v>
                </c:pt>
                <c:pt idx="2">
                  <c:v>19.8</c:v>
                </c:pt>
                <c:pt idx="3" formatCode="0.0">
                  <c:v>27.6</c:v>
                </c:pt>
                <c:pt idx="4" formatCode="0.0">
                  <c:v>19</c:v>
                </c:pt>
              </c:numCache>
            </c:numRef>
          </c:val>
        </c:ser>
        <c:ser>
          <c:idx val="1"/>
          <c:order val="1"/>
          <c:tx>
            <c:strRef>
              <c:f>Лист3!$A$3</c:f>
              <c:strCache>
                <c:ptCount val="1"/>
                <c:pt idx="0">
                  <c:v>Збитки</c:v>
                </c:pt>
              </c:strCache>
            </c:strRef>
          </c:tx>
          <c:spPr>
            <a:solidFill>
              <a:srgbClr val="255997"/>
            </a:solidFill>
          </c:spPr>
          <c:dLbls>
            <c:dLbl>
              <c:idx val="0"/>
              <c:layout>
                <c:manualLayout>
                  <c:x val="3.5087719298245892E-3"/>
                  <c:y val="-0.11259259259259258"/>
                </c:manualLayout>
              </c:layout>
              <c:dLblPos val="inBase"/>
              <c:showVal val="1"/>
            </c:dLbl>
            <c:dLbl>
              <c:idx val="1"/>
              <c:layout>
                <c:manualLayout>
                  <c:x val="0"/>
                  <c:y val="-0.16592592592592592"/>
                </c:manualLayout>
              </c:layout>
              <c:dLblPos val="inBase"/>
              <c:showVal val="1"/>
            </c:dLbl>
            <c:dLbl>
              <c:idx val="2"/>
              <c:layout>
                <c:manualLayout>
                  <c:x val="0"/>
                  <c:y val="-0.11851851851851851"/>
                </c:manualLayout>
              </c:layout>
              <c:dLblPos val="inBase"/>
              <c:showVal val="1"/>
            </c:dLbl>
            <c:dLbl>
              <c:idx val="3"/>
              <c:layout>
                <c:manualLayout>
                  <c:x val="0"/>
                  <c:y val="-0.15407407407407409"/>
                </c:manualLayout>
              </c:layout>
              <c:dLblPos val="inBase"/>
              <c:showVal val="1"/>
            </c:dLbl>
            <c:dLbl>
              <c:idx val="4"/>
              <c:layout>
                <c:manualLayout>
                  <c:x val="0"/>
                  <c:y val="-0.20148101487314091"/>
                </c:manualLayout>
              </c:layout>
              <c:dLblPos val="inBase"/>
              <c:showVal val="1"/>
            </c:dLbl>
            <c:txPr>
              <a:bodyPr/>
              <a:lstStyle/>
              <a:p>
                <a:pPr>
                  <a:defRPr b="1">
                    <a:latin typeface="Times New Roman" pitchFamily="18" charset="0"/>
                    <a:cs typeface="Times New Roman" pitchFamily="18" charset="0"/>
                  </a:defRPr>
                </a:pPr>
                <a:endParaRPr lang="ru-RU"/>
              </a:p>
            </c:txPr>
            <c:dLblPos val="inBase"/>
            <c:showVal val="1"/>
          </c:dLbls>
          <c:cat>
            <c:strRef>
              <c:f>Лист3!$B$1:$F$1</c:f>
              <c:strCache>
                <c:ptCount val="5"/>
                <c:pt idx="0">
                  <c:v>2008</c:v>
                </c:pt>
                <c:pt idx="1">
                  <c:v>2009</c:v>
                </c:pt>
                <c:pt idx="2">
                  <c:v>2010</c:v>
                </c:pt>
                <c:pt idx="3">
                  <c:v>2011</c:v>
                </c:pt>
                <c:pt idx="4">
                  <c:v>2012</c:v>
                </c:pt>
              </c:strCache>
            </c:strRef>
          </c:cat>
          <c:val>
            <c:numRef>
              <c:f>Лист3!$B$3:$F$3</c:f>
              <c:numCache>
                <c:formatCode>General</c:formatCode>
                <c:ptCount val="5"/>
                <c:pt idx="0">
                  <c:v>-11.4</c:v>
                </c:pt>
                <c:pt idx="1">
                  <c:v>-15.6</c:v>
                </c:pt>
                <c:pt idx="2">
                  <c:v>-11.5</c:v>
                </c:pt>
                <c:pt idx="3" formatCode="0.0">
                  <c:v>-16</c:v>
                </c:pt>
                <c:pt idx="4" formatCode="0.0">
                  <c:v>-22</c:v>
                </c:pt>
              </c:numCache>
            </c:numRef>
          </c:val>
        </c:ser>
        <c:dLbls>
          <c:showVal val="1"/>
        </c:dLbls>
        <c:axId val="179661824"/>
        <c:axId val="179684096"/>
      </c:barChart>
      <c:lineChart>
        <c:grouping val="standard"/>
        <c:ser>
          <c:idx val="2"/>
          <c:order val="2"/>
          <c:tx>
            <c:strRef>
              <c:f>Лист3!$A$4</c:f>
              <c:strCache>
                <c:ptCount val="1"/>
                <c:pt idx="0">
                  <c:v>Фінансовий результат</c:v>
                </c:pt>
              </c:strCache>
            </c:strRef>
          </c:tx>
          <c:spPr>
            <a:ln w="31750"/>
          </c:spPr>
          <c:dLbls>
            <c:dLbl>
              <c:idx val="0"/>
              <c:layout>
                <c:manualLayout>
                  <c:x val="3.5087719298245612E-2"/>
                  <c:y val="1.7777777777777753E-2"/>
                </c:manualLayout>
              </c:layout>
              <c:dLblPos val="t"/>
              <c:showVal val="1"/>
            </c:dLbl>
            <c:dLbl>
              <c:idx val="1"/>
              <c:layout>
                <c:manualLayout>
                  <c:x val="-5.2631578947368432E-2"/>
                  <c:y val="0.11259259259259254"/>
                </c:manualLayout>
              </c:layout>
              <c:dLblPos val="t"/>
              <c:showVal val="1"/>
            </c:dLbl>
            <c:dLbl>
              <c:idx val="2"/>
              <c:layout>
                <c:manualLayout>
                  <c:x val="4.2105263157894736E-2"/>
                  <c:y val="5.9259259259258987E-3"/>
                </c:manualLayout>
              </c:layout>
              <c:dLblPos val="t"/>
              <c:showVal val="1"/>
            </c:dLbl>
            <c:dLbl>
              <c:idx val="3"/>
              <c:layout>
                <c:manualLayout>
                  <c:x val="4.2105263157894736E-2"/>
                  <c:y val="1.7777777777777809E-2"/>
                </c:manualLayout>
              </c:layout>
              <c:dLblPos val="t"/>
              <c:showVal val="1"/>
            </c:dLbl>
            <c:dLbl>
              <c:idx val="4"/>
              <c:layout>
                <c:manualLayout>
                  <c:x val="-5.2631578947368314E-2"/>
                  <c:y val="0.13037037037037036"/>
                </c:manualLayout>
              </c:layout>
              <c:dLblPos val="t"/>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Лист3!$B$1:$F$1</c:f>
              <c:strCache>
                <c:ptCount val="5"/>
                <c:pt idx="0">
                  <c:v>2008</c:v>
                </c:pt>
                <c:pt idx="1">
                  <c:v>2009</c:v>
                </c:pt>
                <c:pt idx="2">
                  <c:v>2010</c:v>
                </c:pt>
                <c:pt idx="3">
                  <c:v>2011</c:v>
                </c:pt>
                <c:pt idx="4">
                  <c:v>2012</c:v>
                </c:pt>
              </c:strCache>
            </c:strRef>
          </c:cat>
          <c:val>
            <c:numRef>
              <c:f>Лист3!$B$4:$F$4</c:f>
              <c:numCache>
                <c:formatCode>General</c:formatCode>
                <c:ptCount val="5"/>
                <c:pt idx="0">
                  <c:v>8.9</c:v>
                </c:pt>
                <c:pt idx="1">
                  <c:v>-4</c:v>
                </c:pt>
                <c:pt idx="2">
                  <c:v>8.3000000000000007</c:v>
                </c:pt>
                <c:pt idx="3" formatCode="0.0">
                  <c:v>11.5</c:v>
                </c:pt>
                <c:pt idx="4" formatCode="0.0">
                  <c:v>-3</c:v>
                </c:pt>
              </c:numCache>
            </c:numRef>
          </c:val>
        </c:ser>
        <c:dLbls>
          <c:showVal val="1"/>
        </c:dLbls>
        <c:marker val="1"/>
        <c:axId val="179661824"/>
        <c:axId val="179684096"/>
      </c:lineChart>
      <c:catAx>
        <c:axId val="179661824"/>
        <c:scaling>
          <c:orientation val="minMax"/>
        </c:scaling>
        <c:axPos val="b"/>
        <c:numFmt formatCode="General" sourceLinked="1"/>
        <c:tickLblPos val="nextTo"/>
        <c:txPr>
          <a:bodyPr rot="0" vert="horz"/>
          <a:lstStyle/>
          <a:p>
            <a:pPr>
              <a:defRPr sz="100">
                <a:solidFill>
                  <a:schemeClr val="bg1"/>
                </a:solidFill>
              </a:defRPr>
            </a:pPr>
            <a:endParaRPr lang="ru-RU"/>
          </a:p>
        </c:txPr>
        <c:crossAx val="179684096"/>
        <c:crosses val="autoZero"/>
        <c:lblAlgn val="ctr"/>
        <c:lblOffset val="100"/>
        <c:tickLblSkip val="1"/>
        <c:tickMarkSkip val="1"/>
      </c:catAx>
      <c:valAx>
        <c:axId val="179684096"/>
        <c:scaling>
          <c:orientation val="minMax"/>
        </c:scaling>
        <c:delete val="1"/>
        <c:axPos val="l"/>
        <c:numFmt formatCode="General" sourceLinked="1"/>
        <c:tickLblPos val="nextTo"/>
        <c:crossAx val="179661824"/>
        <c:crosses val="autoZero"/>
        <c:crossBetween val="between"/>
      </c:valAx>
      <c:spPr>
        <a:noFill/>
        <a:ln>
          <a:noFill/>
        </a:ln>
      </c:spPr>
    </c:plotArea>
    <c:legend>
      <c:legendPos val="b"/>
      <c:layout>
        <c:manualLayout>
          <c:xMode val="edge"/>
          <c:yMode val="edge"/>
          <c:x val="2.5840842059693947E-3"/>
          <c:y val="0.88116323862559065"/>
          <c:w val="0.99741591579402356"/>
          <c:h val="0.1188367613744102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6.2655091190524273E-2"/>
          <c:y val="7.8431372549019607E-2"/>
          <c:w val="0.89973807120263816"/>
          <c:h val="0.61187755273906275"/>
        </c:manualLayout>
      </c:layout>
      <c:barChart>
        <c:barDir val="col"/>
        <c:grouping val="clustered"/>
        <c:ser>
          <c:idx val="0"/>
          <c:order val="0"/>
          <c:tx>
            <c:strRef>
              <c:f>Лист3!$A$4</c:f>
              <c:strCache>
                <c:ptCount val="1"/>
                <c:pt idx="0">
                  <c:v>Збір, всього</c:v>
                </c:pt>
              </c:strCache>
            </c:strRef>
          </c:tx>
          <c:spPr>
            <a:solidFill>
              <a:srgbClr val="FF8080"/>
            </a:solidFill>
            <a:ln>
              <a:solidFill>
                <a:srgbClr val="7E0000"/>
              </a:solidFill>
            </a:ln>
          </c:spPr>
          <c:dLbls>
            <c:dLbl>
              <c:idx val="0"/>
              <c:layout>
                <c:manualLayout>
                  <c:x val="1.9543710882293893E-4"/>
                  <c:y val="0.25482712809047031"/>
                </c:manualLayout>
              </c:layout>
              <c:dLblPos val="outEnd"/>
              <c:showVal val="1"/>
            </c:dLbl>
            <c:dLbl>
              <c:idx val="1"/>
              <c:layout>
                <c:manualLayout>
                  <c:x val="-2.6919711959082452E-7"/>
                  <c:y val="0.23730209649720177"/>
                </c:manualLayout>
              </c:layout>
              <c:dLblPos val="outEnd"/>
              <c:showVal val="1"/>
            </c:dLbl>
            <c:dLbl>
              <c:idx val="2"/>
              <c:layout>
                <c:manualLayout>
                  <c:x val="-3.3743858940709411E-3"/>
                  <c:y val="0.24198956611904993"/>
                </c:manualLayout>
              </c:layout>
              <c:dLblPos val="outEnd"/>
              <c:showVal val="1"/>
            </c:dLbl>
            <c:dLbl>
              <c:idx val="3"/>
              <c:layout>
                <c:manualLayout>
                  <c:x val="-6.8376068376068393E-3"/>
                  <c:y val="0.33212792845338784"/>
                </c:manualLayout>
              </c:layout>
              <c:dLblPos val="outEnd"/>
              <c:showVal val="1"/>
            </c:dLbl>
            <c:dLbl>
              <c:idx val="4"/>
              <c:layout>
                <c:manualLayout>
                  <c:x val="-3.2232070910559944E-3"/>
                  <c:y val="0.20436343551507008"/>
                </c:manualLayout>
              </c:layout>
              <c:dLblPos val="outEnd"/>
              <c:showVal val="1"/>
            </c:dLbl>
            <c:dLbl>
              <c:idx val="5"/>
              <c:layout>
                <c:manualLayout>
                  <c:xMode val="edge"/>
                  <c:yMode val="edge"/>
                  <c:x val="0.8865435356200525"/>
                  <c:y val="1.7621145374449341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Лист3!$B$3:$F$3</c:f>
              <c:numCache>
                <c:formatCode>General</c:formatCode>
                <c:ptCount val="5"/>
                <c:pt idx="0">
                  <c:v>2008</c:v>
                </c:pt>
                <c:pt idx="1">
                  <c:v>2009</c:v>
                </c:pt>
                <c:pt idx="2">
                  <c:v>2010</c:v>
                </c:pt>
                <c:pt idx="3">
                  <c:v>2011</c:v>
                </c:pt>
                <c:pt idx="4">
                  <c:v>2012</c:v>
                </c:pt>
              </c:numCache>
            </c:numRef>
          </c:cat>
          <c:val>
            <c:numRef>
              <c:f>Лист3!$B$4:$F$4</c:f>
              <c:numCache>
                <c:formatCode>General</c:formatCode>
                <c:ptCount val="5"/>
                <c:pt idx="0">
                  <c:v>19.2</c:v>
                </c:pt>
                <c:pt idx="1">
                  <c:v>13.8</c:v>
                </c:pt>
                <c:pt idx="2">
                  <c:v>18.8</c:v>
                </c:pt>
                <c:pt idx="3">
                  <c:v>25.9</c:v>
                </c:pt>
                <c:pt idx="4">
                  <c:v>27.6</c:v>
                </c:pt>
              </c:numCache>
            </c:numRef>
          </c:val>
        </c:ser>
        <c:ser>
          <c:idx val="1"/>
          <c:order val="1"/>
          <c:tx>
            <c:strRef>
              <c:f>Лист3!$A$5</c:f>
              <c:strCache>
                <c:ptCount val="1"/>
                <c:pt idx="0">
                  <c:v>в т.ч. до державного бюджету</c:v>
                </c:pt>
              </c:strCache>
            </c:strRef>
          </c:tx>
          <c:spPr>
            <a:solidFill>
              <a:schemeClr val="accent1">
                <a:lumMod val="75000"/>
              </a:schemeClr>
            </a:solidFill>
          </c:spPr>
          <c:dLbls>
            <c:dLbl>
              <c:idx val="0"/>
              <c:layout>
                <c:manualLayout>
                  <c:x val="0"/>
                  <c:y val="0.19749910890768291"/>
                </c:manualLayout>
              </c:layout>
              <c:dLblPos val="outEnd"/>
              <c:showVal val="1"/>
            </c:dLbl>
            <c:dLbl>
              <c:idx val="1"/>
              <c:layout>
                <c:manualLayout>
                  <c:x val="0"/>
                  <c:y val="0.13735275634042021"/>
                </c:manualLayout>
              </c:layout>
              <c:dLblPos val="outEnd"/>
              <c:showVal val="1"/>
            </c:dLbl>
            <c:dLbl>
              <c:idx val="2"/>
              <c:layout>
                <c:manualLayout>
                  <c:x val="-3.3743858940709411E-3"/>
                  <c:y val="0.19736949547973498"/>
                </c:manualLayout>
              </c:layout>
              <c:dLblPos val="outEnd"/>
              <c:showVal val="1"/>
            </c:dLbl>
            <c:dLbl>
              <c:idx val="3"/>
              <c:layout>
                <c:manualLayout>
                  <c:x val="-2.6919711959082452E-7"/>
                  <c:y val="0.23742846958945377"/>
                </c:manualLayout>
              </c:layout>
              <c:dLblPos val="outEnd"/>
              <c:showVal val="1"/>
            </c:dLbl>
            <c:dLbl>
              <c:idx val="4"/>
              <c:layout>
                <c:manualLayout>
                  <c:x val="0"/>
                  <c:y val="0.22038819221671366"/>
                </c:manualLayout>
              </c:layout>
              <c:dLblPos val="outEnd"/>
              <c:showVal val="1"/>
            </c:dLbl>
            <c:txPr>
              <a:bodyPr/>
              <a:lstStyle/>
              <a:p>
                <a:pPr>
                  <a:defRPr b="1">
                    <a:solidFill>
                      <a:schemeClr val="bg1"/>
                    </a:solidFill>
                    <a:latin typeface="Times New Roman" pitchFamily="18" charset="0"/>
                    <a:cs typeface="Times New Roman" pitchFamily="18" charset="0"/>
                  </a:defRPr>
                </a:pPr>
                <a:endParaRPr lang="ru-RU"/>
              </a:p>
            </c:txPr>
            <c:dLblPos val="outEnd"/>
            <c:showVal val="1"/>
          </c:dLbls>
          <c:cat>
            <c:numRef>
              <c:f>Лист3!$B$3:$F$3</c:f>
              <c:numCache>
                <c:formatCode>General</c:formatCode>
                <c:ptCount val="5"/>
                <c:pt idx="0">
                  <c:v>2008</c:v>
                </c:pt>
                <c:pt idx="1">
                  <c:v>2009</c:v>
                </c:pt>
                <c:pt idx="2">
                  <c:v>2010</c:v>
                </c:pt>
                <c:pt idx="3">
                  <c:v>2011</c:v>
                </c:pt>
                <c:pt idx="4">
                  <c:v>2012</c:v>
                </c:pt>
              </c:numCache>
            </c:numRef>
          </c:cat>
          <c:val>
            <c:numRef>
              <c:f>Лист3!$B$5:$F$5</c:f>
              <c:numCache>
                <c:formatCode>General</c:formatCode>
                <c:ptCount val="5"/>
                <c:pt idx="0">
                  <c:v>12.6</c:v>
                </c:pt>
                <c:pt idx="1">
                  <c:v>7.3</c:v>
                </c:pt>
                <c:pt idx="2">
                  <c:v>11.1</c:v>
                </c:pt>
                <c:pt idx="3">
                  <c:v>16.8</c:v>
                </c:pt>
                <c:pt idx="4">
                  <c:v>17.100000000000001</c:v>
                </c:pt>
              </c:numCache>
            </c:numRef>
          </c:val>
        </c:ser>
        <c:dLbls>
          <c:showVal val="1"/>
        </c:dLbls>
        <c:gapWidth val="40"/>
        <c:axId val="179324416"/>
        <c:axId val="179325952"/>
      </c:barChart>
      <c:catAx>
        <c:axId val="179324416"/>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79325952"/>
        <c:crosses val="autoZero"/>
        <c:auto val="1"/>
        <c:lblAlgn val="ctr"/>
        <c:lblOffset val="100"/>
        <c:tickLblSkip val="1"/>
        <c:tickMarkSkip val="1"/>
      </c:catAx>
      <c:valAx>
        <c:axId val="179325952"/>
        <c:scaling>
          <c:orientation val="minMax"/>
          <c:max val="28"/>
          <c:min val="0"/>
        </c:scaling>
        <c:axPos val="l"/>
        <c:numFmt formatCode="General" sourceLinked="1"/>
        <c:tickLblPos val="nextTo"/>
        <c:spPr>
          <a:ln>
            <a:noFill/>
          </a:ln>
        </c:spPr>
        <c:txPr>
          <a:bodyPr/>
          <a:lstStyle/>
          <a:p>
            <a:pPr>
              <a:defRPr sz="100">
                <a:solidFill>
                  <a:schemeClr val="bg1"/>
                </a:solidFill>
              </a:defRPr>
            </a:pPr>
            <a:endParaRPr lang="ru-RU"/>
          </a:p>
        </c:txPr>
        <c:crossAx val="179324416"/>
        <c:crosses val="autoZero"/>
        <c:crossBetween val="between"/>
      </c:valAx>
      <c:spPr>
        <a:noFill/>
        <a:ln w="25372">
          <a:noFill/>
        </a:ln>
      </c:spPr>
    </c:plotArea>
    <c:legend>
      <c:legendPos val="b"/>
      <c:legendEntry>
        <c:idx val="1"/>
        <c:txPr>
          <a:bodyPr/>
          <a:lstStyle/>
          <a:p>
            <a:pPr>
              <a:defRPr sz="1000">
                <a:latin typeface="Times New Roman" pitchFamily="18" charset="0"/>
                <a:cs typeface="Times New Roman" pitchFamily="18" charset="0"/>
              </a:defRPr>
            </a:pPr>
            <a:endParaRPr lang="ru-RU"/>
          </a:p>
        </c:txPr>
      </c:legendEntry>
      <c:legendEntry>
        <c:idx val="0"/>
        <c:txPr>
          <a:bodyPr/>
          <a:lstStyle/>
          <a:p>
            <a:pPr>
              <a:defRPr sz="1000">
                <a:latin typeface="Times New Roman" pitchFamily="18" charset="0"/>
                <a:cs typeface="Times New Roman" pitchFamily="18" charset="0"/>
              </a:defRPr>
            </a:pPr>
            <a:endParaRPr lang="ru-RU"/>
          </a:p>
        </c:txPr>
      </c:legendEntry>
      <c:layout>
        <c:manualLayout>
          <c:xMode val="edge"/>
          <c:yMode val="edge"/>
          <c:x val="8.9790805852238767E-2"/>
          <c:y val="0.85567440433589237"/>
          <c:w val="0.82687456147189564"/>
          <c:h val="0.10472190976129225"/>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6986436904813878E-2"/>
          <c:y val="4.9593495934962609E-3"/>
          <c:w val="0.89763834494510153"/>
          <c:h val="0.57716919531400035"/>
        </c:manualLayout>
      </c:layout>
      <c:barChart>
        <c:barDir val="col"/>
        <c:grouping val="clustered"/>
        <c:ser>
          <c:idx val="0"/>
          <c:order val="0"/>
          <c:tx>
            <c:strRef>
              <c:f>Лист1!$A$3</c:f>
              <c:strCache>
                <c:ptCount val="1"/>
                <c:pt idx="0">
                  <c:v>Всього доходів (без трансфертів)</c:v>
                </c:pt>
              </c:strCache>
            </c:strRef>
          </c:tx>
          <c:spPr>
            <a:solidFill>
              <a:srgbClr val="92D050"/>
            </a:solidFill>
            <a:ln>
              <a:solidFill>
                <a:schemeClr val="bg2">
                  <a:lumMod val="10000"/>
                </a:schemeClr>
              </a:solidFill>
            </a:ln>
          </c:spPr>
          <c:dLbls>
            <c:dLbl>
              <c:idx val="0"/>
              <c:layout>
                <c:manualLayout>
                  <c:x val="-3.4536443814088447E-3"/>
                  <c:y val="3.8581444925018201E-3"/>
                </c:manualLayout>
              </c:layout>
              <c:dLblPos val="outEnd"/>
              <c:showVal val="1"/>
            </c:dLbl>
            <c:dLbl>
              <c:idx val="1"/>
              <c:layout>
                <c:manualLayout>
                  <c:x val="-3.4536443814088447E-3"/>
                  <c:y val="-3.6104641849346299E-4"/>
                </c:manualLayout>
              </c:layout>
              <c:dLblPos val="outEnd"/>
              <c:showVal val="1"/>
            </c:dLbl>
            <c:dLbl>
              <c:idx val="2"/>
              <c:layout>
                <c:manualLayout>
                  <c:x val="-6.8942469147879014E-3"/>
                  <c:y val="-7.0397890404551057E-3"/>
                </c:manualLayout>
              </c:layout>
              <c:dLblPos val="outEnd"/>
              <c:showVal val="1"/>
            </c:dLbl>
            <c:dLbl>
              <c:idx val="3"/>
              <c:layout>
                <c:manualLayout>
                  <c:x val="-6.9007678388033093E-3"/>
                  <c:y val="-2.7454314689540145E-3"/>
                </c:manualLayout>
              </c:layout>
              <c:dLblPos val="outEnd"/>
              <c:showVal val="1"/>
            </c:dLbl>
            <c:dLbl>
              <c:idx val="4"/>
              <c:layout>
                <c:manualLayout>
                  <c:x val="0"/>
                  <c:y val="-1.3960050768303568E-2"/>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numRef>
              <c:f>Лист1!$B$2:$F$2</c:f>
              <c:numCache>
                <c:formatCode>General</c:formatCode>
                <c:ptCount val="5"/>
                <c:pt idx="0">
                  <c:v>2008</c:v>
                </c:pt>
                <c:pt idx="1">
                  <c:v>2009</c:v>
                </c:pt>
                <c:pt idx="2">
                  <c:v>2010</c:v>
                </c:pt>
                <c:pt idx="3">
                  <c:v>2011</c:v>
                </c:pt>
                <c:pt idx="4">
                  <c:v>2012</c:v>
                </c:pt>
              </c:numCache>
            </c:numRef>
          </c:cat>
          <c:val>
            <c:numRef>
              <c:f>Лист1!$B$3:$F$3</c:f>
              <c:numCache>
                <c:formatCode>General</c:formatCode>
                <c:ptCount val="5"/>
                <c:pt idx="0">
                  <c:v>7.5</c:v>
                </c:pt>
                <c:pt idx="1">
                  <c:v>7.4</c:v>
                </c:pt>
                <c:pt idx="2">
                  <c:v>8.6</c:v>
                </c:pt>
                <c:pt idx="3">
                  <c:v>10.1</c:v>
                </c:pt>
                <c:pt idx="4">
                  <c:v>11.6</c:v>
                </c:pt>
              </c:numCache>
            </c:numRef>
          </c:val>
        </c:ser>
        <c:ser>
          <c:idx val="1"/>
          <c:order val="1"/>
          <c:tx>
            <c:strRef>
              <c:f>Лист1!$A$4</c:f>
              <c:strCache>
                <c:ptCount val="1"/>
                <c:pt idx="0">
                  <c:v>Трансферти з державного бюджету</c:v>
                </c:pt>
              </c:strCache>
            </c:strRef>
          </c:tx>
          <c:spPr>
            <a:solidFill>
              <a:schemeClr val="accent5">
                <a:lumMod val="50000"/>
              </a:schemeClr>
            </a:solidFill>
          </c:spPr>
          <c:dLbls>
            <c:dLbl>
              <c:idx val="0"/>
              <c:layout>
                <c:manualLayout>
                  <c:x val="0"/>
                  <c:y val="-7.4037106863989524E-3"/>
                </c:manualLayout>
              </c:layout>
              <c:dLblPos val="outEnd"/>
              <c:showVal val="1"/>
            </c:dLbl>
            <c:dLbl>
              <c:idx val="1"/>
              <c:layout>
                <c:manualLayout>
                  <c:x val="0"/>
                  <c:y val="1.1232692157611754E-2"/>
                </c:manualLayout>
              </c:layout>
              <c:dLblPos val="outEnd"/>
              <c:showVal val="1"/>
            </c:dLbl>
            <c:dLbl>
              <c:idx val="2"/>
              <c:layout>
                <c:manualLayout>
                  <c:x val="3.4503839194013892E-3"/>
                  <c:y val="-1.6680426683755981E-3"/>
                </c:manualLayout>
              </c:layout>
              <c:dLblPos val="outEnd"/>
              <c:showVal val="1"/>
            </c:dLbl>
            <c:dLbl>
              <c:idx val="3"/>
              <c:layout>
                <c:manualLayout>
                  <c:x val="0"/>
                  <c:y val="5.3397081232923575E-6"/>
                </c:manualLayout>
              </c:layout>
              <c:dLblPos val="outEnd"/>
              <c:showVal val="1"/>
            </c:dLbl>
            <c:dLbl>
              <c:idx val="4"/>
              <c:layout>
                <c:manualLayout>
                  <c:x val="6.9048434163126718E-3"/>
                  <c:y val="3.9982091440447882E-3"/>
                </c:manualLayout>
              </c:layout>
              <c:dLblPos val="outEnd"/>
              <c:showVal val="1"/>
            </c:dLbl>
            <c:txPr>
              <a:bodyPr/>
              <a:lstStyle/>
              <a:p>
                <a:pPr>
                  <a:defRPr b="1">
                    <a:solidFill>
                      <a:schemeClr val="tx1"/>
                    </a:solidFill>
                    <a:latin typeface="Times New Roman" pitchFamily="18" charset="0"/>
                    <a:cs typeface="Times New Roman" pitchFamily="18" charset="0"/>
                  </a:defRPr>
                </a:pPr>
                <a:endParaRPr lang="ru-RU"/>
              </a:p>
            </c:txPr>
            <c:showVal val="1"/>
          </c:dLbls>
          <c:cat>
            <c:numRef>
              <c:f>Лист1!$B$2:$F$2</c:f>
              <c:numCache>
                <c:formatCode>General</c:formatCode>
                <c:ptCount val="5"/>
                <c:pt idx="0">
                  <c:v>2008</c:v>
                </c:pt>
                <c:pt idx="1">
                  <c:v>2009</c:v>
                </c:pt>
                <c:pt idx="2">
                  <c:v>2010</c:v>
                </c:pt>
                <c:pt idx="3">
                  <c:v>2011</c:v>
                </c:pt>
                <c:pt idx="4">
                  <c:v>2012</c:v>
                </c:pt>
              </c:numCache>
            </c:numRef>
          </c:cat>
          <c:val>
            <c:numRef>
              <c:f>Лист1!$B$4:$F$4</c:f>
              <c:numCache>
                <c:formatCode>General</c:formatCode>
                <c:ptCount val="5"/>
                <c:pt idx="0" formatCode="0.0">
                  <c:v>4</c:v>
                </c:pt>
                <c:pt idx="1">
                  <c:v>4.3</c:v>
                </c:pt>
                <c:pt idx="2" formatCode="0.0">
                  <c:v>5.4</c:v>
                </c:pt>
                <c:pt idx="3">
                  <c:v>7.3</c:v>
                </c:pt>
                <c:pt idx="4" formatCode="0.0">
                  <c:v>10.8</c:v>
                </c:pt>
              </c:numCache>
            </c:numRef>
          </c:val>
        </c:ser>
        <c:dLbls>
          <c:showVal val="1"/>
        </c:dLbls>
        <c:gapWidth val="50"/>
        <c:axId val="179852032"/>
        <c:axId val="179853568"/>
      </c:barChart>
      <c:catAx>
        <c:axId val="179852032"/>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79853568"/>
        <c:crosses val="autoZero"/>
        <c:auto val="1"/>
        <c:lblAlgn val="ctr"/>
        <c:lblOffset val="100"/>
        <c:tickLblSkip val="1"/>
        <c:tickMarkSkip val="1"/>
      </c:catAx>
      <c:valAx>
        <c:axId val="179853568"/>
        <c:scaling>
          <c:orientation val="minMax"/>
          <c:max val="14"/>
        </c:scaling>
        <c:axPos val="l"/>
        <c:numFmt formatCode="General" sourceLinked="1"/>
        <c:tickLblPos val="nextTo"/>
        <c:spPr>
          <a:ln>
            <a:noFill/>
          </a:ln>
        </c:spPr>
        <c:txPr>
          <a:bodyPr/>
          <a:lstStyle/>
          <a:p>
            <a:pPr>
              <a:defRPr sz="100">
                <a:solidFill>
                  <a:schemeClr val="bg1"/>
                </a:solidFill>
              </a:defRPr>
            </a:pPr>
            <a:endParaRPr lang="ru-RU"/>
          </a:p>
        </c:txPr>
        <c:crossAx val="179852032"/>
        <c:crosses val="autoZero"/>
        <c:crossBetween val="between"/>
      </c:valAx>
      <c:spPr>
        <a:noFill/>
        <a:ln w="25359">
          <a:noFill/>
        </a:ln>
      </c:spPr>
    </c:plotArea>
    <c:legend>
      <c:legendPos val="r"/>
      <c:layout>
        <c:manualLayout>
          <c:xMode val="edge"/>
          <c:yMode val="edge"/>
          <c:x val="9.8666722510755728E-2"/>
          <c:y val="0.79608411753411101"/>
          <c:w val="0.82933350086558355"/>
          <c:h val="0.20391588246591932"/>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3421344719970852E-2"/>
          <c:y val="0"/>
          <c:w val="0.93086013502043552"/>
          <c:h val="0.68994628007949499"/>
        </c:manualLayout>
      </c:layout>
      <c:barChart>
        <c:barDir val="col"/>
        <c:grouping val="clustered"/>
        <c:ser>
          <c:idx val="1"/>
          <c:order val="0"/>
          <c:tx>
            <c:strRef>
              <c:f>Лист1!$A$2</c:f>
              <c:strCache>
                <c:ptCount val="1"/>
                <c:pt idx="0">
                  <c:v>Кредитні ресурси, млрд. грн.</c:v>
                </c:pt>
              </c:strCache>
            </c:strRef>
          </c:tx>
          <c:spPr>
            <a:solidFill>
              <a:srgbClr val="206241"/>
            </a:solidFill>
            <a:ln w="10726">
              <a:solidFill>
                <a:srgbClr val="000000"/>
              </a:solidFill>
              <a:prstDash val="solid"/>
            </a:ln>
            <a:effectLst>
              <a:outerShdw blurRad="50800" dist="38100" algn="l" rotWithShape="0">
                <a:prstClr val="black">
                  <a:alpha val="40000"/>
                </a:prstClr>
              </a:outerShdw>
            </a:effectLst>
            <a:scene3d>
              <a:camera prst="orthographicFront"/>
              <a:lightRig rig="threePt" dir="t"/>
            </a:scene3d>
            <a:sp3d>
              <a:bevelB prst="relaxedInset"/>
            </a:sp3d>
          </c:spPr>
          <c:dLbls>
            <c:dLbl>
              <c:idx val="0"/>
              <c:layout>
                <c:manualLayout>
                  <c:x val="0.7416984425170543"/>
                  <c:y val="1.3005617288493144E-3"/>
                </c:manualLayout>
              </c:layout>
              <c:tx>
                <c:rich>
                  <a:bodyPr/>
                  <a:lstStyle/>
                  <a:p>
                    <a:r>
                      <a:rPr lang="ru-RU" sz="998">
                        <a:latin typeface="Times New Roman" pitchFamily="18" charset="0"/>
                        <a:cs typeface="Times New Roman" pitchFamily="18" charset="0"/>
                      </a:rPr>
                      <a:t>52,8</a:t>
                    </a:r>
                  </a:p>
                </c:rich>
              </c:tx>
              <c:dLblPos val="outEnd"/>
            </c:dLbl>
            <c:dLbl>
              <c:idx val="1"/>
              <c:layout>
                <c:manualLayout>
                  <c:x val="-0.18647614479662988"/>
                  <c:y val="2.5613854342973492E-3"/>
                </c:manualLayout>
              </c:layout>
              <c:tx>
                <c:rich>
                  <a:bodyPr/>
                  <a:lstStyle/>
                  <a:p>
                    <a:r>
                      <a:rPr lang="ru-RU" sz="998">
                        <a:latin typeface="Times New Roman" pitchFamily="18" charset="0"/>
                        <a:cs typeface="Times New Roman" pitchFamily="18" charset="0"/>
                      </a:rPr>
                      <a:t>53,0</a:t>
                    </a:r>
                  </a:p>
                </c:rich>
              </c:tx>
              <c:dLblPos val="outEnd"/>
            </c:dLbl>
            <c:dLbl>
              <c:idx val="2"/>
              <c:layout>
                <c:manualLayout>
                  <c:x val="-0.18431778514995792"/>
                  <c:y val="-3.3169965903794736E-2"/>
                </c:manualLayout>
              </c:layout>
              <c:tx>
                <c:rich>
                  <a:bodyPr/>
                  <a:lstStyle/>
                  <a:p>
                    <a:r>
                      <a:rPr lang="ru-RU" sz="998">
                        <a:latin typeface="Times New Roman" pitchFamily="18" charset="0"/>
                        <a:cs typeface="Times New Roman" pitchFamily="18" charset="0"/>
                      </a:rPr>
                      <a:t>51,6</a:t>
                    </a:r>
                  </a:p>
                </c:rich>
              </c:tx>
              <c:dLblPos val="outEnd"/>
            </c:dLbl>
            <c:dLbl>
              <c:idx val="3"/>
              <c:layout>
                <c:manualLayout>
                  <c:x val="-0.18839895013124294"/>
                  <c:y val="2.7054725635931021E-2"/>
                </c:manualLayout>
              </c:layout>
              <c:tx>
                <c:rich>
                  <a:bodyPr/>
                  <a:lstStyle/>
                  <a:p>
                    <a:r>
                      <a:rPr lang="ru-RU" sz="998">
                        <a:latin typeface="Times New Roman" pitchFamily="18" charset="0"/>
                        <a:cs typeface="Times New Roman" pitchFamily="18" charset="0"/>
                      </a:rPr>
                      <a:t>46,6</a:t>
                    </a:r>
                  </a:p>
                </c:rich>
              </c:tx>
              <c:dLblPos val="outEnd"/>
            </c:dLbl>
            <c:dLbl>
              <c:idx val="4"/>
              <c:layout>
                <c:manualLayout>
                  <c:x val="-0.1964657029811572"/>
                  <c:y val="3.1721917113302092E-2"/>
                </c:manualLayout>
              </c:layout>
              <c:tx>
                <c:rich>
                  <a:bodyPr/>
                  <a:lstStyle/>
                  <a:p>
                    <a:r>
                      <a:rPr lang="ru-RU" sz="998">
                        <a:latin typeface="Times New Roman" pitchFamily="18" charset="0"/>
                        <a:cs typeface="Times New Roman" pitchFamily="18" charset="0"/>
                      </a:rPr>
                      <a:t>48,5</a:t>
                    </a:r>
                  </a:p>
                </c:rich>
              </c:tx>
              <c:dLblPos val="outEnd"/>
            </c:dLbl>
            <c:spPr>
              <a:noFill/>
              <a:ln w="21450">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Лист1!$B$1:$F$1</c:f>
              <c:numCache>
                <c:formatCode>dd/mm/yyyy</c:formatCode>
                <c:ptCount val="5"/>
                <c:pt idx="0">
                  <c:v>39814</c:v>
                </c:pt>
                <c:pt idx="1">
                  <c:v>40179</c:v>
                </c:pt>
                <c:pt idx="2">
                  <c:v>40544</c:v>
                </c:pt>
                <c:pt idx="3">
                  <c:v>40909</c:v>
                </c:pt>
                <c:pt idx="4">
                  <c:v>41275</c:v>
                </c:pt>
              </c:numCache>
            </c:numRef>
          </c:cat>
          <c:val>
            <c:numRef>
              <c:f>Лист1!$B$2:$F$2</c:f>
              <c:numCache>
                <c:formatCode>General</c:formatCode>
                <c:ptCount val="5"/>
                <c:pt idx="0">
                  <c:v>53005</c:v>
                </c:pt>
                <c:pt idx="1">
                  <c:v>51635</c:v>
                </c:pt>
                <c:pt idx="2">
                  <c:v>46585</c:v>
                </c:pt>
                <c:pt idx="3">
                  <c:v>48537</c:v>
                </c:pt>
                <c:pt idx="4">
                  <c:v>52400</c:v>
                </c:pt>
              </c:numCache>
            </c:numRef>
          </c:val>
        </c:ser>
        <c:ser>
          <c:idx val="0"/>
          <c:order val="1"/>
          <c:tx>
            <c:strRef>
              <c:f>Лист1!$A$3</c:f>
              <c:strCache>
                <c:ptCount val="1"/>
                <c:pt idx="0">
                  <c:v>Вклади населення, млрд. грн.</c:v>
                </c:pt>
              </c:strCache>
            </c:strRef>
          </c:tx>
          <c:spPr>
            <a:solidFill>
              <a:srgbClr val="FFBDFF"/>
            </a:solidFill>
            <a:ln w="10726">
              <a:solidFill>
                <a:srgbClr val="000000"/>
              </a:solidFill>
              <a:prstDash val="solid"/>
            </a:ln>
          </c:spPr>
          <c:dLbls>
            <c:dLbl>
              <c:idx val="0"/>
              <c:layout>
                <c:manualLayout>
                  <c:x val="1.2650657473785925E-3"/>
                  <c:y val="0.11541793230901998"/>
                </c:manualLayout>
              </c:layout>
              <c:tx>
                <c:rich>
                  <a:bodyPr/>
                  <a:lstStyle/>
                  <a:p>
                    <a:r>
                      <a:rPr lang="ru-RU" sz="998">
                        <a:latin typeface="Times New Roman" pitchFamily="18" charset="0"/>
                        <a:cs typeface="Times New Roman" pitchFamily="18" charset="0"/>
                      </a:rPr>
                      <a:t>17,1</a:t>
                    </a:r>
                  </a:p>
                </c:rich>
              </c:tx>
              <c:dLblPos val="outEnd"/>
            </c:dLbl>
            <c:dLbl>
              <c:idx val="1"/>
              <c:layout>
                <c:manualLayout>
                  <c:x val="6.3592797169020074E-4"/>
                  <c:y val="0.15173985274314139"/>
                </c:manualLayout>
              </c:layout>
              <c:tx>
                <c:rich>
                  <a:bodyPr/>
                  <a:lstStyle/>
                  <a:p>
                    <a:r>
                      <a:rPr lang="ru-RU" sz="998">
                        <a:latin typeface="Times New Roman" pitchFamily="18" charset="0"/>
                        <a:cs typeface="Times New Roman" pitchFamily="18" charset="0"/>
                      </a:rPr>
                      <a:t>17,8</a:t>
                    </a:r>
                  </a:p>
                </c:rich>
              </c:tx>
              <c:dLblPos val="outEnd"/>
            </c:dLbl>
            <c:dLbl>
              <c:idx val="2"/>
              <c:layout>
                <c:manualLayout>
                  <c:x val="2.6355969463208052E-3"/>
                  <c:y val="0.20888561826967667"/>
                </c:manualLayout>
              </c:layout>
              <c:tx>
                <c:rich>
                  <a:bodyPr/>
                  <a:lstStyle/>
                  <a:p>
                    <a:r>
                      <a:rPr lang="ru-RU" sz="998">
                        <a:latin typeface="Times New Roman" pitchFamily="18" charset="0"/>
                        <a:cs typeface="Times New Roman" pitchFamily="18" charset="0"/>
                      </a:rPr>
                      <a:t>25,1</a:t>
                    </a:r>
                  </a:p>
                </c:rich>
              </c:tx>
              <c:dLblPos val="outEnd"/>
            </c:dLbl>
            <c:dLbl>
              <c:idx val="3"/>
              <c:layout>
                <c:manualLayout>
                  <c:x val="-1.2435882062965481E-3"/>
                  <c:y val="0.18802708072706764"/>
                </c:manualLayout>
              </c:layout>
              <c:tx>
                <c:rich>
                  <a:bodyPr/>
                  <a:lstStyle/>
                  <a:p>
                    <a:r>
                      <a:rPr lang="ru-RU" sz="998">
                        <a:latin typeface="Times New Roman" pitchFamily="18" charset="0"/>
                        <a:cs typeface="Times New Roman" pitchFamily="18" charset="0"/>
                      </a:rPr>
                      <a:t>26,2</a:t>
                    </a:r>
                  </a:p>
                </c:rich>
              </c:tx>
              <c:dLblPos val="outEnd"/>
            </c:dLbl>
            <c:dLbl>
              <c:idx val="4"/>
              <c:layout>
                <c:manualLayout>
                  <c:x val="-3.4029328423503067E-3"/>
                  <c:y val="0.22497979887345543"/>
                </c:manualLayout>
              </c:layout>
              <c:tx>
                <c:rich>
                  <a:bodyPr/>
                  <a:lstStyle/>
                  <a:p>
                    <a:r>
                      <a:rPr lang="ru-RU" sz="998">
                        <a:latin typeface="Times New Roman" pitchFamily="18" charset="0"/>
                        <a:cs typeface="Times New Roman" pitchFamily="18" charset="0"/>
                      </a:rPr>
                      <a:t>35,4</a:t>
                    </a:r>
                  </a:p>
                </c:rich>
              </c:tx>
              <c:dLblPos val="outEnd"/>
            </c:dLbl>
            <c:spPr>
              <a:noFill/>
              <a:ln w="21450">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Лист1!$B$1:$F$1</c:f>
              <c:numCache>
                <c:formatCode>dd/mm/yyyy</c:formatCode>
                <c:ptCount val="5"/>
                <c:pt idx="0">
                  <c:v>39814</c:v>
                </c:pt>
                <c:pt idx="1">
                  <c:v>40179</c:v>
                </c:pt>
                <c:pt idx="2">
                  <c:v>40544</c:v>
                </c:pt>
                <c:pt idx="3">
                  <c:v>40909</c:v>
                </c:pt>
                <c:pt idx="4">
                  <c:v>41275</c:v>
                </c:pt>
              </c:numCache>
            </c:numRef>
          </c:cat>
          <c:val>
            <c:numRef>
              <c:f>Лист1!$B$3:$F$3</c:f>
              <c:numCache>
                <c:formatCode>General</c:formatCode>
                <c:ptCount val="5"/>
                <c:pt idx="0">
                  <c:v>17143</c:v>
                </c:pt>
                <c:pt idx="1">
                  <c:v>17766</c:v>
                </c:pt>
                <c:pt idx="2">
                  <c:v>25100</c:v>
                </c:pt>
                <c:pt idx="3">
                  <c:v>26223</c:v>
                </c:pt>
                <c:pt idx="4">
                  <c:v>34000</c:v>
                </c:pt>
              </c:numCache>
            </c:numRef>
          </c:val>
        </c:ser>
        <c:dLbls>
          <c:showVal val="1"/>
        </c:dLbls>
        <c:gapWidth val="57"/>
        <c:axId val="180021888"/>
        <c:axId val="180212096"/>
      </c:barChart>
      <c:lineChart>
        <c:grouping val="standard"/>
        <c:ser>
          <c:idx val="2"/>
          <c:order val="2"/>
          <c:tx>
            <c:strRef>
              <c:f>Лист1!$A$4</c:f>
              <c:strCache>
                <c:ptCount val="1"/>
                <c:pt idx="0">
                  <c:v>Середньозважена кредитна ставка в нац. валюті, %</c:v>
                </c:pt>
              </c:strCache>
            </c:strRef>
          </c:tx>
          <c:spPr>
            <a:ln w="38100">
              <a:solidFill>
                <a:srgbClr val="FF0000"/>
              </a:solidFill>
              <a:prstDash val="solid"/>
            </a:ln>
          </c:spPr>
          <c:marker>
            <c:symbol val="triangle"/>
            <c:size val="7"/>
            <c:spPr>
              <a:solidFill>
                <a:srgbClr val="FF0000"/>
              </a:solidFill>
              <a:ln>
                <a:solidFill>
                  <a:srgbClr val="FF0000"/>
                </a:solidFill>
                <a:prstDash val="solid"/>
              </a:ln>
            </c:spPr>
          </c:marker>
          <c:dLbls>
            <c:dLbl>
              <c:idx val="0"/>
              <c:layout>
                <c:manualLayout>
                  <c:x val="0.65440878265854519"/>
                  <c:y val="-2.8059950450118956E-2"/>
                </c:manualLayout>
              </c:layout>
              <c:tx>
                <c:rich>
                  <a:bodyPr/>
                  <a:lstStyle/>
                  <a:p>
                    <a:r>
                      <a:rPr lang="ru-RU" sz="998" i="1">
                        <a:solidFill>
                          <a:schemeClr val="bg1"/>
                        </a:solidFill>
                        <a:latin typeface="Times New Roman" pitchFamily="18" charset="0"/>
                        <a:cs typeface="Times New Roman" pitchFamily="18" charset="0"/>
                      </a:rPr>
                      <a:t>20,4</a:t>
                    </a:r>
                  </a:p>
                </c:rich>
              </c:tx>
              <c:dLblPos val="r"/>
            </c:dLbl>
            <c:dLbl>
              <c:idx val="1"/>
              <c:layout>
                <c:manualLayout>
                  <c:x val="-0.28309311589858377"/>
                  <c:y val="-5.2745112468418065E-2"/>
                </c:manualLayout>
              </c:layout>
              <c:tx>
                <c:rich>
                  <a:bodyPr/>
                  <a:lstStyle/>
                  <a:p>
                    <a:r>
                      <a:rPr lang="ru-RU" sz="998" i="1">
                        <a:solidFill>
                          <a:schemeClr val="bg1"/>
                        </a:solidFill>
                        <a:latin typeface="Times New Roman" pitchFamily="18" charset="0"/>
                        <a:cs typeface="Times New Roman" pitchFamily="18" charset="0"/>
                      </a:rPr>
                      <a:t>22,3</a:t>
                    </a:r>
                  </a:p>
                </c:rich>
              </c:tx>
              <c:dLblPos val="r"/>
            </c:dLbl>
            <c:dLbl>
              <c:idx val="2"/>
              <c:layout>
                <c:manualLayout>
                  <c:x val="-0.28803948998762235"/>
                  <c:y val="-9.8235337405254267E-2"/>
                </c:manualLayout>
              </c:layout>
              <c:tx>
                <c:rich>
                  <a:bodyPr/>
                  <a:lstStyle/>
                  <a:p>
                    <a:r>
                      <a:rPr lang="ru-RU" sz="998" i="1">
                        <a:solidFill>
                          <a:schemeClr val="bg1"/>
                        </a:solidFill>
                        <a:latin typeface="Times New Roman" pitchFamily="18" charset="0"/>
                        <a:cs typeface="Times New Roman" pitchFamily="18" charset="0"/>
                      </a:rPr>
                      <a:t>21,5</a:t>
                    </a:r>
                  </a:p>
                </c:rich>
              </c:tx>
              <c:dLblPos val="r"/>
            </c:dLbl>
            <c:dLbl>
              <c:idx val="3"/>
              <c:layout>
                <c:manualLayout>
                  <c:x val="-0.2828333133485218"/>
                  <c:y val="-4.3945347953001222E-2"/>
                </c:manualLayout>
              </c:layout>
              <c:tx>
                <c:rich>
                  <a:bodyPr/>
                  <a:lstStyle/>
                  <a:p>
                    <a:r>
                      <a:rPr lang="ru-RU" sz="998" i="1">
                        <a:solidFill>
                          <a:schemeClr val="bg1"/>
                        </a:solidFill>
                        <a:latin typeface="Times New Roman" pitchFamily="18" charset="0"/>
                        <a:cs typeface="Times New Roman" pitchFamily="18" charset="0"/>
                      </a:rPr>
                      <a:t>19,6</a:t>
                    </a:r>
                  </a:p>
                </c:rich>
              </c:tx>
              <c:dLblPos val="r"/>
            </c:dLbl>
            <c:dLbl>
              <c:idx val="4"/>
              <c:layout>
                <c:manualLayout>
                  <c:x val="-0.28744101017223594"/>
                  <c:y val="-3.8512538873817247E-2"/>
                </c:manualLayout>
              </c:layout>
              <c:tx>
                <c:rich>
                  <a:bodyPr/>
                  <a:lstStyle/>
                  <a:p>
                    <a:r>
                      <a:rPr lang="ru-RU" sz="998" i="1">
                        <a:solidFill>
                          <a:schemeClr val="bg1"/>
                        </a:solidFill>
                        <a:latin typeface="Times New Roman" pitchFamily="18" charset="0"/>
                        <a:cs typeface="Times New Roman" pitchFamily="18" charset="0"/>
                      </a:rPr>
                      <a:t>19,6</a:t>
                    </a:r>
                  </a:p>
                </c:rich>
              </c:tx>
              <c:dLblPos val="r"/>
            </c:dLbl>
            <c:spPr>
              <a:noFill/>
              <a:ln w="21450">
                <a:noFill/>
              </a:ln>
            </c:spPr>
            <c:txPr>
              <a:bodyPr/>
              <a:lstStyle/>
              <a:p>
                <a:pPr>
                  <a:defRPr sz="998" b="1" i="1" u="none" strike="noStrike" baseline="0">
                    <a:solidFill>
                      <a:schemeClr val="bg1"/>
                    </a:solidFill>
                    <a:latin typeface="Times New Roman" pitchFamily="18" charset="0"/>
                    <a:ea typeface="Times New Roman"/>
                    <a:cs typeface="Times New Roman" pitchFamily="18" charset="0"/>
                  </a:defRPr>
                </a:pPr>
                <a:endParaRPr lang="ru-RU"/>
              </a:p>
            </c:txPr>
            <c:showVal val="1"/>
          </c:dLbls>
          <c:cat>
            <c:numRef>
              <c:f>Лист1!$B$1:$F$1</c:f>
              <c:numCache>
                <c:formatCode>dd/mm/yyyy</c:formatCode>
                <c:ptCount val="5"/>
                <c:pt idx="0">
                  <c:v>39814</c:v>
                </c:pt>
                <c:pt idx="1">
                  <c:v>40179</c:v>
                </c:pt>
                <c:pt idx="2">
                  <c:v>40544</c:v>
                </c:pt>
                <c:pt idx="3">
                  <c:v>40909</c:v>
                </c:pt>
                <c:pt idx="4">
                  <c:v>41275</c:v>
                </c:pt>
              </c:numCache>
            </c:numRef>
          </c:cat>
          <c:val>
            <c:numRef>
              <c:f>Лист1!$B$4:$F$4</c:f>
              <c:numCache>
                <c:formatCode>General</c:formatCode>
                <c:ptCount val="5"/>
                <c:pt idx="0">
                  <c:v>22300</c:v>
                </c:pt>
                <c:pt idx="1">
                  <c:v>21500</c:v>
                </c:pt>
                <c:pt idx="2">
                  <c:v>19600</c:v>
                </c:pt>
                <c:pt idx="3">
                  <c:v>19600</c:v>
                </c:pt>
                <c:pt idx="4">
                  <c:v>20500</c:v>
                </c:pt>
              </c:numCache>
            </c:numRef>
          </c:val>
        </c:ser>
        <c:ser>
          <c:idx val="3"/>
          <c:order val="3"/>
          <c:tx>
            <c:strRef>
              <c:f>Лист1!$A$5</c:f>
              <c:strCache>
                <c:ptCount val="1"/>
                <c:pt idx="0">
                  <c:v>Середньозважена депозитна ставка в нац. валюті, %</c:v>
                </c:pt>
              </c:strCache>
            </c:strRef>
          </c:tx>
          <c:spPr>
            <a:ln w="38100">
              <a:solidFill>
                <a:srgbClr val="FF6600"/>
              </a:solidFill>
              <a:prstDash val="solid"/>
            </a:ln>
          </c:spPr>
          <c:marker>
            <c:symbol val="diamond"/>
            <c:size val="7"/>
            <c:spPr>
              <a:solidFill>
                <a:srgbClr val="FFCC00"/>
              </a:solidFill>
              <a:ln>
                <a:solidFill>
                  <a:srgbClr val="FF6600"/>
                </a:solidFill>
                <a:prstDash val="solid"/>
              </a:ln>
            </c:spPr>
          </c:marker>
          <c:dLbls>
            <c:dLbl>
              <c:idx val="0"/>
              <c:layout>
                <c:manualLayout>
                  <c:x val="0.65089918328736862"/>
                  <c:y val="-9.1450437854146693E-2"/>
                </c:manualLayout>
              </c:layout>
              <c:tx>
                <c:rich>
                  <a:bodyPr/>
                  <a:lstStyle/>
                  <a:p>
                    <a:r>
                      <a:rPr lang="ru-RU" sz="998" i="1">
                        <a:solidFill>
                          <a:srgbClr val="FFFF00"/>
                        </a:solidFill>
                        <a:latin typeface="Times New Roman" pitchFamily="18" charset="0"/>
                        <a:cs typeface="Times New Roman" pitchFamily="18" charset="0"/>
                      </a:rPr>
                      <a:t>17,2</a:t>
                    </a:r>
                  </a:p>
                </c:rich>
              </c:tx>
              <c:dLblPos val="r"/>
            </c:dLbl>
            <c:dLbl>
              <c:idx val="1"/>
              <c:layout>
                <c:manualLayout>
                  <c:x val="-0.28840907576909575"/>
                  <c:y val="1.1420021095494446E-2"/>
                </c:manualLayout>
              </c:layout>
              <c:tx>
                <c:rich>
                  <a:bodyPr/>
                  <a:lstStyle/>
                  <a:p>
                    <a:r>
                      <a:rPr lang="ru-RU" sz="998" i="1">
                        <a:solidFill>
                          <a:srgbClr val="FFFF00"/>
                        </a:solidFill>
                        <a:latin typeface="Times New Roman" pitchFamily="18" charset="0"/>
                        <a:cs typeface="Times New Roman" pitchFamily="18" charset="0"/>
                      </a:rPr>
                      <a:t>11,9</a:t>
                    </a:r>
                  </a:p>
                </c:rich>
              </c:tx>
              <c:dLblPos val="r"/>
            </c:dLbl>
            <c:dLbl>
              <c:idx val="2"/>
              <c:layout>
                <c:manualLayout>
                  <c:x val="-0.28803948998762235"/>
                  <c:y val="-0.13545760051021671"/>
                </c:manualLayout>
              </c:layout>
              <c:tx>
                <c:rich>
                  <a:bodyPr/>
                  <a:lstStyle/>
                  <a:p>
                    <a:r>
                      <a:rPr lang="ru-RU" sz="998" i="1">
                        <a:solidFill>
                          <a:srgbClr val="FFFF00"/>
                        </a:solidFill>
                        <a:latin typeface="Times New Roman" pitchFamily="18" charset="0"/>
                        <a:cs typeface="Times New Roman" pitchFamily="18" charset="0"/>
                      </a:rPr>
                      <a:t>14,6</a:t>
                    </a:r>
                  </a:p>
                </c:rich>
              </c:tx>
              <c:dLblPos val="r"/>
            </c:dLbl>
            <c:dLbl>
              <c:idx val="3"/>
              <c:layout>
                <c:manualLayout>
                  <c:x val="-0.29470469176429265"/>
                  <c:y val="2.021438496658506E-2"/>
                </c:manualLayout>
              </c:layout>
              <c:tx>
                <c:rich>
                  <a:bodyPr/>
                  <a:lstStyle/>
                  <a:p>
                    <a:r>
                      <a:rPr lang="ru-RU" sz="998" i="1">
                        <a:solidFill>
                          <a:srgbClr val="FFFF00"/>
                        </a:solidFill>
                        <a:latin typeface="Times New Roman" pitchFamily="18" charset="0"/>
                        <a:cs typeface="Times New Roman" pitchFamily="18" charset="0"/>
                      </a:rPr>
                      <a:t>10,8</a:t>
                    </a:r>
                  </a:p>
                </c:rich>
              </c:tx>
              <c:dLblPos val="r"/>
            </c:dLbl>
            <c:dLbl>
              <c:idx val="4"/>
              <c:layout>
                <c:manualLayout>
                  <c:x val="-0.28644097152830938"/>
                  <c:y val="6.1199499595260866E-2"/>
                </c:manualLayout>
              </c:layout>
              <c:tx>
                <c:rich>
                  <a:bodyPr/>
                  <a:lstStyle/>
                  <a:p>
                    <a:r>
                      <a:rPr lang="ru-RU" sz="998" i="1">
                        <a:solidFill>
                          <a:srgbClr val="FFFF00"/>
                        </a:solidFill>
                        <a:latin typeface="Times New Roman" pitchFamily="18" charset="0"/>
                        <a:cs typeface="Times New Roman" pitchFamily="18" charset="0"/>
                      </a:rPr>
                      <a:t>15,5</a:t>
                    </a:r>
                  </a:p>
                </c:rich>
              </c:tx>
              <c:dLblPos val="r"/>
            </c:dLbl>
            <c:spPr>
              <a:noFill/>
              <a:ln w="21450">
                <a:noFill/>
              </a:ln>
            </c:spPr>
            <c:txPr>
              <a:bodyPr/>
              <a:lstStyle/>
              <a:p>
                <a:pPr>
                  <a:defRPr sz="998" b="1" i="1" u="none" strike="noStrike" baseline="0">
                    <a:solidFill>
                      <a:srgbClr val="FFFF00"/>
                    </a:solidFill>
                    <a:latin typeface="Times New Roman" pitchFamily="18" charset="0"/>
                    <a:ea typeface="Times New Roman"/>
                    <a:cs typeface="Times New Roman" pitchFamily="18" charset="0"/>
                  </a:defRPr>
                </a:pPr>
                <a:endParaRPr lang="ru-RU"/>
              </a:p>
            </c:txPr>
            <c:showVal val="1"/>
          </c:dLbls>
          <c:cat>
            <c:numRef>
              <c:f>Лист1!$B$1:$F$1</c:f>
              <c:numCache>
                <c:formatCode>dd/mm/yyyy</c:formatCode>
                <c:ptCount val="5"/>
                <c:pt idx="0">
                  <c:v>39814</c:v>
                </c:pt>
                <c:pt idx="1">
                  <c:v>40179</c:v>
                </c:pt>
                <c:pt idx="2">
                  <c:v>40544</c:v>
                </c:pt>
                <c:pt idx="3">
                  <c:v>40909</c:v>
                </c:pt>
                <c:pt idx="4">
                  <c:v>41275</c:v>
                </c:pt>
              </c:numCache>
            </c:numRef>
          </c:cat>
          <c:val>
            <c:numRef>
              <c:f>Лист1!$B$5:$F$5</c:f>
              <c:numCache>
                <c:formatCode>General</c:formatCode>
                <c:ptCount val="5"/>
                <c:pt idx="0">
                  <c:v>11900</c:v>
                </c:pt>
                <c:pt idx="1">
                  <c:v>14600</c:v>
                </c:pt>
                <c:pt idx="2">
                  <c:v>10800</c:v>
                </c:pt>
                <c:pt idx="3">
                  <c:v>15500</c:v>
                </c:pt>
                <c:pt idx="4">
                  <c:v>19300</c:v>
                </c:pt>
              </c:numCache>
            </c:numRef>
          </c:val>
        </c:ser>
        <c:dLbls>
          <c:showVal val="1"/>
        </c:dLbls>
        <c:marker val="1"/>
        <c:axId val="180213632"/>
        <c:axId val="180215168"/>
      </c:lineChart>
      <c:catAx>
        <c:axId val="180021888"/>
        <c:scaling>
          <c:orientation val="minMax"/>
        </c:scaling>
        <c:axPos val="b"/>
        <c:numFmt formatCode="dd/mm/yyyy" sourceLinked="1"/>
        <c:tickLblPos val="nextTo"/>
        <c:spPr>
          <a:ln w="2681">
            <a:solidFill>
              <a:srgbClr val="000000"/>
            </a:solidFill>
            <a:prstDash val="solid"/>
          </a:ln>
        </c:spPr>
        <c:txPr>
          <a:bodyPr rot="0" vert="horz"/>
          <a:lstStyle/>
          <a:p>
            <a:pPr>
              <a:defRPr sz="798" b="0" i="0" u="none" strike="noStrike" baseline="0">
                <a:solidFill>
                  <a:srgbClr val="000000"/>
                </a:solidFill>
                <a:latin typeface="Times New Roman" pitchFamily="18" charset="0"/>
                <a:ea typeface="Times New Roman"/>
                <a:cs typeface="Times New Roman" pitchFamily="18" charset="0"/>
              </a:defRPr>
            </a:pPr>
            <a:endParaRPr lang="ru-RU"/>
          </a:p>
        </c:txPr>
        <c:crossAx val="180212096"/>
        <c:crosses val="autoZero"/>
        <c:lblAlgn val="ctr"/>
        <c:lblOffset val="100"/>
        <c:tickLblSkip val="1"/>
        <c:tickMarkSkip val="1"/>
      </c:catAx>
      <c:valAx>
        <c:axId val="180212096"/>
        <c:scaling>
          <c:orientation val="minMax"/>
          <c:max val="61000"/>
        </c:scaling>
        <c:axPos val="l"/>
        <c:numFmt formatCode="General" sourceLinked="1"/>
        <c:majorTickMark val="none"/>
        <c:tickLblPos val="none"/>
        <c:spPr>
          <a:ln w="8044">
            <a:noFill/>
          </a:ln>
        </c:spPr>
        <c:crossAx val="180021888"/>
        <c:crosses val="autoZero"/>
        <c:crossBetween val="between"/>
      </c:valAx>
      <c:catAx>
        <c:axId val="180213632"/>
        <c:scaling>
          <c:orientation val="minMax"/>
        </c:scaling>
        <c:delete val="1"/>
        <c:axPos val="b"/>
        <c:numFmt formatCode="dd/mm/yyyy" sourceLinked="1"/>
        <c:tickLblPos val="nextTo"/>
        <c:crossAx val="180215168"/>
        <c:crosses val="autoZero"/>
        <c:lblAlgn val="ctr"/>
        <c:lblOffset val="100"/>
      </c:catAx>
      <c:valAx>
        <c:axId val="180215168"/>
        <c:scaling>
          <c:orientation val="minMax"/>
          <c:max val="30000"/>
        </c:scaling>
        <c:axPos val="r"/>
        <c:numFmt formatCode="General" sourceLinked="1"/>
        <c:majorTickMark val="none"/>
        <c:tickLblPos val="none"/>
        <c:spPr>
          <a:ln w="8044">
            <a:noFill/>
          </a:ln>
        </c:spPr>
        <c:crossAx val="180213632"/>
        <c:crosses val="max"/>
        <c:crossBetween val="between"/>
      </c:valAx>
      <c:spPr>
        <a:noFill/>
        <a:ln w="25341">
          <a:noFill/>
        </a:ln>
      </c:spPr>
    </c:plotArea>
    <c:legend>
      <c:legendPos val="b"/>
      <c:layout>
        <c:manualLayout>
          <c:xMode val="edge"/>
          <c:yMode val="edge"/>
          <c:x val="0"/>
          <c:y val="0.73042147941624025"/>
          <c:w val="0.98139187958649265"/>
          <c:h val="0.26957852058375981"/>
        </c:manualLayout>
      </c:layout>
      <c:spPr>
        <a:solidFill>
          <a:srgbClr val="FFFFFF"/>
        </a:solidFill>
        <a:ln w="21450">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594" b="0" i="0" u="none" strike="noStrike" baseline="0">
          <a:solidFill>
            <a:srgbClr val="000000"/>
          </a:solidFill>
          <a:latin typeface="Times New Roman"/>
          <a:ea typeface="Times New Roman"/>
          <a:cs typeface="Times New Roman"/>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4733678988711202E-2"/>
          <c:y val="6.3569217309374773E-2"/>
          <c:w val="0.91216601644070061"/>
          <c:h val="0.56164277542230301"/>
        </c:manualLayout>
      </c:layout>
      <c:barChart>
        <c:barDir val="col"/>
        <c:grouping val="clustered"/>
        <c:ser>
          <c:idx val="0"/>
          <c:order val="0"/>
          <c:tx>
            <c:strRef>
              <c:f>Sheet1!$A$2</c:f>
              <c:strCache>
                <c:ptCount val="1"/>
                <c:pt idx="0">
                  <c:v>Середня чисельність працюючих на малих підприємствах, тис. чол.</c:v>
                </c:pt>
              </c:strCache>
            </c:strRef>
          </c:tx>
          <c:spPr>
            <a:solidFill>
              <a:srgbClr val="A5B836"/>
            </a:solidFill>
          </c:spPr>
          <c:dLbls>
            <c:dLbl>
              <c:idx val="0"/>
              <c:layout>
                <c:manualLayout>
                  <c:x val="-1.9404915912031081E-2"/>
                  <c:y val="0"/>
                </c:manualLayout>
              </c:layout>
              <c:dLblPos val="outEnd"/>
              <c:showVal val="1"/>
            </c:dLbl>
            <c:dLbl>
              <c:idx val="1"/>
              <c:layout>
                <c:manualLayout>
                  <c:x val="-1.6196954972465177E-2"/>
                  <c:y val="5.3418803418803524E-3"/>
                </c:manualLayout>
              </c:layout>
              <c:showVal val="1"/>
            </c:dLbl>
            <c:dLbl>
              <c:idx val="2"/>
              <c:layout>
                <c:manualLayout>
                  <c:x val="-1.2936610608020699E-2"/>
                  <c:y val="0"/>
                </c:manualLayout>
              </c:layout>
              <c:dLblPos val="outEnd"/>
              <c:showVal val="1"/>
            </c:dLbl>
            <c:dLbl>
              <c:idx val="3"/>
              <c:layout>
                <c:manualLayout>
                  <c:x val="-1.9404915912031081E-2"/>
                  <c:y val="1.0709504685409581E-2"/>
                </c:manualLayout>
              </c:layout>
              <c:dLblPos val="outEnd"/>
              <c:showVal val="1"/>
            </c:dLbl>
            <c:dLbl>
              <c:idx val="4"/>
              <c:layout>
                <c:manualLayout>
                  <c:x val="-1.2957563977972139E-2"/>
                  <c:y val="0"/>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171.4</c:v>
                </c:pt>
                <c:pt idx="1">
                  <c:v>170.4</c:v>
                </c:pt>
                <c:pt idx="2">
                  <c:v>160.9</c:v>
                </c:pt>
                <c:pt idx="3">
                  <c:v>153.9</c:v>
                </c:pt>
                <c:pt idx="4">
                  <c:v>147.5</c:v>
                </c:pt>
              </c:numCache>
            </c:numRef>
          </c:val>
        </c:ser>
        <c:ser>
          <c:idx val="1"/>
          <c:order val="1"/>
          <c:tx>
            <c:strRef>
              <c:f>Sheet1!$A$3</c:f>
              <c:strCache>
                <c:ptCount val="1"/>
                <c:pt idx="0">
                  <c:v>Кількість фізичних осіб - підприємців, тис. чол.</c:v>
                </c:pt>
              </c:strCache>
            </c:strRef>
          </c:tx>
          <c:spPr>
            <a:solidFill>
              <a:srgbClr val="B45608"/>
            </a:solidFill>
          </c:spPr>
          <c:dLbls>
            <c:dLbl>
              <c:idx val="0"/>
              <c:layout>
                <c:manualLayout>
                  <c:x val="1.0901131698772678E-2"/>
                  <c:y val="4.6387238507939023E-3"/>
                </c:manualLayout>
              </c:layout>
              <c:dLblPos val="outEnd"/>
              <c:showVal val="1"/>
            </c:dLbl>
            <c:dLbl>
              <c:idx val="1"/>
              <c:layout>
                <c:manualLayout>
                  <c:x val="9.9222291091164696E-4"/>
                  <c:y val="1.3846826838953504E-3"/>
                </c:manualLayout>
              </c:layout>
              <c:dLblPos val="outEnd"/>
              <c:showVal val="1"/>
            </c:dLbl>
            <c:dLbl>
              <c:idx val="2"/>
              <c:layout>
                <c:manualLayout>
                  <c:x val="1.1578521151869232E-2"/>
                  <c:y val="6.2935505545028414E-3"/>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Sheet1!$B$3:$F$3</c:f>
              <c:numCache>
                <c:formatCode>0.0</c:formatCode>
                <c:ptCount val="5"/>
                <c:pt idx="0" formatCode="General">
                  <c:v>160.19999999999999</c:v>
                </c:pt>
                <c:pt idx="1">
                  <c:v>177</c:v>
                </c:pt>
                <c:pt idx="2" formatCode="General">
                  <c:v>174.9</c:v>
                </c:pt>
                <c:pt idx="3">
                  <c:v>174</c:v>
                </c:pt>
                <c:pt idx="4" formatCode="General">
                  <c:v>169.3</c:v>
                </c:pt>
              </c:numCache>
            </c:numRef>
          </c:val>
        </c:ser>
        <c:dLbls>
          <c:showVal val="1"/>
        </c:dLbls>
        <c:gapWidth val="108"/>
        <c:axId val="180345472"/>
        <c:axId val="188748160"/>
      </c:barChart>
      <c:lineChart>
        <c:grouping val="standard"/>
        <c:ser>
          <c:idx val="2"/>
          <c:order val="2"/>
          <c:tx>
            <c:strRef>
              <c:f>Sheet1!$A$4</c:f>
              <c:strCache>
                <c:ptCount val="1"/>
                <c:pt idx="0">
                  <c:v>Кількість малих підприємств на 10 тис. осіб наявного населення, од.</c:v>
                </c:pt>
              </c:strCache>
            </c:strRef>
          </c:tx>
          <c:spPr>
            <a:ln w="38032">
              <a:solidFill>
                <a:schemeClr val="tx2">
                  <a:lumMod val="75000"/>
                </a:schemeClr>
              </a:solidFill>
            </a:ln>
          </c:spPr>
          <c:marker>
            <c:spPr>
              <a:solidFill>
                <a:srgbClr val="002060"/>
              </a:solidFill>
            </c:spPr>
          </c:marker>
          <c:dLbls>
            <c:dLbl>
              <c:idx val="0"/>
              <c:layout>
                <c:manualLayout>
                  <c:x val="-6.8924547696844016E-2"/>
                  <c:y val="5.9622955784373106E-2"/>
                </c:manualLayout>
              </c:layout>
              <c:dLblPos val="r"/>
              <c:showVal val="1"/>
            </c:dLbl>
            <c:dLbl>
              <c:idx val="1"/>
              <c:layout>
                <c:manualLayout>
                  <c:x val="-7.2593731905964826E-2"/>
                  <c:y val="4.0811124570967076E-2"/>
                </c:manualLayout>
              </c:layout>
              <c:dLblPos val="r"/>
              <c:showVal val="1"/>
            </c:dLbl>
            <c:dLbl>
              <c:idx val="2"/>
              <c:layout>
                <c:manualLayout>
                  <c:x val="-7.6226696152777024E-2"/>
                  <c:y val="6.1331095632276802E-2"/>
                </c:manualLayout>
              </c:layout>
              <c:dLblPos val="r"/>
              <c:showVal val="1"/>
            </c:dLbl>
            <c:dLbl>
              <c:idx val="3"/>
              <c:layout>
                <c:manualLayout>
                  <c:x val="-8.0968960512590268E-2"/>
                  <c:y val="4.2889410458309032E-2"/>
                </c:manualLayout>
              </c:layout>
              <c:dLblPos val="r"/>
              <c:showVal val="1"/>
            </c:dLbl>
            <c:dLbl>
              <c:idx val="4"/>
              <c:layout>
                <c:manualLayout>
                  <c:x val="-7.7745383867832862E-2"/>
                  <c:y val="7.4786324786324923E-2"/>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Sheet1!$B$4:$F$4</c:f>
              <c:numCache>
                <c:formatCode>General</c:formatCode>
                <c:ptCount val="5"/>
                <c:pt idx="0">
                  <c:v>66</c:v>
                </c:pt>
                <c:pt idx="1">
                  <c:v>58</c:v>
                </c:pt>
                <c:pt idx="2">
                  <c:v>58</c:v>
                </c:pt>
                <c:pt idx="3">
                  <c:v>50</c:v>
                </c:pt>
                <c:pt idx="4">
                  <c:v>54</c:v>
                </c:pt>
              </c:numCache>
            </c:numRef>
          </c:val>
        </c:ser>
        <c:dLbls>
          <c:showVal val="1"/>
        </c:dLbls>
        <c:marker val="1"/>
        <c:axId val="188749696"/>
        <c:axId val="188751232"/>
      </c:lineChart>
      <c:catAx>
        <c:axId val="180345472"/>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88748160"/>
        <c:crosses val="autoZero"/>
        <c:auto val="1"/>
        <c:lblAlgn val="ctr"/>
        <c:lblOffset val="100"/>
        <c:tickLblSkip val="1"/>
        <c:tickMarkSkip val="1"/>
      </c:catAx>
      <c:valAx>
        <c:axId val="188748160"/>
        <c:scaling>
          <c:orientation val="minMax"/>
        </c:scaling>
        <c:axPos val="l"/>
        <c:numFmt formatCode="General" sourceLinked="1"/>
        <c:tickLblPos val="nextTo"/>
        <c:spPr>
          <a:ln>
            <a:noFill/>
          </a:ln>
        </c:spPr>
        <c:txPr>
          <a:bodyPr rot="0" vert="horz"/>
          <a:lstStyle/>
          <a:p>
            <a:pPr>
              <a:defRPr sz="100">
                <a:solidFill>
                  <a:schemeClr val="bg1"/>
                </a:solidFill>
              </a:defRPr>
            </a:pPr>
            <a:endParaRPr lang="ru-RU"/>
          </a:p>
        </c:txPr>
        <c:crossAx val="180345472"/>
        <c:crosses val="autoZero"/>
        <c:crossBetween val="between"/>
      </c:valAx>
      <c:catAx>
        <c:axId val="188749696"/>
        <c:scaling>
          <c:orientation val="minMax"/>
        </c:scaling>
        <c:delete val="1"/>
        <c:axPos val="b"/>
        <c:numFmt formatCode="General" sourceLinked="1"/>
        <c:tickLblPos val="nextTo"/>
        <c:crossAx val="188751232"/>
        <c:crosses val="autoZero"/>
        <c:auto val="1"/>
        <c:lblAlgn val="ctr"/>
        <c:lblOffset val="100"/>
      </c:catAx>
      <c:valAx>
        <c:axId val="188751232"/>
        <c:scaling>
          <c:orientation val="minMax"/>
          <c:max val="80"/>
          <c:min val="40"/>
        </c:scaling>
        <c:axPos val="r"/>
        <c:numFmt formatCode="General" sourceLinked="1"/>
        <c:tickLblPos val="nextTo"/>
        <c:spPr>
          <a:ln>
            <a:noFill/>
          </a:ln>
        </c:spPr>
        <c:txPr>
          <a:bodyPr rot="0" vert="horz"/>
          <a:lstStyle/>
          <a:p>
            <a:pPr>
              <a:defRPr sz="100">
                <a:solidFill>
                  <a:schemeClr val="bg1"/>
                </a:solidFill>
              </a:defRPr>
            </a:pPr>
            <a:endParaRPr lang="ru-RU"/>
          </a:p>
        </c:txPr>
        <c:crossAx val="188749696"/>
        <c:crosses val="max"/>
        <c:crossBetween val="between"/>
      </c:valAx>
    </c:plotArea>
    <c:legend>
      <c:legendPos val="b"/>
      <c:layout>
        <c:manualLayout>
          <c:xMode val="edge"/>
          <c:yMode val="edge"/>
          <c:x val="0"/>
          <c:y val="0.76044015418574762"/>
          <c:w val="1"/>
          <c:h val="0.22046848746418826"/>
        </c:manualLayout>
      </c:layout>
      <c:txPr>
        <a:bodyPr/>
        <a:lstStyle/>
        <a:p>
          <a:pPr>
            <a:defRPr sz="948">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4.1975308641973665E-2"/>
          <c:y val="6.9264069264069264E-2"/>
          <c:w val="0.91604938271604941"/>
          <c:h val="0.52631562740925242"/>
        </c:manualLayout>
      </c:layout>
      <c:barChart>
        <c:barDir val="col"/>
        <c:grouping val="clustered"/>
        <c:ser>
          <c:idx val="0"/>
          <c:order val="0"/>
          <c:tx>
            <c:strRef>
              <c:f>Sheet1!$A$2</c:f>
              <c:strCache>
                <c:ptCount val="1"/>
                <c:pt idx="0">
                  <c:v>Обсяг реалізованої продукції (робіт, послуг), млрд.грн.</c:v>
                </c:pt>
              </c:strCache>
            </c:strRef>
          </c:tx>
          <c:dLbls>
            <c:dLbl>
              <c:idx val="0"/>
              <c:layout>
                <c:manualLayout>
                  <c:x val="-2.0725886617208506E-3"/>
                  <c:y val="-3.9610903787507612E-3"/>
                </c:manualLayout>
              </c:layout>
              <c:dLblPos val="outEnd"/>
              <c:showVal val="1"/>
            </c:dLbl>
            <c:dLbl>
              <c:idx val="1"/>
              <c:layout>
                <c:manualLayout>
                  <c:x val="1.9833390391420461E-3"/>
                  <c:y val="2.1851152903407802E-2"/>
                </c:manualLayout>
              </c:layout>
              <c:dLblPos val="outEnd"/>
              <c:showVal val="1"/>
            </c:dLbl>
            <c:dLbl>
              <c:idx val="2"/>
              <c:layout>
                <c:manualLayout>
                  <c:x val="-5.5219286153317124E-3"/>
                  <c:y val="7.6058329753067744E-3"/>
                </c:manualLayout>
              </c:layout>
              <c:dLblPos val="outEnd"/>
              <c:showVal val="1"/>
            </c:dLbl>
            <c:dLbl>
              <c:idx val="3"/>
              <c:layout>
                <c:manualLayout>
                  <c:x val="0"/>
                  <c:y val="1.9579050416054823E-2"/>
                </c:manualLayout>
              </c:layout>
              <c:showVal val="1"/>
            </c:dLbl>
            <c:dLbl>
              <c:idx val="4"/>
              <c:layout>
                <c:manualLayout>
                  <c:x val="-3.2113037893384852E-3"/>
                  <c:y val="1.4684287812041116E-2"/>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35.6</c:v>
                </c:pt>
                <c:pt idx="1">
                  <c:v>41.4</c:v>
                </c:pt>
                <c:pt idx="2">
                  <c:v>36.5</c:v>
                </c:pt>
                <c:pt idx="3">
                  <c:v>38.300000000000004</c:v>
                </c:pt>
                <c:pt idx="4" formatCode="0.0">
                  <c:v>40</c:v>
                </c:pt>
              </c:numCache>
            </c:numRef>
          </c:val>
        </c:ser>
        <c:dLbls>
          <c:showVal val="1"/>
        </c:dLbls>
        <c:axId val="180336128"/>
        <c:axId val="180337664"/>
      </c:barChart>
      <c:lineChart>
        <c:grouping val="standard"/>
        <c:ser>
          <c:idx val="1"/>
          <c:order val="1"/>
          <c:tx>
            <c:strRef>
              <c:f>Sheet1!$A$3</c:f>
              <c:strCache>
                <c:ptCount val="1"/>
                <c:pt idx="0">
                  <c:v>Питома вага малих підприємств в загальному обсязі реалізації області, %</c:v>
                </c:pt>
              </c:strCache>
            </c:strRef>
          </c:tx>
          <c:spPr>
            <a:ln w="38088">
              <a:solidFill>
                <a:schemeClr val="accent6">
                  <a:lumMod val="75000"/>
                </a:schemeClr>
              </a:solidFill>
            </a:ln>
          </c:spPr>
          <c:marker>
            <c:symbol val="circle"/>
            <c:size val="21"/>
            <c:spPr>
              <a:solidFill>
                <a:srgbClr val="F79646">
                  <a:lumMod val="60000"/>
                  <a:lumOff val="40000"/>
                </a:srgbClr>
              </a:solidFill>
              <a:ln>
                <a:solidFill>
                  <a:schemeClr val="accent6">
                    <a:lumMod val="50000"/>
                  </a:schemeClr>
                </a:solidFill>
              </a:ln>
            </c:spPr>
          </c:marker>
          <c:dLbls>
            <c:dLbl>
              <c:idx val="0"/>
              <c:layout>
                <c:manualLayout>
                  <c:x val="-7.8444565816556164E-2"/>
                  <c:y val="4.9063250353621225E-4"/>
                </c:manualLayout>
              </c:layout>
              <c:dLblPos val="r"/>
              <c:showVal val="1"/>
            </c:dLbl>
            <c:dLbl>
              <c:idx val="1"/>
              <c:layout>
                <c:manualLayout>
                  <c:x val="-7.6198170315415772E-2"/>
                  <c:y val="-1.8846763097344161E-3"/>
                </c:manualLayout>
              </c:layout>
              <c:dLblPos val="r"/>
              <c:showVal val="1"/>
            </c:dLbl>
            <c:dLbl>
              <c:idx val="2"/>
              <c:layout>
                <c:manualLayout>
                  <c:x val="-8.0909683977364102E-2"/>
                  <c:y val="7.2808630198760698E-3"/>
                </c:manualLayout>
              </c:layout>
              <c:dLblPos val="r"/>
              <c:showVal val="1"/>
            </c:dLbl>
            <c:dLbl>
              <c:idx val="3"/>
              <c:layout>
                <c:manualLayout>
                  <c:x val="-7.3878445830109399E-2"/>
                  <c:y val="4.9124916654140934E-3"/>
                </c:manualLayout>
              </c:layout>
              <c:dLblPos val="r"/>
              <c:showVal val="1"/>
            </c:dLbl>
            <c:dLbl>
              <c:idx val="4"/>
              <c:layout>
                <c:manualLayout>
                  <c:x val="-7.0648683365446302E-2"/>
                  <c:y val="0"/>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Sheet1!$B$3:$F$3</c:f>
              <c:numCache>
                <c:formatCode>0.0</c:formatCode>
                <c:ptCount val="5"/>
                <c:pt idx="0" formatCode="General">
                  <c:v>10.9</c:v>
                </c:pt>
                <c:pt idx="1">
                  <c:v>10</c:v>
                </c:pt>
                <c:pt idx="2" formatCode="General">
                  <c:v>10.8</c:v>
                </c:pt>
                <c:pt idx="3" formatCode="General">
                  <c:v>7.7</c:v>
                </c:pt>
                <c:pt idx="4" formatCode="General">
                  <c:v>5.8</c:v>
                </c:pt>
              </c:numCache>
            </c:numRef>
          </c:val>
        </c:ser>
        <c:dLbls>
          <c:showVal val="1"/>
        </c:dLbls>
        <c:marker val="1"/>
        <c:axId val="188797696"/>
        <c:axId val="188799232"/>
      </c:lineChart>
      <c:catAx>
        <c:axId val="180336128"/>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80337664"/>
        <c:crosses val="autoZero"/>
        <c:auto val="1"/>
        <c:lblAlgn val="ctr"/>
        <c:lblOffset val="100"/>
        <c:tickLblSkip val="1"/>
        <c:tickMarkSkip val="1"/>
      </c:catAx>
      <c:valAx>
        <c:axId val="180337664"/>
        <c:scaling>
          <c:orientation val="minMax"/>
        </c:scaling>
        <c:axPos val="l"/>
        <c:numFmt formatCode="General" sourceLinked="1"/>
        <c:tickLblPos val="nextTo"/>
        <c:spPr>
          <a:ln>
            <a:noFill/>
          </a:ln>
        </c:spPr>
        <c:txPr>
          <a:bodyPr rot="0" vert="horz"/>
          <a:lstStyle/>
          <a:p>
            <a:pPr>
              <a:defRPr sz="100">
                <a:solidFill>
                  <a:schemeClr val="bg1"/>
                </a:solidFill>
              </a:defRPr>
            </a:pPr>
            <a:endParaRPr lang="ru-RU"/>
          </a:p>
        </c:txPr>
        <c:crossAx val="180336128"/>
        <c:crosses val="autoZero"/>
        <c:crossBetween val="between"/>
      </c:valAx>
      <c:catAx>
        <c:axId val="188797696"/>
        <c:scaling>
          <c:orientation val="minMax"/>
        </c:scaling>
        <c:delete val="1"/>
        <c:axPos val="b"/>
        <c:numFmt formatCode="General" sourceLinked="1"/>
        <c:tickLblPos val="nextTo"/>
        <c:crossAx val="188799232"/>
        <c:crosses val="autoZero"/>
        <c:auto val="1"/>
        <c:lblAlgn val="ctr"/>
        <c:lblOffset val="100"/>
      </c:catAx>
      <c:valAx>
        <c:axId val="188799232"/>
        <c:scaling>
          <c:orientation val="minMax"/>
          <c:max val="40"/>
          <c:min val="0"/>
        </c:scaling>
        <c:axPos val="r"/>
        <c:numFmt formatCode="General" sourceLinked="1"/>
        <c:majorTickMark val="cross"/>
        <c:tickLblPos val="nextTo"/>
        <c:spPr>
          <a:ln>
            <a:noFill/>
          </a:ln>
        </c:spPr>
        <c:txPr>
          <a:bodyPr rot="0" vert="horz"/>
          <a:lstStyle/>
          <a:p>
            <a:pPr>
              <a:defRPr sz="100">
                <a:solidFill>
                  <a:schemeClr val="bg1"/>
                </a:solidFill>
              </a:defRPr>
            </a:pPr>
            <a:endParaRPr lang="ru-RU"/>
          </a:p>
        </c:txPr>
        <c:crossAx val="188797696"/>
        <c:crosses val="max"/>
        <c:crossBetween val="between"/>
      </c:valAx>
    </c:plotArea>
    <c:legend>
      <c:legendPos val="b"/>
      <c:layout>
        <c:manualLayout>
          <c:xMode val="edge"/>
          <c:yMode val="edge"/>
          <c:x val="1.2345679012345723E-2"/>
          <c:y val="0.75086453887920501"/>
          <c:w val="0.97530864197530809"/>
          <c:h val="0.21883272224559769"/>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plotArea>
      <c:layout>
        <c:manualLayout>
          <c:layoutTarget val="inner"/>
          <c:xMode val="edge"/>
          <c:yMode val="edge"/>
          <c:x val="4.8968991941335104E-2"/>
          <c:y val="7.8998321931071317E-3"/>
          <c:w val="0.89948453608247425"/>
          <c:h val="0.61235955056184765"/>
        </c:manualLayout>
      </c:layout>
      <c:lineChart>
        <c:grouping val="standard"/>
        <c:ser>
          <c:idx val="0"/>
          <c:order val="0"/>
          <c:tx>
            <c:strRef>
              <c:f>Sheet1!$A$2</c:f>
              <c:strCache>
                <c:ptCount val="1"/>
                <c:pt idx="0">
                  <c:v>Середньомісячна заробітна плата, грн.</c:v>
                </c:pt>
              </c:strCache>
            </c:strRef>
          </c:tx>
          <c:spPr>
            <a:ln w="31757">
              <a:solidFill>
                <a:srgbClr val="FF33CC"/>
              </a:solidFill>
            </a:ln>
            <a:effectLst>
              <a:outerShdw blurRad="50800" dist="38100" algn="l" rotWithShape="0">
                <a:prstClr val="black">
                  <a:alpha val="40000"/>
                </a:prstClr>
              </a:outerShdw>
            </a:effectLst>
          </c:spPr>
          <c:marker>
            <c:symbol val="diamond"/>
            <c:size val="9"/>
            <c:spPr>
              <a:ln>
                <a:solidFill>
                  <a:srgbClr val="FF33CC"/>
                </a:solidFill>
              </a:ln>
              <a:effectLst>
                <a:outerShdw blurRad="50800" dist="38100" algn="l" rotWithShape="0">
                  <a:prstClr val="black">
                    <a:alpha val="40000"/>
                  </a:prstClr>
                </a:outerShdw>
              </a:effectLst>
            </c:spPr>
          </c:marker>
          <c:dLbls>
            <c:dLbl>
              <c:idx val="0"/>
              <c:layout>
                <c:manualLayout>
                  <c:x val="-9.1637188567509548E-2"/>
                  <c:y val="-0.10560258092738579"/>
                </c:manualLayout>
              </c:layout>
              <c:dLblPos val="r"/>
              <c:showVal val="1"/>
            </c:dLbl>
            <c:dLbl>
              <c:idx val="1"/>
              <c:layout>
                <c:manualLayout>
                  <c:x val="-7.6419894749337233E-2"/>
                  <c:y val="-8.0416666666666664E-2"/>
                </c:manualLayout>
              </c:layout>
              <c:dLblPos val="r"/>
              <c:showVal val="1"/>
            </c:dLbl>
            <c:dLbl>
              <c:idx val="2"/>
              <c:layout>
                <c:manualLayout>
                  <c:x val="-7.9895013123359518E-2"/>
                  <c:y val="-7.2239720034995722E-2"/>
                </c:manualLayout>
              </c:layout>
              <c:dLblPos val="r"/>
              <c:showVal val="1"/>
            </c:dLbl>
            <c:dLbl>
              <c:idx val="3"/>
              <c:layout>
                <c:manualLayout>
                  <c:x val="-7.7026075258180823E-2"/>
                  <c:y val="-6.4551618547681572E-2"/>
                </c:manualLayout>
              </c:layout>
              <c:dLblPos val="r"/>
              <c:showVal val="1"/>
            </c:dLbl>
            <c:dLbl>
              <c:idx val="4"/>
              <c:layout>
                <c:manualLayout>
                  <c:x val="-6.7001675041877063E-3"/>
                  <c:y val="2.7325272865482042E-3"/>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2015</c:v>
                </c:pt>
                <c:pt idx="1">
                  <c:v>2116</c:v>
                </c:pt>
                <c:pt idx="2">
                  <c:v>2549</c:v>
                </c:pt>
                <c:pt idx="3">
                  <c:v>3063</c:v>
                </c:pt>
                <c:pt idx="4">
                  <c:v>3495</c:v>
                </c:pt>
              </c:numCache>
            </c:numRef>
          </c:val>
        </c:ser>
        <c:dLbls>
          <c:showVal val="1"/>
        </c:dLbls>
        <c:marker val="1"/>
        <c:axId val="164725120"/>
        <c:axId val="164726656"/>
      </c:lineChart>
      <c:lineChart>
        <c:grouping val="standard"/>
        <c:ser>
          <c:idx val="1"/>
          <c:order val="1"/>
          <c:tx>
            <c:strRef>
              <c:f>Sheet1!$A$3</c:f>
              <c:strCache>
                <c:ptCount val="1"/>
                <c:pt idx="0">
                  <c:v>Заборгованість з виплати зарплати (на кінець року), млн.грн.</c:v>
                </c:pt>
              </c:strCache>
            </c:strRef>
          </c:tx>
          <c:spPr>
            <a:ln w="38100">
              <a:solidFill>
                <a:srgbClr val="1F497D">
                  <a:lumMod val="75000"/>
                </a:srgbClr>
              </a:solidFill>
            </a:ln>
          </c:spPr>
          <c:marker>
            <c:spPr>
              <a:solidFill>
                <a:srgbClr val="FFFF00"/>
              </a:solidFill>
              <a:ln>
                <a:solidFill>
                  <a:srgbClr val="1F497D">
                    <a:lumMod val="75000"/>
                  </a:srgbClr>
                </a:solidFill>
              </a:ln>
            </c:spPr>
          </c:marker>
          <c:dLbls>
            <c:dLbl>
              <c:idx val="0"/>
              <c:layout>
                <c:manualLayout>
                  <c:x val="-7.30136245532165E-2"/>
                  <c:y val="8.4607939632545925E-2"/>
                </c:manualLayout>
              </c:layout>
              <c:dLblPos val="r"/>
              <c:showVal val="1"/>
            </c:dLbl>
            <c:dLbl>
              <c:idx val="1"/>
              <c:layout>
                <c:manualLayout>
                  <c:x val="-5.6086979032156523E-2"/>
                  <c:y val="8.2737706819796711E-2"/>
                </c:manualLayout>
              </c:layout>
              <c:dLblPos val="r"/>
              <c:showVal val="1"/>
            </c:dLbl>
            <c:dLbl>
              <c:idx val="2"/>
              <c:layout>
                <c:manualLayout>
                  <c:x val="-5.5432577877682923E-2"/>
                  <c:y val="0.11491746240628767"/>
                </c:manualLayout>
              </c:layout>
              <c:dLblPos val="r"/>
              <c:showVal val="1"/>
            </c:dLbl>
            <c:dLbl>
              <c:idx val="3"/>
              <c:layout>
                <c:manualLayout>
                  <c:x val="-6.0281312793034045E-2"/>
                  <c:y val="9.2329545454545456E-2"/>
                </c:manualLayout>
              </c:layout>
              <c:dLblPos val="r"/>
              <c:showVal val="1"/>
            </c:dLbl>
            <c:dLbl>
              <c:idx val="4"/>
              <c:layout>
                <c:manualLayout>
                  <c:x val="-1.6750418760469041E-2"/>
                  <c:y val="1.8784045436943331E-2"/>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Sheet1!$B$3:$F$3</c:f>
              <c:numCache>
                <c:formatCode>General</c:formatCode>
                <c:ptCount val="5"/>
                <c:pt idx="0">
                  <c:v>263.60000000000002</c:v>
                </c:pt>
                <c:pt idx="1">
                  <c:v>266.2</c:v>
                </c:pt>
                <c:pt idx="2">
                  <c:v>233.5</c:v>
                </c:pt>
                <c:pt idx="3">
                  <c:v>200.3</c:v>
                </c:pt>
                <c:pt idx="4">
                  <c:v>172.9</c:v>
                </c:pt>
              </c:numCache>
            </c:numRef>
          </c:val>
        </c:ser>
        <c:dLbls>
          <c:showVal val="1"/>
        </c:dLbls>
        <c:marker val="1"/>
        <c:axId val="164728192"/>
        <c:axId val="164750464"/>
      </c:lineChart>
      <c:catAx>
        <c:axId val="16472512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64726656"/>
        <c:crosses val="autoZero"/>
        <c:auto val="1"/>
        <c:lblAlgn val="ctr"/>
        <c:lblOffset val="100"/>
        <c:tickLblSkip val="1"/>
        <c:tickMarkSkip val="1"/>
      </c:catAx>
      <c:valAx>
        <c:axId val="164726656"/>
        <c:scaling>
          <c:orientation val="minMax"/>
        </c:scaling>
        <c:axPos val="l"/>
        <c:numFmt formatCode="General" sourceLinked="1"/>
        <c:tickLblPos val="nextTo"/>
        <c:spPr>
          <a:ln>
            <a:noFill/>
          </a:ln>
        </c:spPr>
        <c:txPr>
          <a:bodyPr rot="0" vert="horz"/>
          <a:lstStyle/>
          <a:p>
            <a:pPr>
              <a:defRPr sz="100">
                <a:solidFill>
                  <a:schemeClr val="bg1"/>
                </a:solidFill>
              </a:defRPr>
            </a:pPr>
            <a:endParaRPr lang="ru-RU"/>
          </a:p>
        </c:txPr>
        <c:crossAx val="164725120"/>
        <c:crosses val="autoZero"/>
        <c:crossBetween val="between"/>
      </c:valAx>
      <c:catAx>
        <c:axId val="164728192"/>
        <c:scaling>
          <c:orientation val="minMax"/>
        </c:scaling>
        <c:delete val="1"/>
        <c:axPos val="b"/>
        <c:numFmt formatCode="General" sourceLinked="1"/>
        <c:tickLblPos val="nextTo"/>
        <c:crossAx val="164750464"/>
        <c:crosses val="autoZero"/>
        <c:auto val="1"/>
        <c:lblAlgn val="ctr"/>
        <c:lblOffset val="100"/>
      </c:catAx>
      <c:valAx>
        <c:axId val="164750464"/>
        <c:scaling>
          <c:orientation val="minMax"/>
          <c:max val="450"/>
          <c:min val="100"/>
        </c:scaling>
        <c:axPos val="r"/>
        <c:numFmt formatCode="General" sourceLinked="1"/>
        <c:majorTickMark val="cross"/>
        <c:tickLblPos val="nextTo"/>
        <c:spPr>
          <a:ln>
            <a:noFill/>
          </a:ln>
        </c:spPr>
        <c:txPr>
          <a:bodyPr rot="0" vert="horz"/>
          <a:lstStyle/>
          <a:p>
            <a:pPr>
              <a:defRPr sz="100">
                <a:solidFill>
                  <a:schemeClr val="bg1"/>
                </a:solidFill>
              </a:defRPr>
            </a:pPr>
            <a:endParaRPr lang="ru-RU"/>
          </a:p>
        </c:txPr>
        <c:crossAx val="164728192"/>
        <c:crosses val="max"/>
        <c:crossBetween val="between"/>
      </c:valAx>
      <c:spPr>
        <a:noFill/>
        <a:ln w="25406">
          <a:noFill/>
        </a:ln>
      </c:spPr>
    </c:plotArea>
    <c:legend>
      <c:legendPos val="r"/>
      <c:layout>
        <c:manualLayout>
          <c:xMode val="edge"/>
          <c:yMode val="edge"/>
          <c:x val="0"/>
          <c:y val="0.77348090922596857"/>
          <c:w val="1"/>
          <c:h val="0.2265190907740434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view3D>
      <c:hPercent val="56"/>
      <c:depthPercent val="100"/>
      <c:rAngAx val="1"/>
    </c:view3D>
    <c:floor>
      <c:spPr>
        <a:solidFill>
          <a:schemeClr val="bg1">
            <a:lumMod val="85000"/>
          </a:schemeClr>
        </a:solidFill>
      </c:spPr>
    </c:floor>
    <c:plotArea>
      <c:layout>
        <c:manualLayout>
          <c:layoutTarget val="inner"/>
          <c:xMode val="edge"/>
          <c:yMode val="edge"/>
          <c:x val="0"/>
          <c:y val="0.11374407582938389"/>
          <c:w val="0.96811594202898565"/>
          <c:h val="0.76777251184834161"/>
        </c:manualLayout>
      </c:layout>
      <c:bar3DChart>
        <c:barDir val="col"/>
        <c:grouping val="clustered"/>
        <c:ser>
          <c:idx val="0"/>
          <c:order val="0"/>
          <c:tx>
            <c:strRef>
              <c:f>Sheet1!$A$2</c:f>
              <c:strCache>
                <c:ptCount val="1"/>
                <c:pt idx="0">
                  <c:v>Восток</c:v>
                </c:pt>
              </c:strCache>
            </c:strRef>
          </c:tx>
          <c:spPr>
            <a:solidFill>
              <a:srgbClr val="006600"/>
            </a:solidFill>
            <a:ln>
              <a:solidFill>
                <a:sysClr val="windowText" lastClr="000000">
                  <a:lumMod val="95000"/>
                  <a:lumOff val="5000"/>
                </a:sysClr>
              </a:solidFill>
            </a:ln>
            <a:effectLst>
              <a:outerShdw blurRad="50800" dist="38100" dir="18900000" algn="bl" rotWithShape="0">
                <a:prstClr val="black">
                  <a:alpha val="40000"/>
                </a:prstClr>
              </a:outerShdw>
            </a:effectLst>
            <a:scene3d>
              <a:camera prst="orthographicFront"/>
              <a:lightRig rig="threePt" dir="t">
                <a:rot lat="0" lon="0" rev="1200000"/>
              </a:lightRig>
            </a:scene3d>
            <a:sp3d>
              <a:bevelT w="63500" h="25400" prst="angle"/>
              <a:contourClr>
                <a:srgbClr val="000000"/>
              </a:contourClr>
            </a:sp3d>
          </c:spPr>
          <c:dLbls>
            <c:dLbl>
              <c:idx val="0"/>
              <c:layout>
                <c:manualLayout>
                  <c:x val="2.6172769534913602E-2"/>
                  <c:y val="-2.2580085439110952E-2"/>
                </c:manualLayout>
              </c:layout>
              <c:showVal val="1"/>
            </c:dLbl>
            <c:dLbl>
              <c:idx val="1"/>
              <c:layout>
                <c:manualLayout>
                  <c:x val="3.9377905525310557E-2"/>
                  <c:y val="-4.3180794869260589E-2"/>
                </c:manualLayout>
              </c:layout>
              <c:showVal val="1"/>
            </c:dLbl>
            <c:dLbl>
              <c:idx val="2"/>
              <c:layout>
                <c:manualLayout>
                  <c:x val="2.8422874609809592E-2"/>
                  <c:y val="-1.2548745477167125E-2"/>
                </c:manualLayout>
              </c:layout>
              <c:showVal val="1"/>
            </c:dLbl>
            <c:dLbl>
              <c:idx val="3"/>
              <c:layout>
                <c:manualLayout>
                  <c:x val="3.0864197530864296E-2"/>
                  <c:y val="0"/>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2.2000000000000002</c:v>
                </c:pt>
                <c:pt idx="1">
                  <c:v>3.4499999999999997</c:v>
                </c:pt>
                <c:pt idx="2">
                  <c:v>1.6500000000000001</c:v>
                </c:pt>
                <c:pt idx="3">
                  <c:v>1.1200000000000001</c:v>
                </c:pt>
                <c:pt idx="4">
                  <c:v>2.08</c:v>
                </c:pt>
              </c:numCache>
            </c:numRef>
          </c:val>
        </c:ser>
        <c:dLbls>
          <c:showVal val="1"/>
        </c:dLbls>
        <c:gapWidth val="99"/>
        <c:gapDepth val="0"/>
        <c:shape val="cylinder"/>
        <c:axId val="188909824"/>
        <c:axId val="189014016"/>
        <c:axId val="0"/>
      </c:bar3DChart>
      <c:catAx>
        <c:axId val="188909824"/>
        <c:scaling>
          <c:orientation val="minMax"/>
        </c:scaling>
        <c:axPos val="b"/>
        <c:numFmt formatCode="General" sourceLinked="1"/>
        <c:tickLblPos val="low"/>
        <c:txPr>
          <a:bodyPr rot="0" vert="horz"/>
          <a:lstStyle/>
          <a:p>
            <a:pPr>
              <a:defRPr>
                <a:latin typeface="Times New Roman" pitchFamily="18" charset="0"/>
                <a:cs typeface="Times New Roman" pitchFamily="18" charset="0"/>
              </a:defRPr>
            </a:pPr>
            <a:endParaRPr lang="ru-RU"/>
          </a:p>
        </c:txPr>
        <c:crossAx val="189014016"/>
        <c:crosses val="autoZero"/>
        <c:auto val="1"/>
        <c:lblAlgn val="ctr"/>
        <c:lblOffset val="100"/>
        <c:tickLblSkip val="1"/>
        <c:tickMarkSkip val="1"/>
      </c:catAx>
      <c:valAx>
        <c:axId val="189014016"/>
        <c:scaling>
          <c:orientation val="minMax"/>
        </c:scaling>
        <c:delete val="1"/>
        <c:axPos val="l"/>
        <c:numFmt formatCode="General" sourceLinked="1"/>
        <c:tickLblPos val="nextTo"/>
        <c:crossAx val="188909824"/>
        <c:crosses val="autoZero"/>
        <c:crossBetween val="between"/>
      </c:valAx>
      <c:spPr>
        <a:noFill/>
        <a:ln w="25379">
          <a:noFill/>
        </a:ln>
      </c:spPr>
    </c:plotArea>
    <c:plotVisOnly val="1"/>
    <c:dispBlanksAs val="gap"/>
  </c:chart>
  <c:spPr>
    <a:noFill/>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493403693932124E-2"/>
          <c:y val="4.4912804044944989E-3"/>
          <c:w val="0.90765171503960063"/>
          <c:h val="0.65569215528590064"/>
        </c:manualLayout>
      </c:layout>
      <c:lineChart>
        <c:grouping val="standard"/>
        <c:ser>
          <c:idx val="0"/>
          <c:order val="0"/>
          <c:tx>
            <c:strRef>
              <c:f>Sheet1!$A$2</c:f>
              <c:strCache>
                <c:ptCount val="1"/>
                <c:pt idx="0">
                  <c:v>Торгова площа, тис.кв.м</c:v>
                </c:pt>
              </c:strCache>
            </c:strRef>
          </c:tx>
          <c:spPr>
            <a:ln w="38120">
              <a:solidFill>
                <a:srgbClr val="000080"/>
              </a:solidFill>
              <a:prstDash val="solid"/>
            </a:ln>
          </c:spPr>
          <c:marker>
            <c:symbol val="circle"/>
            <c:size val="7"/>
            <c:spPr>
              <a:solidFill>
                <a:srgbClr val="00B0F0"/>
              </a:solidFill>
              <a:ln>
                <a:solidFill>
                  <a:srgbClr val="000080"/>
                </a:solidFill>
                <a:prstDash val="solid"/>
              </a:ln>
            </c:spPr>
          </c:marker>
          <c:dLbls>
            <c:dLbl>
              <c:idx val="0"/>
              <c:layout>
                <c:manualLayout>
                  <c:x val="-6.9853774738807134E-2"/>
                  <c:y val="-7.5095839910767473E-2"/>
                </c:manualLayout>
              </c:layout>
              <c:dLblPos val="r"/>
              <c:showVal val="1"/>
            </c:dLbl>
            <c:dLbl>
              <c:idx val="1"/>
              <c:layout>
                <c:manualLayout>
                  <c:x val="-6.5248177042150607E-2"/>
                  <c:y val="-7.3371576452103154E-2"/>
                </c:manualLayout>
              </c:layout>
              <c:dLblPos val="r"/>
              <c:showVal val="1"/>
            </c:dLbl>
            <c:dLbl>
              <c:idx val="2"/>
              <c:layout>
                <c:manualLayout>
                  <c:x val="-6.0642579345494364E-2"/>
                  <c:y val="-5.7100669139049133E-2"/>
                </c:manualLayout>
              </c:layout>
              <c:dLblPos val="r"/>
              <c:showVal val="1"/>
            </c:dLbl>
            <c:dLbl>
              <c:idx val="3"/>
              <c:layout>
                <c:manualLayout>
                  <c:x val="-4.2844369511634367E-2"/>
                  <c:y val="-7.8659705351957043E-2"/>
                </c:manualLayout>
              </c:layout>
              <c:dLblPos val="r"/>
              <c:showVal val="1"/>
            </c:dLbl>
            <c:dLbl>
              <c:idx val="4"/>
              <c:layout>
                <c:manualLayout>
                  <c:x val="-6.3018242122719739E-2"/>
                  <c:y val="-7.4418604651164524E-2"/>
                </c:manualLayout>
              </c:layout>
              <c:dLblPos val="r"/>
              <c:showVal val="1"/>
            </c:dLbl>
            <c:spPr>
              <a:noFill/>
              <a:ln w="25418">
                <a:noFill/>
              </a:ln>
            </c:spPr>
            <c:txPr>
              <a:bodyPr/>
              <a:lstStyle/>
              <a:p>
                <a:pPr>
                  <a:defRPr sz="1001"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Sheet1!$B$2:$F$2</c:f>
              <c:numCache>
                <c:formatCode>General</c:formatCode>
                <c:ptCount val="5"/>
                <c:pt idx="0">
                  <c:v>1924</c:v>
                </c:pt>
                <c:pt idx="1">
                  <c:v>1990</c:v>
                </c:pt>
                <c:pt idx="2">
                  <c:v>2035</c:v>
                </c:pt>
                <c:pt idx="3">
                  <c:v>2066</c:v>
                </c:pt>
                <c:pt idx="4">
                  <c:v>2133</c:v>
                </c:pt>
              </c:numCache>
            </c:numRef>
          </c:val>
        </c:ser>
        <c:dLbls>
          <c:showVal val="1"/>
        </c:dLbls>
        <c:marker val="1"/>
        <c:axId val="189278848"/>
        <c:axId val="189202816"/>
      </c:lineChart>
      <c:lineChart>
        <c:grouping val="standard"/>
        <c:ser>
          <c:idx val="1"/>
          <c:order val="1"/>
          <c:tx>
            <c:strRef>
              <c:f>Sheet1!$A$3</c:f>
              <c:strCache>
                <c:ptCount val="1"/>
                <c:pt idx="0">
                  <c:v>Кількість підприємств, тис.од</c:v>
                </c:pt>
              </c:strCache>
            </c:strRef>
          </c:tx>
          <c:spPr>
            <a:ln w="38120">
              <a:solidFill>
                <a:srgbClr val="FF00FF"/>
              </a:solidFill>
              <a:prstDash val="solid"/>
            </a:ln>
          </c:spPr>
          <c:marker>
            <c:symbol val="square"/>
            <c:size val="6"/>
            <c:spPr>
              <a:solidFill>
                <a:sysClr val="window" lastClr="FFFFFF"/>
              </a:solidFill>
              <a:ln>
                <a:solidFill>
                  <a:srgbClr val="FF00FF"/>
                </a:solidFill>
                <a:prstDash val="solid"/>
              </a:ln>
            </c:spPr>
          </c:marker>
          <c:dLbls>
            <c:dLbl>
              <c:idx val="0"/>
              <c:layout>
                <c:manualLayout>
                  <c:x val="-5.1384154394683683E-2"/>
                  <c:y val="-4.4029669124694484E-2"/>
                </c:manualLayout>
              </c:layout>
              <c:tx>
                <c:rich>
                  <a:bodyPr/>
                  <a:lstStyle/>
                  <a:p>
                    <a:r>
                      <a:rPr lang="ru-RU" sz="1001">
                        <a:latin typeface="Times New Roman" pitchFamily="18" charset="0"/>
                        <a:cs typeface="Times New Roman" pitchFamily="18" charset="0"/>
                      </a:rPr>
                      <a:t>14</a:t>
                    </a:r>
                  </a:p>
                </c:rich>
              </c:tx>
              <c:dLblPos val="r"/>
            </c:dLbl>
            <c:dLbl>
              <c:idx val="1"/>
              <c:layout>
                <c:manualLayout>
                  <c:x val="-4.4067588566354565E-2"/>
                  <c:y val="-6.1558568065589646E-2"/>
                </c:manualLayout>
              </c:layout>
              <c:tx>
                <c:rich>
                  <a:bodyPr/>
                  <a:lstStyle/>
                  <a:p>
                    <a:r>
                      <a:rPr lang="ru-RU" sz="1001">
                        <a:latin typeface="Times New Roman" pitchFamily="18" charset="0"/>
                        <a:cs typeface="Times New Roman" pitchFamily="18" charset="0"/>
                      </a:rPr>
                      <a:t>15</a:t>
                    </a:r>
                  </a:p>
                </c:rich>
              </c:tx>
              <c:dLblPos val="r"/>
            </c:dLbl>
            <c:dLbl>
              <c:idx val="2"/>
              <c:layout>
                <c:manualLayout>
                  <c:x val="-4.9410428174090193E-2"/>
                  <c:y val="-5.8424655680926481E-2"/>
                </c:manualLayout>
              </c:layout>
              <c:tx>
                <c:rich>
                  <a:bodyPr/>
                  <a:lstStyle/>
                  <a:p>
                    <a:r>
                      <a:rPr lang="ru-RU" sz="1001">
                        <a:latin typeface="Times New Roman" pitchFamily="18" charset="0"/>
                        <a:cs typeface="Times New Roman" pitchFamily="18" charset="0"/>
                      </a:rPr>
                      <a:t>15</a:t>
                    </a:r>
                  </a:p>
                </c:rich>
              </c:tx>
              <c:dLblPos val="r"/>
            </c:dLbl>
            <c:dLbl>
              <c:idx val="3"/>
              <c:layout>
                <c:manualLayout>
                  <c:x val="-5.1436357087298573E-2"/>
                  <c:y val="-5.3185273123415519E-2"/>
                </c:manualLayout>
              </c:layout>
              <c:tx>
                <c:rich>
                  <a:bodyPr/>
                  <a:lstStyle/>
                  <a:p>
                    <a:r>
                      <a:rPr lang="ru-RU" sz="1001">
                        <a:latin typeface="Times New Roman" pitchFamily="18" charset="0"/>
                        <a:cs typeface="Times New Roman" pitchFamily="18" charset="0"/>
                      </a:rPr>
                      <a:t>15</a:t>
                    </a:r>
                  </a:p>
                </c:rich>
              </c:tx>
              <c:dLblPos val="r"/>
            </c:dLbl>
            <c:dLbl>
              <c:idx val="4"/>
              <c:layout>
                <c:manualLayout>
                  <c:x val="-5.6384742951907131E-2"/>
                  <c:y val="-7.4418604651164524E-2"/>
                </c:manualLayout>
              </c:layout>
              <c:tx>
                <c:rich>
                  <a:bodyPr/>
                  <a:lstStyle/>
                  <a:p>
                    <a:r>
                      <a:rPr lang="en-US"/>
                      <a:t>15</a:t>
                    </a:r>
                    <a:r>
                      <a:rPr lang="uk-UA"/>
                      <a:t>,</a:t>
                    </a:r>
                    <a:r>
                      <a:rPr lang="en-US"/>
                      <a:t>5</a:t>
                    </a:r>
                  </a:p>
                </c:rich>
              </c:tx>
              <c:dLblPos val="r"/>
            </c:dLbl>
            <c:spPr>
              <a:noFill/>
              <a:ln w="25418">
                <a:noFill/>
              </a:ln>
            </c:spPr>
            <c:txPr>
              <a:bodyPr/>
              <a:lstStyle/>
              <a:p>
                <a:pPr>
                  <a:defRPr sz="1001"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Sheet1!$B$3:$F$3</c:f>
              <c:numCache>
                <c:formatCode>General</c:formatCode>
                <c:ptCount val="5"/>
                <c:pt idx="0">
                  <c:v>150</c:v>
                </c:pt>
                <c:pt idx="1">
                  <c:v>150</c:v>
                </c:pt>
                <c:pt idx="2">
                  <c:v>150</c:v>
                </c:pt>
                <c:pt idx="3">
                  <c:v>155</c:v>
                </c:pt>
                <c:pt idx="4">
                  <c:v>159</c:v>
                </c:pt>
              </c:numCache>
            </c:numRef>
          </c:val>
        </c:ser>
        <c:ser>
          <c:idx val="2"/>
          <c:order val="2"/>
          <c:tx>
            <c:strRef>
              <c:f>Sheet1!$A$4</c:f>
              <c:strCache>
                <c:ptCount val="1"/>
                <c:pt idx="0">
                  <c:v>Забезпеченість на 1000 осіб</c:v>
                </c:pt>
              </c:strCache>
            </c:strRef>
          </c:tx>
          <c:spPr>
            <a:ln w="38120">
              <a:solidFill>
                <a:srgbClr val="008000"/>
              </a:solidFill>
              <a:prstDash val="solid"/>
            </a:ln>
          </c:spPr>
          <c:marker>
            <c:symbol val="triangle"/>
            <c:size val="7"/>
            <c:spPr>
              <a:solidFill>
                <a:srgbClr val="FFFF00"/>
              </a:solidFill>
              <a:ln>
                <a:solidFill>
                  <a:srgbClr val="008000"/>
                </a:solidFill>
                <a:prstDash val="solid"/>
              </a:ln>
            </c:spPr>
          </c:marker>
          <c:dLbls>
            <c:dLbl>
              <c:idx val="0"/>
              <c:layout>
                <c:manualLayout>
                  <c:x val="-5.6057246575521372E-2"/>
                  <c:y val="6.5283437508455791E-2"/>
                </c:manualLayout>
              </c:layout>
              <c:dLblPos val="r"/>
              <c:showVal val="1"/>
            </c:dLbl>
            <c:dLbl>
              <c:idx val="1"/>
              <c:layout>
                <c:manualLayout>
                  <c:x val="-4.8813152087332383E-2"/>
                  <c:y val="6.19460454041183E-2"/>
                </c:manualLayout>
              </c:layout>
              <c:dLblPos val="r"/>
              <c:showVal val="1"/>
            </c:dLbl>
            <c:dLbl>
              <c:idx val="2"/>
              <c:layout>
                <c:manualLayout>
                  <c:x val="-5.9360415768924424E-2"/>
                  <c:y val="6.8811321265254216E-2"/>
                </c:manualLayout>
              </c:layout>
              <c:dLblPos val="r"/>
              <c:showVal val="1"/>
            </c:dLbl>
            <c:dLbl>
              <c:idx val="3"/>
              <c:layout>
                <c:manualLayout>
                  <c:x val="-4.8121414366515868E-2"/>
                  <c:y val="5.963888127429455E-2"/>
                </c:manualLayout>
              </c:layout>
              <c:dLblPos val="r"/>
              <c:showVal val="1"/>
            </c:dLbl>
            <c:dLbl>
              <c:idx val="4"/>
              <c:layout>
                <c:manualLayout>
                  <c:x val="-6.3018242122719739E-2"/>
                  <c:y val="8.6821705426356588E-2"/>
                </c:manualLayout>
              </c:layout>
              <c:dLblPos val="r"/>
              <c:showVal val="1"/>
            </c:dLbl>
            <c:spPr>
              <a:noFill/>
              <a:ln w="25418">
                <a:noFill/>
              </a:ln>
            </c:spPr>
            <c:txPr>
              <a:bodyPr/>
              <a:lstStyle/>
              <a:p>
                <a:pPr>
                  <a:defRPr sz="1001"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Sheet1!$B$4:$F$4</c:f>
              <c:numCache>
                <c:formatCode>General</c:formatCode>
                <c:ptCount val="5"/>
                <c:pt idx="0">
                  <c:v>425</c:v>
                </c:pt>
                <c:pt idx="1">
                  <c:v>445</c:v>
                </c:pt>
                <c:pt idx="2">
                  <c:v>458</c:v>
                </c:pt>
                <c:pt idx="3">
                  <c:v>467</c:v>
                </c:pt>
                <c:pt idx="4">
                  <c:v>486</c:v>
                </c:pt>
              </c:numCache>
            </c:numRef>
          </c:val>
        </c:ser>
        <c:dLbls>
          <c:showVal val="1"/>
        </c:dLbls>
        <c:marker val="1"/>
        <c:axId val="189204352"/>
        <c:axId val="189205888"/>
      </c:lineChart>
      <c:catAx>
        <c:axId val="189278848"/>
        <c:scaling>
          <c:orientation val="minMax"/>
        </c:scaling>
        <c:axPos val="b"/>
        <c:numFmt formatCode="General" sourceLinked="1"/>
        <c:tickLblPos val="nextTo"/>
        <c:spPr>
          <a:ln w="3178">
            <a:solidFill>
              <a:srgbClr val="000000"/>
            </a:solidFill>
            <a:prstDash val="solid"/>
          </a:ln>
        </c:spPr>
        <c:txPr>
          <a:bodyPr rot="0" vert="horz"/>
          <a:lstStyle/>
          <a:p>
            <a:pPr>
              <a:defRPr sz="900" b="0" i="0" u="none" strike="noStrike" baseline="0">
                <a:solidFill>
                  <a:srgbClr val="000000"/>
                </a:solidFill>
                <a:latin typeface="Times New Roman" pitchFamily="18" charset="0"/>
                <a:ea typeface="Times New Roman"/>
                <a:cs typeface="Times New Roman" pitchFamily="18" charset="0"/>
              </a:defRPr>
            </a:pPr>
            <a:endParaRPr lang="ru-RU"/>
          </a:p>
        </c:txPr>
        <c:crossAx val="189202816"/>
        <c:crosses val="autoZero"/>
        <c:auto val="1"/>
        <c:lblAlgn val="ctr"/>
        <c:lblOffset val="100"/>
        <c:tickLblSkip val="1"/>
        <c:tickMarkSkip val="1"/>
      </c:catAx>
      <c:valAx>
        <c:axId val="189202816"/>
        <c:scaling>
          <c:orientation val="minMax"/>
          <c:min val="0"/>
        </c:scaling>
        <c:axPos val="l"/>
        <c:numFmt formatCode="General" sourceLinked="1"/>
        <c:tickLblPos val="nextTo"/>
        <c:spPr>
          <a:ln w="9532">
            <a:noFill/>
          </a:ln>
        </c:spPr>
        <c:txPr>
          <a:bodyPr rot="0" vert="horz"/>
          <a:lstStyle/>
          <a:p>
            <a:pPr>
              <a:defRPr sz="125" b="1" i="0" u="none" strike="noStrike" baseline="0">
                <a:solidFill>
                  <a:srgbClr val="FFFFFF"/>
                </a:solidFill>
                <a:latin typeface="Calibri"/>
                <a:ea typeface="Calibri"/>
                <a:cs typeface="Calibri"/>
              </a:defRPr>
            </a:pPr>
            <a:endParaRPr lang="ru-RU"/>
          </a:p>
        </c:txPr>
        <c:crossAx val="189278848"/>
        <c:crosses val="autoZero"/>
        <c:crossBetween val="between"/>
      </c:valAx>
      <c:catAx>
        <c:axId val="189204352"/>
        <c:scaling>
          <c:orientation val="minMax"/>
        </c:scaling>
        <c:delete val="1"/>
        <c:axPos val="b"/>
        <c:tickLblPos val="nextTo"/>
        <c:crossAx val="189205888"/>
        <c:crosses val="autoZero"/>
        <c:auto val="1"/>
        <c:lblAlgn val="ctr"/>
        <c:lblOffset val="100"/>
      </c:catAx>
      <c:valAx>
        <c:axId val="189205888"/>
        <c:scaling>
          <c:orientation val="minMax"/>
          <c:max val="700"/>
        </c:scaling>
        <c:axPos val="r"/>
        <c:numFmt formatCode="General" sourceLinked="1"/>
        <c:majorTickMark val="cross"/>
        <c:tickLblPos val="nextTo"/>
        <c:spPr>
          <a:ln w="9532">
            <a:noFill/>
          </a:ln>
        </c:spPr>
        <c:txPr>
          <a:bodyPr rot="0" vert="horz"/>
          <a:lstStyle/>
          <a:p>
            <a:pPr>
              <a:defRPr sz="125" b="1" i="0" u="none" strike="noStrike" baseline="0">
                <a:solidFill>
                  <a:srgbClr val="FFFFFF"/>
                </a:solidFill>
                <a:latin typeface="Calibri"/>
                <a:ea typeface="Calibri"/>
                <a:cs typeface="Calibri"/>
              </a:defRPr>
            </a:pPr>
            <a:endParaRPr lang="ru-RU"/>
          </a:p>
        </c:txPr>
        <c:crossAx val="189204352"/>
        <c:crosses val="max"/>
        <c:crossBetween val="between"/>
      </c:valAx>
      <c:spPr>
        <a:noFill/>
        <a:ln w="25413">
          <a:noFill/>
        </a:ln>
      </c:spPr>
    </c:plotArea>
    <c:legend>
      <c:legendPos val="b"/>
      <c:layout>
        <c:manualLayout>
          <c:xMode val="edge"/>
          <c:yMode val="edge"/>
          <c:x val="0"/>
          <c:y val="0.76424710800038964"/>
          <c:w val="1"/>
          <c:h val="0.23248760571595151"/>
        </c:manualLayout>
      </c:layout>
      <c:spPr>
        <a:noFill/>
        <a:ln w="25418">
          <a:noFill/>
        </a:ln>
      </c:spPr>
      <c:txPr>
        <a:bodyPr/>
        <a:lstStyle/>
        <a:p>
          <a:pPr>
            <a:defRPr sz="1001"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1076" b="1" i="0" u="none" strike="noStrike" baseline="0">
          <a:solidFill>
            <a:srgbClr val="000000"/>
          </a:solidFill>
          <a:latin typeface="Calibri"/>
          <a:ea typeface="Calibri"/>
          <a:cs typeface="Calibri"/>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5484893461799687E-2"/>
          <c:y val="0.10591267000715819"/>
          <c:w val="0.91032461952660004"/>
          <c:h val="0.57366235919074648"/>
        </c:manualLayout>
      </c:layout>
      <c:barChart>
        <c:barDir val="col"/>
        <c:grouping val="clustered"/>
        <c:ser>
          <c:idx val="0"/>
          <c:order val="0"/>
          <c:tx>
            <c:strRef>
              <c:f>Лист1!$A$2</c:f>
              <c:strCache>
                <c:ptCount val="1"/>
                <c:pt idx="0">
                  <c:v>Загальний обсяг продажу товарів населенню, млрд.грн</c:v>
                </c:pt>
              </c:strCache>
            </c:strRef>
          </c:tx>
          <c:spPr>
            <a:solidFill>
              <a:srgbClr val="FF99CC"/>
            </a:solidFill>
            <a:ln>
              <a:solidFill>
                <a:schemeClr val="tx1"/>
              </a:solidFill>
            </a:ln>
            <a:effectLst>
              <a:outerShdw blurRad="50800" dist="38100" algn="l" rotWithShape="0">
                <a:prstClr val="black">
                  <a:alpha val="40000"/>
                </a:prstClr>
              </a:outerShdw>
            </a:effectLst>
            <a:scene3d>
              <a:camera prst="orthographicFront"/>
              <a:lightRig rig="threePt" dir="t"/>
            </a:scene3d>
            <a:sp3d>
              <a:bevelT w="152400" h="50800" prst="softRound"/>
            </a:sp3d>
          </c:spPr>
          <c:dLbls>
            <c:dLbl>
              <c:idx val="1"/>
              <c:layout>
                <c:manualLayout>
                  <c:x val="0"/>
                  <c:y val="1.6982734220209721E-2"/>
                </c:manualLayout>
              </c:layout>
              <c:dLblPos val="outEnd"/>
              <c:showVal val="1"/>
            </c:dLbl>
            <c:dLbl>
              <c:idx val="2"/>
              <c:layout>
                <c:manualLayout>
                  <c:x val="0"/>
                  <c:y val="1.4354066985645484E-2"/>
                </c:manualLayout>
              </c:layout>
              <c:dLblPos val="outEnd"/>
              <c:showVal val="1"/>
            </c:dLbl>
            <c:dLbl>
              <c:idx val="3"/>
              <c:layout>
                <c:manualLayout>
                  <c:x val="0"/>
                  <c:y val="1.4354066985645474E-2"/>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 попередні</c:v>
                </c:pt>
              </c:strCache>
            </c:strRef>
          </c:cat>
          <c:val>
            <c:numRef>
              <c:f>Лист1!$B$2:$F$2</c:f>
              <c:numCache>
                <c:formatCode>General</c:formatCode>
                <c:ptCount val="5"/>
                <c:pt idx="0">
                  <c:v>45.6</c:v>
                </c:pt>
                <c:pt idx="1">
                  <c:v>45.2</c:v>
                </c:pt>
                <c:pt idx="2">
                  <c:v>53.6</c:v>
                </c:pt>
                <c:pt idx="3">
                  <c:v>67.400000000000006</c:v>
                </c:pt>
                <c:pt idx="4">
                  <c:v>79.7</c:v>
                </c:pt>
              </c:numCache>
            </c:numRef>
          </c:val>
        </c:ser>
        <c:ser>
          <c:idx val="1"/>
          <c:order val="1"/>
          <c:tx>
            <c:strRef>
              <c:f>Лист1!$A$3</c:f>
              <c:strCache>
                <c:ptCount val="1"/>
                <c:pt idx="0">
                  <c:v>Роздрібний товарооборот підприємств-юр. осіб, млрд.грн.</c:v>
                </c:pt>
              </c:strCache>
            </c:strRef>
          </c:tx>
          <c:spPr>
            <a:solidFill>
              <a:schemeClr val="tx2">
                <a:lumMod val="75000"/>
              </a:schemeClr>
            </a:solidFill>
            <a:effectLst>
              <a:outerShdw blurRad="50800" dist="38100" algn="l" rotWithShape="0">
                <a:prstClr val="black">
                  <a:alpha val="40000"/>
                </a:prstClr>
              </a:outerShdw>
            </a:effectLst>
            <a:scene3d>
              <a:camera prst="orthographicFront"/>
              <a:lightRig rig="threePt" dir="t"/>
            </a:scene3d>
            <a:sp3d>
              <a:bevelT w="152400" h="50800" prst="softRound"/>
            </a:sp3d>
          </c:spPr>
          <c:dLbls>
            <c:dLbl>
              <c:idx val="0"/>
              <c:layout>
                <c:manualLayout>
                  <c:x val="3.3019646689780692E-3"/>
                  <c:y val="0.12454005094821652"/>
                </c:manualLayout>
              </c:layout>
              <c:dLblPos val="outEnd"/>
              <c:showVal val="1"/>
            </c:dLbl>
            <c:dLbl>
              <c:idx val="1"/>
              <c:layout>
                <c:manualLayout>
                  <c:x val="3.3020552942064352E-3"/>
                  <c:y val="0.11544324303959613"/>
                </c:manualLayout>
              </c:layout>
              <c:dLblPos val="outEnd"/>
              <c:showVal val="1"/>
            </c:dLbl>
            <c:dLbl>
              <c:idx val="2"/>
              <c:layout>
                <c:manualLayout>
                  <c:x val="-2.5999721802977492E-7"/>
                  <c:y val="0.13586187376167563"/>
                </c:manualLayout>
              </c:layout>
              <c:dLblPos val="outEnd"/>
              <c:showVal val="1"/>
            </c:dLbl>
            <c:dLbl>
              <c:idx val="3"/>
              <c:layout>
                <c:manualLayout>
                  <c:x val="0"/>
                  <c:y val="0.16982734220209494"/>
                </c:manualLayout>
              </c:layout>
              <c:dLblPos val="outEnd"/>
              <c:showVal val="1"/>
            </c:dLbl>
            <c:dLbl>
              <c:idx val="4"/>
              <c:layout>
                <c:manualLayout>
                  <c:x val="3.3019646689781642E-3"/>
                  <c:y val="0.20945372204924997"/>
                </c:manualLayout>
              </c:layout>
              <c:dLblPos val="outEnd"/>
              <c:showVal val="1"/>
            </c:dLbl>
            <c:numFmt formatCode="#,##0.0" sourceLinked="0"/>
            <c:txPr>
              <a:bodyPr/>
              <a:lstStyle/>
              <a:p>
                <a:pPr>
                  <a:defRPr b="1">
                    <a:solidFill>
                      <a:schemeClr val="bg1"/>
                    </a:solidFill>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 попередні</c:v>
                </c:pt>
              </c:strCache>
            </c:strRef>
          </c:cat>
          <c:val>
            <c:numRef>
              <c:f>Лист1!$B$3:$F$3</c:f>
              <c:numCache>
                <c:formatCode>General</c:formatCode>
                <c:ptCount val="5"/>
                <c:pt idx="0">
                  <c:v>22.2</c:v>
                </c:pt>
                <c:pt idx="1">
                  <c:v>20</c:v>
                </c:pt>
                <c:pt idx="2">
                  <c:v>25.1</c:v>
                </c:pt>
                <c:pt idx="3">
                  <c:v>31.2</c:v>
                </c:pt>
                <c:pt idx="4">
                  <c:v>36.9</c:v>
                </c:pt>
              </c:numCache>
            </c:numRef>
          </c:val>
        </c:ser>
        <c:dLbls>
          <c:showVal val="1"/>
        </c:dLbls>
        <c:gapWidth val="55"/>
        <c:axId val="189217408"/>
        <c:axId val="189256064"/>
      </c:barChart>
      <c:lineChart>
        <c:grouping val="standard"/>
        <c:ser>
          <c:idx val="2"/>
          <c:order val="2"/>
          <c:tx>
            <c:strRef>
              <c:f>Лист1!$A$4</c:f>
              <c:strCache>
                <c:ptCount val="1"/>
                <c:pt idx="0">
                  <c:v>Темп роздрібного товарообороту юр.осіб у діючих цінах, %</c:v>
                </c:pt>
              </c:strCache>
            </c:strRef>
          </c:tx>
          <c:spPr>
            <a:ln>
              <a:solidFill>
                <a:srgbClr val="FF0000"/>
              </a:solidFill>
            </a:ln>
          </c:spPr>
          <c:marker>
            <c:symbol val="circle"/>
            <c:size val="7"/>
            <c:spPr>
              <a:solidFill>
                <a:srgbClr val="FFFF00"/>
              </a:solidFill>
              <a:ln>
                <a:solidFill>
                  <a:srgbClr val="FF0000"/>
                </a:solidFill>
              </a:ln>
            </c:spPr>
          </c:marker>
          <c:dLbls>
            <c:dLbl>
              <c:idx val="0"/>
              <c:layout>
                <c:manualLayout>
                  <c:x val="-1.6295690674448443E-2"/>
                  <c:y val="-2.1319368571751696E-2"/>
                </c:manualLayout>
              </c:layout>
              <c:showVal val="1"/>
            </c:dLbl>
            <c:dLbl>
              <c:idx val="1"/>
              <c:layout>
                <c:manualLayout>
                  <c:x val="-1.6509773339036356E-2"/>
                  <c:y val="-5.7889085634630598E-2"/>
                </c:manualLayout>
              </c:layout>
              <c:showVal val="1"/>
            </c:dLbl>
            <c:dLbl>
              <c:idx val="2"/>
              <c:layout>
                <c:manualLayout>
                  <c:x val="-1.3207969610827949E-2"/>
                  <c:y val="-5.3576837584297175E-2"/>
                </c:manualLayout>
              </c:layout>
              <c:showVal val="1"/>
            </c:dLbl>
            <c:dLbl>
              <c:idx val="3"/>
              <c:layout>
                <c:manualLayout>
                  <c:x val="-1.3636134940001515E-2"/>
                  <c:y val="-4.3131145688128675E-2"/>
                </c:manualLayout>
              </c:layout>
              <c:showVal val="1"/>
            </c:dLbl>
            <c:dLbl>
              <c:idx val="4"/>
              <c:layout>
                <c:manualLayout>
                  <c:x val="-1.3207969610828141E-2"/>
                  <c:y val="-8.4936162640698767E-2"/>
                </c:manualLayout>
              </c:layout>
              <c:showVal val="1"/>
            </c:dLbl>
            <c:numFmt formatCode="#,##0.0" sourceLinked="0"/>
            <c:txPr>
              <a:bodyPr/>
              <a:lstStyle/>
              <a:p>
                <a:pPr>
                  <a:defRPr b="1" i="1">
                    <a:solidFill>
                      <a:srgbClr val="FF0000"/>
                    </a:solidFill>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 попередні</c:v>
                </c:pt>
              </c:strCache>
            </c:strRef>
          </c:cat>
          <c:val>
            <c:numRef>
              <c:f>Лист1!$B$4:$F$4</c:f>
              <c:numCache>
                <c:formatCode>General</c:formatCode>
                <c:ptCount val="5"/>
                <c:pt idx="0">
                  <c:v>139.4</c:v>
                </c:pt>
                <c:pt idx="1">
                  <c:v>90</c:v>
                </c:pt>
                <c:pt idx="2">
                  <c:v>125.2</c:v>
                </c:pt>
                <c:pt idx="3">
                  <c:v>124.5</c:v>
                </c:pt>
                <c:pt idx="4">
                  <c:v>118.2</c:v>
                </c:pt>
              </c:numCache>
            </c:numRef>
          </c:val>
        </c:ser>
        <c:marker val="1"/>
        <c:axId val="189259136"/>
        <c:axId val="189257600"/>
      </c:lineChart>
      <c:catAx>
        <c:axId val="189217408"/>
        <c:scaling>
          <c:orientation val="minMax"/>
        </c:scaling>
        <c:axPos val="b"/>
        <c:tickLblPos val="nextTo"/>
        <c:txPr>
          <a:bodyPr/>
          <a:lstStyle/>
          <a:p>
            <a:pPr>
              <a:defRPr>
                <a:latin typeface="Times New Roman" pitchFamily="18" charset="0"/>
                <a:cs typeface="Times New Roman" pitchFamily="18" charset="0"/>
              </a:defRPr>
            </a:pPr>
            <a:endParaRPr lang="ru-RU"/>
          </a:p>
        </c:txPr>
        <c:crossAx val="189256064"/>
        <c:crosses val="autoZero"/>
        <c:auto val="1"/>
        <c:lblAlgn val="ctr"/>
        <c:lblOffset val="100"/>
      </c:catAx>
      <c:valAx>
        <c:axId val="189256064"/>
        <c:scaling>
          <c:orientation val="minMax"/>
          <c:max val="81"/>
        </c:scaling>
        <c:axPos val="l"/>
        <c:numFmt formatCode="General" sourceLinked="1"/>
        <c:tickLblPos val="nextTo"/>
        <c:spPr>
          <a:ln>
            <a:noFill/>
          </a:ln>
        </c:spPr>
        <c:txPr>
          <a:bodyPr/>
          <a:lstStyle/>
          <a:p>
            <a:pPr>
              <a:defRPr sz="100">
                <a:solidFill>
                  <a:schemeClr val="bg1"/>
                </a:solidFill>
              </a:defRPr>
            </a:pPr>
            <a:endParaRPr lang="ru-RU"/>
          </a:p>
        </c:txPr>
        <c:crossAx val="189217408"/>
        <c:crosses val="autoZero"/>
        <c:crossBetween val="between"/>
      </c:valAx>
      <c:valAx>
        <c:axId val="189257600"/>
        <c:scaling>
          <c:orientation val="minMax"/>
          <c:max val="280"/>
          <c:min val="-20"/>
        </c:scaling>
        <c:axPos val="r"/>
        <c:numFmt formatCode="General" sourceLinked="1"/>
        <c:tickLblPos val="nextTo"/>
        <c:spPr>
          <a:ln>
            <a:noFill/>
          </a:ln>
        </c:spPr>
        <c:txPr>
          <a:bodyPr/>
          <a:lstStyle/>
          <a:p>
            <a:pPr>
              <a:defRPr sz="100">
                <a:solidFill>
                  <a:schemeClr val="bg1"/>
                </a:solidFill>
              </a:defRPr>
            </a:pPr>
            <a:endParaRPr lang="ru-RU"/>
          </a:p>
        </c:txPr>
        <c:crossAx val="189259136"/>
        <c:crosses val="max"/>
        <c:crossBetween val="between"/>
      </c:valAx>
      <c:catAx>
        <c:axId val="189259136"/>
        <c:scaling>
          <c:orientation val="minMax"/>
        </c:scaling>
        <c:delete val="1"/>
        <c:axPos val="b"/>
        <c:tickLblPos val="nextTo"/>
        <c:crossAx val="189257600"/>
        <c:crosses val="autoZero"/>
        <c:auto val="1"/>
        <c:lblAlgn val="ctr"/>
        <c:lblOffset val="100"/>
      </c:catAx>
    </c:plotArea>
    <c:legend>
      <c:legendPos val="r"/>
      <c:layout>
        <c:manualLayout>
          <c:xMode val="edge"/>
          <c:yMode val="edge"/>
          <c:x val="0"/>
          <c:y val="0.76452624044004069"/>
          <c:w val="1"/>
          <c:h val="0.23547375955995931"/>
        </c:manualLayout>
      </c:layout>
      <c:txPr>
        <a:bodyPr/>
        <a:lstStyle/>
        <a:p>
          <a:pPr>
            <a:defRPr sz="950">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plotArea>
      <c:layout>
        <c:manualLayout>
          <c:layoutTarget val="inner"/>
          <c:xMode val="edge"/>
          <c:yMode val="edge"/>
          <c:x val="6.3604240282685506E-2"/>
          <c:y val="8.1395348837210765E-2"/>
          <c:w val="0.90106007067137805"/>
          <c:h val="0.70930234287283656"/>
        </c:manualLayout>
      </c:layout>
      <c:lineChart>
        <c:grouping val="standard"/>
        <c:ser>
          <c:idx val="0"/>
          <c:order val="0"/>
          <c:tx>
            <c:strRef>
              <c:f>Лист3!$A$5</c:f>
              <c:strCache>
                <c:ptCount val="1"/>
              </c:strCache>
            </c:strRef>
          </c:tx>
          <c:spPr>
            <a:ln w="31750">
              <a:solidFill>
                <a:srgbClr val="006600"/>
              </a:solidFill>
            </a:ln>
          </c:spPr>
          <c:marker>
            <c:symbol val="diamond"/>
            <c:size val="9"/>
            <c:spPr>
              <a:solidFill>
                <a:srgbClr val="006600"/>
              </a:solidFill>
              <a:ln>
                <a:solidFill>
                  <a:srgbClr val="006600"/>
                </a:solidFill>
              </a:ln>
            </c:spPr>
          </c:marker>
          <c:dLbls>
            <c:txPr>
              <a:bodyPr/>
              <a:lstStyle/>
              <a:p>
                <a:pPr>
                  <a:defRPr b="1">
                    <a:latin typeface="Times New Roman" pitchFamily="18" charset="0"/>
                    <a:cs typeface="Times New Roman" pitchFamily="18" charset="0"/>
                  </a:defRPr>
                </a:pPr>
                <a:endParaRPr lang="ru-RU"/>
              </a:p>
            </c:txPr>
            <c:dLblPos val="t"/>
            <c:showVal val="1"/>
          </c:dLbls>
          <c:cat>
            <c:numRef>
              <c:f>Лист3!$B$4:$F$4</c:f>
              <c:numCache>
                <c:formatCode>General</c:formatCode>
                <c:ptCount val="5"/>
                <c:pt idx="0">
                  <c:v>2008</c:v>
                </c:pt>
                <c:pt idx="1">
                  <c:v>2009</c:v>
                </c:pt>
                <c:pt idx="2">
                  <c:v>2010</c:v>
                </c:pt>
                <c:pt idx="3">
                  <c:v>2011</c:v>
                </c:pt>
                <c:pt idx="4">
                  <c:v>2012</c:v>
                </c:pt>
              </c:numCache>
            </c:numRef>
          </c:cat>
          <c:val>
            <c:numRef>
              <c:f>Лист3!$B$5:$F$5</c:f>
              <c:numCache>
                <c:formatCode>0.0</c:formatCode>
                <c:ptCount val="5"/>
                <c:pt idx="0">
                  <c:v>124</c:v>
                </c:pt>
                <c:pt idx="1">
                  <c:v>113.1</c:v>
                </c:pt>
                <c:pt idx="2" formatCode="General">
                  <c:v>110.3</c:v>
                </c:pt>
                <c:pt idx="3">
                  <c:v>105</c:v>
                </c:pt>
                <c:pt idx="4">
                  <c:v>101.3</c:v>
                </c:pt>
              </c:numCache>
            </c:numRef>
          </c:val>
        </c:ser>
        <c:dLbls>
          <c:showVal val="1"/>
        </c:dLbls>
        <c:marker val="1"/>
        <c:axId val="179862528"/>
        <c:axId val="189420288"/>
      </c:lineChart>
      <c:catAx>
        <c:axId val="179862528"/>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89420288"/>
        <c:crossesAt val="100"/>
        <c:auto val="1"/>
        <c:lblAlgn val="ctr"/>
        <c:lblOffset val="100"/>
        <c:tickLblSkip val="1"/>
        <c:tickMarkSkip val="1"/>
      </c:catAx>
      <c:valAx>
        <c:axId val="189420288"/>
        <c:scaling>
          <c:orientation val="minMax"/>
          <c:max val="135"/>
          <c:min val="100"/>
        </c:scaling>
        <c:delete val="1"/>
        <c:axPos val="l"/>
        <c:numFmt formatCode="0.0" sourceLinked="1"/>
        <c:tickLblPos val="nextTo"/>
        <c:crossAx val="179862528"/>
        <c:crosses val="autoZero"/>
        <c:crossBetween val="between"/>
      </c:valAx>
    </c:plotArea>
    <c:plotVisOnly val="1"/>
    <c:dispBlanksAs val="gap"/>
  </c:chart>
  <c:spPr>
    <a:noFill/>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43"/>
  <c:clrMapOvr bg1="lt1" tx1="dk1" bg2="lt2" tx2="dk2" accent1="accent1" accent2="accent2" accent3="accent3" accent4="accent4" accent5="accent5" accent6="accent6" hlink="hlink" folHlink="folHlink"/>
  <c:chart>
    <c:plotArea>
      <c:layout>
        <c:manualLayout>
          <c:layoutTarget val="inner"/>
          <c:xMode val="edge"/>
          <c:yMode val="edge"/>
          <c:x val="0"/>
          <c:y val="8.7301860193255798E-4"/>
          <c:w val="1"/>
          <c:h val="0.70481633432281587"/>
        </c:manualLayout>
      </c:layout>
      <c:barChart>
        <c:barDir val="col"/>
        <c:grouping val="clustered"/>
        <c:ser>
          <c:idx val="0"/>
          <c:order val="0"/>
          <c:tx>
            <c:strRef>
              <c:f>Лист1!$A$3</c:f>
              <c:strCache>
                <c:ptCount val="1"/>
                <c:pt idx="0">
                  <c:v>Обсяг реалізованої продукції, млрд.грн.</c:v>
                </c:pt>
              </c:strCache>
            </c:strRef>
          </c:tx>
          <c:dLbls>
            <c:dLbl>
              <c:idx val="2"/>
              <c:layout>
                <c:manualLayout>
                  <c:x val="0"/>
                  <c:y val="1.3937282229965165E-2"/>
                </c:manualLayout>
              </c:layout>
              <c:showVal val="1"/>
            </c:dLbl>
            <c:numFmt formatCode="#,##0.0" sourceLinked="0"/>
            <c:txPr>
              <a:bodyPr/>
              <a:lstStyle/>
              <a:p>
                <a:pPr>
                  <a:defRPr b="1">
                    <a:solidFill>
                      <a:schemeClr val="tx1"/>
                    </a:solidFill>
                    <a:latin typeface="Times New Roman" pitchFamily="18" charset="0"/>
                    <a:cs typeface="Times New Roman" pitchFamily="18" charset="0"/>
                  </a:defRPr>
                </a:pPr>
                <a:endParaRPr lang="ru-RU"/>
              </a:p>
            </c:txPr>
            <c:showVal val="1"/>
          </c:dLbls>
          <c:cat>
            <c:numRef>
              <c:f>Лист1!$B$2:$F$2</c:f>
              <c:numCache>
                <c:formatCode>General</c:formatCode>
                <c:ptCount val="5"/>
                <c:pt idx="0">
                  <c:v>2008</c:v>
                </c:pt>
                <c:pt idx="1">
                  <c:v>2009</c:v>
                </c:pt>
                <c:pt idx="2">
                  <c:v>2010</c:v>
                </c:pt>
                <c:pt idx="3">
                  <c:v>2011</c:v>
                </c:pt>
                <c:pt idx="4">
                  <c:v>2012</c:v>
                </c:pt>
              </c:numCache>
            </c:numRef>
          </c:cat>
          <c:val>
            <c:numRef>
              <c:f>Лист1!$B$3:$F$3</c:f>
              <c:numCache>
                <c:formatCode>0.0</c:formatCode>
                <c:ptCount val="5"/>
                <c:pt idx="0" formatCode="General">
                  <c:v>161.19999999999999</c:v>
                </c:pt>
                <c:pt idx="1">
                  <c:v>125</c:v>
                </c:pt>
                <c:pt idx="2">
                  <c:v>187.5</c:v>
                </c:pt>
                <c:pt idx="3">
                  <c:v>246.3</c:v>
                </c:pt>
                <c:pt idx="4">
                  <c:v>222.8</c:v>
                </c:pt>
              </c:numCache>
            </c:numRef>
          </c:val>
        </c:ser>
        <c:dLbls>
          <c:showVal val="1"/>
        </c:dLbls>
        <c:gapWidth val="117"/>
        <c:axId val="189586432"/>
        <c:axId val="189588224"/>
      </c:barChart>
      <c:lineChart>
        <c:grouping val="standard"/>
        <c:ser>
          <c:idx val="1"/>
          <c:order val="1"/>
          <c:tx>
            <c:strRef>
              <c:f>Лист1!$A$4</c:f>
              <c:strCache>
                <c:ptCount val="1"/>
                <c:pt idx="0">
                  <c:v>Індекс виробництва, % до попереднього року</c:v>
                </c:pt>
              </c:strCache>
            </c:strRef>
          </c:tx>
          <c:spPr>
            <a:ln w="31695">
              <a:solidFill>
                <a:srgbClr val="FF0000"/>
              </a:solidFill>
            </a:ln>
          </c:spPr>
          <c:marker>
            <c:spPr>
              <a:solidFill>
                <a:srgbClr val="FF0000"/>
              </a:solidFill>
            </c:spPr>
          </c:marker>
          <c:dLbls>
            <c:dLbl>
              <c:idx val="0"/>
              <c:layout>
                <c:manualLayout>
                  <c:x val="-7.6294277929157134E-2"/>
                  <c:y val="8.8495575221248068E-2"/>
                </c:manualLayout>
              </c:layout>
              <c:dLblPos val="r"/>
              <c:showVal val="1"/>
            </c:dLbl>
            <c:dLbl>
              <c:idx val="1"/>
              <c:layout>
                <c:manualLayout>
                  <c:x val="-6.1696658097686527E-2"/>
                  <c:y val="6.694560669456065E-2"/>
                </c:manualLayout>
              </c:layout>
              <c:dLblPos val="r"/>
              <c:showVal val="1"/>
            </c:dLbl>
            <c:dLbl>
              <c:idx val="2"/>
              <c:layout>
                <c:manualLayout>
                  <c:x val="-7.19353926912982E-2"/>
                  <c:y val="7.810327842877908E-2"/>
                </c:manualLayout>
              </c:layout>
              <c:dLblPos val="r"/>
              <c:showVal val="1"/>
            </c:dLbl>
            <c:dLbl>
              <c:idx val="3"/>
              <c:layout>
                <c:manualLayout>
                  <c:x val="-7.1973627440408514E-2"/>
                  <c:y val="6.2578826118350916E-2"/>
                </c:manualLayout>
              </c:layout>
              <c:dLblPos val="r"/>
              <c:showVal val="1"/>
            </c:dLbl>
            <c:dLbl>
              <c:idx val="4"/>
              <c:layout>
                <c:manualLayout>
                  <c:x val="-5.1413881748072113E-2"/>
                  <c:y val="7.2524407252447534E-2"/>
                </c:manualLayout>
              </c:layout>
              <c:numFmt formatCode="#,##0.0" sourceLinked="0"/>
              <c:spPr/>
              <c:txPr>
                <a:bodyPr/>
                <a:lstStyle/>
                <a:p>
                  <a:pPr>
                    <a:defRPr b="1">
                      <a:latin typeface="Times New Roman" pitchFamily="18" charset="0"/>
                      <a:cs typeface="Times New Roman" pitchFamily="18" charset="0"/>
                    </a:defRPr>
                  </a:pPr>
                  <a:endParaRPr lang="ru-RU"/>
                </a:p>
              </c:txPr>
              <c:dLblPos val="r"/>
              <c:showVal val="1"/>
            </c:dLbl>
            <c:txPr>
              <a:bodyPr/>
              <a:lstStyle/>
              <a:p>
                <a:pPr>
                  <a:defRPr b="1">
                    <a:latin typeface="Times New Roman" pitchFamily="18" charset="0"/>
                    <a:cs typeface="Times New Roman" pitchFamily="18" charset="0"/>
                  </a:defRPr>
                </a:pPr>
                <a:endParaRPr lang="ru-RU"/>
              </a:p>
            </c:txPr>
            <c:showVal val="1"/>
          </c:dLbls>
          <c:cat>
            <c:numRef>
              <c:f>Лист1!$B$2:$F$2</c:f>
              <c:numCache>
                <c:formatCode>General</c:formatCode>
                <c:ptCount val="5"/>
                <c:pt idx="0">
                  <c:v>2008</c:v>
                </c:pt>
                <c:pt idx="1">
                  <c:v>2009</c:v>
                </c:pt>
                <c:pt idx="2">
                  <c:v>2010</c:v>
                </c:pt>
                <c:pt idx="3">
                  <c:v>2011</c:v>
                </c:pt>
                <c:pt idx="4">
                  <c:v>2012</c:v>
                </c:pt>
              </c:numCache>
            </c:numRef>
          </c:cat>
          <c:val>
            <c:numRef>
              <c:f>Лист1!$B$4:$F$4</c:f>
              <c:numCache>
                <c:formatCode>General</c:formatCode>
                <c:ptCount val="5"/>
                <c:pt idx="0">
                  <c:v>92.2</c:v>
                </c:pt>
                <c:pt idx="1">
                  <c:v>78.2</c:v>
                </c:pt>
                <c:pt idx="2">
                  <c:v>114.7</c:v>
                </c:pt>
                <c:pt idx="3">
                  <c:v>113.6</c:v>
                </c:pt>
                <c:pt idx="4" formatCode="0.0">
                  <c:v>94.6</c:v>
                </c:pt>
              </c:numCache>
            </c:numRef>
          </c:val>
        </c:ser>
        <c:dLbls>
          <c:showVal val="1"/>
        </c:dLbls>
        <c:marker val="1"/>
        <c:axId val="189589760"/>
        <c:axId val="189669376"/>
      </c:lineChart>
      <c:catAx>
        <c:axId val="189586432"/>
        <c:scaling>
          <c:orientation val="minMax"/>
        </c:scaling>
        <c:axPos val="b"/>
        <c:numFmt formatCode="General" sourceLinked="1"/>
        <c:majorTickMark val="cross"/>
        <c:tickLblPos val="nextTo"/>
        <c:txPr>
          <a:bodyPr rot="0" vert="horz"/>
          <a:lstStyle/>
          <a:p>
            <a:pPr>
              <a:defRPr sz="998">
                <a:solidFill>
                  <a:sysClr val="windowText" lastClr="000000"/>
                </a:solidFill>
                <a:latin typeface="Times New Roman" pitchFamily="18" charset="0"/>
                <a:cs typeface="Times New Roman" pitchFamily="18" charset="0"/>
              </a:defRPr>
            </a:pPr>
            <a:endParaRPr lang="ru-RU"/>
          </a:p>
        </c:txPr>
        <c:crossAx val="189588224"/>
        <c:crosses val="autoZero"/>
        <c:lblAlgn val="ctr"/>
        <c:lblOffset val="100"/>
        <c:tickLblSkip val="1"/>
        <c:tickMarkSkip val="1"/>
      </c:catAx>
      <c:valAx>
        <c:axId val="189588224"/>
        <c:scaling>
          <c:orientation val="minMax"/>
        </c:scaling>
        <c:delete val="1"/>
        <c:axPos val="l"/>
        <c:numFmt formatCode="General" sourceLinked="1"/>
        <c:tickLblPos val="nextTo"/>
        <c:crossAx val="189586432"/>
        <c:crosses val="autoZero"/>
        <c:crossBetween val="between"/>
      </c:valAx>
      <c:catAx>
        <c:axId val="189589760"/>
        <c:scaling>
          <c:orientation val="minMax"/>
        </c:scaling>
        <c:delete val="1"/>
        <c:axPos val="b"/>
        <c:numFmt formatCode="General" sourceLinked="1"/>
        <c:tickLblPos val="nextTo"/>
        <c:crossAx val="189669376"/>
        <c:crosses val="autoZero"/>
        <c:lblAlgn val="ctr"/>
        <c:lblOffset val="100"/>
      </c:catAx>
      <c:valAx>
        <c:axId val="189669376"/>
        <c:scaling>
          <c:orientation val="minMax"/>
        </c:scaling>
        <c:delete val="1"/>
        <c:axPos val="l"/>
        <c:numFmt formatCode="General" sourceLinked="1"/>
        <c:tickLblPos val="nextTo"/>
        <c:crossAx val="189589760"/>
        <c:crosses val="autoZero"/>
        <c:crossBetween val="between"/>
      </c:valAx>
      <c:spPr>
        <a:noFill/>
        <a:ln w="25356">
          <a:noFill/>
        </a:ln>
      </c:spPr>
    </c:plotArea>
    <c:legend>
      <c:legendPos val="b"/>
      <c:layout>
        <c:manualLayout>
          <c:xMode val="edge"/>
          <c:yMode val="edge"/>
          <c:x val="3.4391650911709912E-2"/>
          <c:y val="0.8323953912540597"/>
          <c:w val="0.88888898122560756"/>
          <c:h val="0.15649343832023577"/>
        </c:manualLayout>
      </c:layout>
      <c:txPr>
        <a:bodyPr/>
        <a:lstStyle/>
        <a:p>
          <a:pPr>
            <a:defRPr sz="998">
              <a:solidFill>
                <a:sysClr val="windowText" lastClr="000000"/>
              </a:solidFill>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barChart>
        <c:barDir val="bar"/>
        <c:grouping val="clustered"/>
        <c:ser>
          <c:idx val="0"/>
          <c:order val="0"/>
          <c:tx>
            <c:strRef>
              <c:f>Лист1!$B$1</c:f>
              <c:strCache>
                <c:ptCount val="1"/>
                <c:pt idx="0">
                  <c:v>Ряд 1</c:v>
                </c:pt>
              </c:strCache>
            </c:strRef>
          </c:tx>
          <c:dLbls>
            <c:numFmt formatCode="#,##0.0" sourceLinked="0"/>
            <c:txPr>
              <a:bodyPr/>
              <a:lstStyle/>
              <a:p>
                <a:pPr>
                  <a:defRPr b="1">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Лист1!$B$2:$B$6</c:f>
              <c:numCache>
                <c:formatCode>General</c:formatCode>
                <c:ptCount val="5"/>
                <c:pt idx="0">
                  <c:v>33.6</c:v>
                </c:pt>
                <c:pt idx="1">
                  <c:v>37.200000000000003</c:v>
                </c:pt>
                <c:pt idx="2">
                  <c:v>36.1</c:v>
                </c:pt>
                <c:pt idx="3">
                  <c:v>30.5</c:v>
                </c:pt>
                <c:pt idx="4">
                  <c:v>38.4</c:v>
                </c:pt>
              </c:numCache>
            </c:numRef>
          </c:val>
        </c:ser>
        <c:axId val="188935552"/>
        <c:axId val="189289600"/>
      </c:barChart>
      <c:catAx>
        <c:axId val="188935552"/>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89289600"/>
        <c:crosses val="autoZero"/>
        <c:auto val="1"/>
        <c:lblAlgn val="ctr"/>
        <c:lblOffset val="100"/>
      </c:catAx>
      <c:valAx>
        <c:axId val="189289600"/>
        <c:scaling>
          <c:orientation val="minMax"/>
        </c:scaling>
        <c:delete val="1"/>
        <c:axPos val="b"/>
        <c:numFmt formatCode="General" sourceLinked="1"/>
        <c:tickLblPos val="nextTo"/>
        <c:crossAx val="188935552"/>
        <c:crosses val="autoZero"/>
        <c:crossBetween val="between"/>
      </c:valAx>
      <c:spPr>
        <a:noFill/>
        <a:ln>
          <a:noFill/>
        </a:ln>
      </c:spPr>
    </c:plotArea>
    <c:plotVisOnly val="1"/>
  </c:chart>
  <c:spPr>
    <a:noFill/>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125628140703519E-2"/>
          <c:y val="4.8872180451127824E-2"/>
          <c:w val="0.9246231155779"/>
          <c:h val="0.80827067669178099"/>
        </c:manualLayout>
      </c:layout>
      <c:barChart>
        <c:barDir val="col"/>
        <c:grouping val="clustered"/>
        <c:ser>
          <c:idx val="0"/>
          <c:order val="0"/>
          <c:tx>
            <c:strRef>
              <c:f>Sheet1!$A$2</c:f>
              <c:strCache>
                <c:ptCount val="1"/>
                <c:pt idx="0">
                  <c:v>Восток</c:v>
                </c:pt>
              </c:strCache>
            </c:strRef>
          </c:tx>
          <c:dLbls>
            <c:numFmt formatCode="#,##0.0" sourceLinked="0"/>
            <c:spPr>
              <a:noFill/>
              <a:ln w="25362">
                <a:noFill/>
              </a:ln>
            </c:spPr>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762.5</c:v>
                </c:pt>
                <c:pt idx="1">
                  <c:v>380.1</c:v>
                </c:pt>
                <c:pt idx="2">
                  <c:v>499.6</c:v>
                </c:pt>
                <c:pt idx="3" formatCode="0.0">
                  <c:v>630.1</c:v>
                </c:pt>
                <c:pt idx="4">
                  <c:v>560</c:v>
                </c:pt>
              </c:numCache>
            </c:numRef>
          </c:val>
        </c:ser>
        <c:dLbls>
          <c:showVal val="1"/>
        </c:dLbls>
        <c:gapWidth val="100"/>
        <c:axId val="190075264"/>
        <c:axId val="190076800"/>
      </c:barChart>
      <c:catAx>
        <c:axId val="190075264"/>
        <c:scaling>
          <c:orientation val="minMax"/>
        </c:scaling>
        <c:axPos val="b"/>
        <c:numFmt formatCode="General" sourceLinked="1"/>
        <c:tickLblPos val="nextTo"/>
        <c:txPr>
          <a:bodyPr rot="0" vert="horz"/>
          <a:lstStyle/>
          <a:p>
            <a:pPr>
              <a:defRPr sz="999">
                <a:latin typeface="Times New Roman" pitchFamily="18" charset="0"/>
                <a:cs typeface="Times New Roman" pitchFamily="18" charset="0"/>
              </a:defRPr>
            </a:pPr>
            <a:endParaRPr lang="ru-RU"/>
          </a:p>
        </c:txPr>
        <c:crossAx val="190076800"/>
        <c:crosses val="autoZero"/>
        <c:auto val="1"/>
        <c:lblAlgn val="ctr"/>
        <c:lblOffset val="100"/>
        <c:tickLblSkip val="1"/>
        <c:tickMarkSkip val="1"/>
      </c:catAx>
      <c:valAx>
        <c:axId val="190076800"/>
        <c:scaling>
          <c:orientation val="minMax"/>
        </c:scaling>
        <c:delete val="1"/>
        <c:axPos val="l"/>
        <c:numFmt formatCode="General" sourceLinked="1"/>
        <c:tickLblPos val="nextTo"/>
        <c:crossAx val="190075264"/>
        <c:crosses val="autoZero"/>
        <c:crossBetween val="between"/>
      </c:valAx>
    </c:plotArea>
    <c:plotVisOnly val="1"/>
    <c:dispBlanksAs val="gap"/>
  </c:chart>
  <c:spPr>
    <a:noFill/>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plotArea>
      <c:layout>
        <c:manualLayout>
          <c:layoutTarget val="inner"/>
          <c:xMode val="edge"/>
          <c:yMode val="edge"/>
          <c:x val="0"/>
          <c:y val="0.1373626373626374"/>
          <c:w val="1"/>
          <c:h val="0.43463278512408615"/>
        </c:manualLayout>
      </c:layout>
      <c:lineChart>
        <c:grouping val="stacked"/>
        <c:ser>
          <c:idx val="0"/>
          <c:order val="0"/>
          <c:tx>
            <c:strRef>
              <c:f>Sheet1!$A$2</c:f>
              <c:strCache>
                <c:ptCount val="1"/>
              </c:strCache>
            </c:strRef>
          </c:tx>
          <c:spPr>
            <a:ln w="31750"/>
          </c:spPr>
          <c:marker>
            <c:symbol val="diamond"/>
            <c:size val="9"/>
          </c:marker>
          <c:dLbls>
            <c:dLbl>
              <c:idx val="0"/>
              <c:layout>
                <c:manualLayout>
                  <c:x val="-0.10334861988405288"/>
                  <c:y val="-0.14473453976148445"/>
                </c:manualLayout>
              </c:layout>
              <c:dLblPos val="r"/>
              <c:showVal val="1"/>
            </c:dLbl>
            <c:dLbl>
              <c:idx val="1"/>
              <c:layout>
                <c:manualLayout>
                  <c:x val="-7.9018080859876938E-2"/>
                  <c:y val="-0.1003248031496063"/>
                </c:manualLayout>
              </c:layout>
              <c:dLblPos val="r"/>
              <c:showVal val="1"/>
            </c:dLbl>
            <c:dLbl>
              <c:idx val="2"/>
              <c:layout>
                <c:manualLayout>
                  <c:x val="-8.8452885696980246E-2"/>
                  <c:y val="-0.12503200257862504"/>
                </c:manualLayout>
              </c:layout>
              <c:dLblPos val="r"/>
              <c:showVal val="1"/>
            </c:dLbl>
            <c:dLbl>
              <c:idx val="3"/>
              <c:layout>
                <c:manualLayout>
                  <c:x val="-5.7131830723061591E-2"/>
                  <c:y val="-9.4212598425196845E-2"/>
                </c:manualLayout>
              </c:layout>
              <c:dLblPos val="r"/>
              <c:showVal val="1"/>
            </c:dLbl>
            <c:dLbl>
              <c:idx val="4"/>
              <c:layout>
                <c:manualLayout>
                  <c:x val="-4.3923865300146407E-2"/>
                  <c:y val="-0.10416666666666829"/>
                </c:manualLayout>
              </c:layout>
              <c:dLblPos val="r"/>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113.3</c:v>
                </c:pt>
                <c:pt idx="1">
                  <c:v>96.2</c:v>
                </c:pt>
                <c:pt idx="2" formatCode="0.0">
                  <c:v>102</c:v>
                </c:pt>
                <c:pt idx="3">
                  <c:v>119.7</c:v>
                </c:pt>
                <c:pt idx="4" formatCode="0.0">
                  <c:v>94.2</c:v>
                </c:pt>
              </c:numCache>
            </c:numRef>
          </c:val>
        </c:ser>
        <c:marker val="1"/>
        <c:axId val="189711488"/>
        <c:axId val="189713024"/>
      </c:lineChart>
      <c:catAx>
        <c:axId val="189711488"/>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89713024"/>
        <c:crosses val="autoZero"/>
        <c:auto val="1"/>
        <c:lblAlgn val="ctr"/>
        <c:lblOffset val="100"/>
        <c:tickLblSkip val="1"/>
        <c:tickMarkSkip val="1"/>
      </c:catAx>
      <c:valAx>
        <c:axId val="189713024"/>
        <c:scaling>
          <c:orientation val="minMax"/>
          <c:min val="30"/>
        </c:scaling>
        <c:delete val="1"/>
        <c:axPos val="l"/>
        <c:numFmt formatCode="General" sourceLinked="1"/>
        <c:tickLblPos val="nextTo"/>
        <c:crossAx val="189711488"/>
        <c:crosses val="autoZero"/>
        <c:crossBetween val="between"/>
      </c:valAx>
    </c:plotArea>
    <c:plotVisOnly val="1"/>
    <c:dispBlanksAs val="zero"/>
  </c:chart>
  <c:spPr>
    <a:noFill/>
    <a:ln>
      <a:noFill/>
    </a:ln>
  </c:spPr>
  <c:externalData r:id="rId2"/>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2.5974025974026052E-3"/>
          <c:y val="9.6453193350831148E-2"/>
          <c:w val="1"/>
          <c:h val="0.53502828813065029"/>
        </c:manualLayout>
      </c:layout>
      <c:barChart>
        <c:barDir val="col"/>
        <c:grouping val="clustered"/>
        <c:ser>
          <c:idx val="0"/>
          <c:order val="0"/>
          <c:tx>
            <c:strRef>
              <c:f>'Данные животн-во'!$A$4</c:f>
              <c:strCache>
                <c:ptCount val="1"/>
                <c:pt idx="0">
                  <c:v>валовий збір, тис.т.</c:v>
                </c:pt>
              </c:strCache>
            </c:strRef>
          </c:tx>
          <c:dLbls>
            <c:dLbl>
              <c:idx val="0"/>
              <c:layout>
                <c:manualLayout>
                  <c:x val="-3.3585222502099622E-3"/>
                  <c:y val="0.27208690580345019"/>
                </c:manualLayout>
              </c:layout>
              <c:showVal val="1"/>
            </c:dLbl>
            <c:dLbl>
              <c:idx val="1"/>
              <c:layout>
                <c:manualLayout>
                  <c:x val="-6.7170445004198194E-3"/>
                  <c:y val="0.28762438028580412"/>
                </c:manualLayout>
              </c:layout>
              <c:showVal val="1"/>
            </c:dLbl>
            <c:dLbl>
              <c:idx val="2"/>
              <c:layout>
                <c:manualLayout>
                  <c:x val="-3.3587867007808052E-3"/>
                  <c:y val="0.25654943132108476"/>
                </c:manualLayout>
              </c:layout>
              <c:showVal val="1"/>
            </c:dLbl>
            <c:dLbl>
              <c:idx val="3"/>
              <c:layout>
                <c:manualLayout>
                  <c:x val="-3.3585222502099622E-3"/>
                  <c:y val="0.29069582968795582"/>
                </c:manualLayout>
              </c:layout>
              <c:showVal val="1"/>
            </c:dLbl>
            <c:dLbl>
              <c:idx val="4"/>
              <c:layout>
                <c:manualLayout>
                  <c:x val="-3.3587867007808052E-3"/>
                  <c:y val="0.31364071157772339"/>
                </c:manualLayout>
              </c:layout>
              <c:showVal val="1"/>
            </c:dLbl>
            <c:txPr>
              <a:bodyPr/>
              <a:lstStyle/>
              <a:p>
                <a:pPr>
                  <a:defRPr b="1">
                    <a:latin typeface="Times New Roman" pitchFamily="18" charset="0"/>
                    <a:cs typeface="Times New Roman" pitchFamily="18" charset="0"/>
                  </a:defRPr>
                </a:pPr>
                <a:endParaRPr lang="ru-RU"/>
              </a:p>
            </c:txPr>
            <c:showVal val="1"/>
          </c:dLbls>
          <c:cat>
            <c:numRef>
              <c:f>'Данные животн-во'!$B$3:$F$3</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животн-во'!$B$4:$F$4</c:f>
              <c:numCache>
                <c:formatCode>0</c:formatCode>
                <c:ptCount val="5"/>
                <c:pt idx="0">
                  <c:v>747</c:v>
                </c:pt>
                <c:pt idx="1">
                  <c:v>677</c:v>
                </c:pt>
                <c:pt idx="2">
                  <c:v>592</c:v>
                </c:pt>
                <c:pt idx="3">
                  <c:v>777</c:v>
                </c:pt>
                <c:pt idx="4">
                  <c:v>741</c:v>
                </c:pt>
              </c:numCache>
            </c:numRef>
          </c:val>
        </c:ser>
        <c:dLbls>
          <c:showVal val="1"/>
        </c:dLbls>
        <c:axId val="189809408"/>
        <c:axId val="189810944"/>
      </c:barChart>
      <c:lineChart>
        <c:grouping val="standard"/>
        <c:ser>
          <c:idx val="1"/>
          <c:order val="1"/>
          <c:tx>
            <c:strRef>
              <c:f>'Данные животн-во'!$A$5</c:f>
              <c:strCache>
                <c:ptCount val="1"/>
                <c:pt idx="0">
                  <c:v>урожайність, ц/га</c:v>
                </c:pt>
              </c:strCache>
            </c:strRef>
          </c:tx>
          <c:spPr>
            <a:ln w="38041">
              <a:solidFill>
                <a:schemeClr val="accent1">
                  <a:lumMod val="75000"/>
                </a:schemeClr>
              </a:solidFill>
            </a:ln>
          </c:spPr>
          <c:marker>
            <c:symbol val="square"/>
            <c:size val="5"/>
            <c:spPr>
              <a:solidFill>
                <a:srgbClr val="FFFF00"/>
              </a:solidFill>
              <a:ln>
                <a:solidFill>
                  <a:schemeClr val="tx2">
                    <a:lumMod val="75000"/>
                  </a:schemeClr>
                </a:solidFill>
              </a:ln>
            </c:spPr>
          </c:marker>
          <c:dLbls>
            <c:dLbl>
              <c:idx val="0"/>
              <c:layout>
                <c:manualLayout>
                  <c:x val="-6.4072388354053114E-2"/>
                  <c:y val="-7.6863302997810162E-2"/>
                </c:manualLayout>
              </c:layout>
              <c:tx>
                <c:rich>
                  <a:bodyPr/>
                  <a:lstStyle/>
                  <a:p>
                    <a:r>
                      <a:rPr lang="ru-RU" sz="999" b="1">
                        <a:latin typeface="Times New Roman" pitchFamily="18" charset="0"/>
                        <a:cs typeface="Times New Roman" pitchFamily="18" charset="0"/>
                      </a:rPr>
                      <a:t>16,9</a:t>
                    </a:r>
                  </a:p>
                </c:rich>
              </c:tx>
              <c:dLblPos val="r"/>
            </c:dLbl>
            <c:dLbl>
              <c:idx val="1"/>
              <c:layout>
                <c:manualLayout>
                  <c:x val="-5.6929595488875266E-2"/>
                  <c:y val="-8.9704371938365265E-2"/>
                </c:manualLayout>
              </c:layout>
              <c:tx>
                <c:rich>
                  <a:bodyPr/>
                  <a:lstStyle/>
                  <a:p>
                    <a:r>
                      <a:rPr lang="ru-RU" sz="999" b="1">
                        <a:latin typeface="Times New Roman" pitchFamily="18" charset="0"/>
                        <a:cs typeface="Times New Roman" pitchFamily="18" charset="0"/>
                      </a:rPr>
                      <a:t>15,6</a:t>
                    </a:r>
                  </a:p>
                </c:rich>
              </c:tx>
              <c:dLblPos val="r"/>
            </c:dLbl>
            <c:dLbl>
              <c:idx val="2"/>
              <c:layout>
                <c:manualLayout>
                  <c:x val="-4.1994337720771713E-2"/>
                  <c:y val="-7.1239384554110483E-2"/>
                </c:manualLayout>
              </c:layout>
              <c:tx>
                <c:rich>
                  <a:bodyPr/>
                  <a:lstStyle/>
                  <a:p>
                    <a:r>
                      <a:rPr lang="ru-RU" sz="999" b="1">
                        <a:latin typeface="Times New Roman" pitchFamily="18" charset="0"/>
                        <a:cs typeface="Times New Roman" pitchFamily="18" charset="0"/>
                      </a:rPr>
                      <a:t>13,8</a:t>
                    </a:r>
                  </a:p>
                </c:rich>
              </c:tx>
              <c:dLblPos val="r"/>
            </c:dLbl>
            <c:dLbl>
              <c:idx val="3"/>
              <c:layout>
                <c:manualLayout>
                  <c:x val="-6.0825570829620514E-2"/>
                  <c:y val="-7.1017373094023922E-2"/>
                </c:manualLayout>
              </c:layout>
              <c:tx>
                <c:rich>
                  <a:bodyPr/>
                  <a:lstStyle/>
                  <a:p>
                    <a:r>
                      <a:rPr lang="ru-RU" sz="999" b="1">
                        <a:latin typeface="Times New Roman" pitchFamily="18" charset="0"/>
                        <a:cs typeface="Times New Roman" pitchFamily="18" charset="0"/>
                      </a:rPr>
                      <a:t>18,0</a:t>
                    </a:r>
                  </a:p>
                </c:rich>
              </c:tx>
              <c:dLblPos val="r"/>
            </c:dLbl>
            <c:dLbl>
              <c:idx val="4"/>
              <c:layout>
                <c:manualLayout>
                  <c:x val="-8.1746950748803546E-2"/>
                  <c:y val="-7.9395469513612524E-2"/>
                </c:manualLayout>
              </c:layout>
              <c:tx>
                <c:rich>
                  <a:bodyPr/>
                  <a:lstStyle/>
                  <a:p>
                    <a:r>
                      <a:rPr lang="ru-RU" sz="999" b="1">
                        <a:latin typeface="Times New Roman" pitchFamily="18" charset="0"/>
                        <a:cs typeface="Times New Roman" pitchFamily="18" charset="0"/>
                      </a:rPr>
                      <a:t>16,3</a:t>
                    </a:r>
                  </a:p>
                </c:rich>
              </c:tx>
              <c:dLblPos val="r"/>
            </c:dLbl>
            <c:dLbl>
              <c:idx val="5"/>
              <c:layout>
                <c:manualLayout>
                  <c:xMode val="edge"/>
                  <c:yMode val="edge"/>
                  <c:x val="0.90649350649354365"/>
                  <c:y val="0"/>
                </c:manualLayout>
              </c:layout>
              <c:tx>
                <c:rich>
                  <a:bodyPr/>
                  <a:lstStyle/>
                  <a:p>
                    <a:r>
                      <a:rPr sz="999" b="1">
                        <a:latin typeface="Times New Roman" pitchFamily="18" charset="0"/>
                        <a:cs typeface="Times New Roman" pitchFamily="18" charset="0"/>
                      </a:rPr>
                      <a:t>14,7</a:t>
                    </a:r>
                  </a:p>
                </c:rich>
              </c:tx>
              <c:dLblPos val="r"/>
            </c:dLbl>
            <c:txPr>
              <a:bodyPr/>
              <a:lstStyle/>
              <a:p>
                <a:pPr>
                  <a:defRPr b="1">
                    <a:latin typeface="Times New Roman" pitchFamily="18" charset="0"/>
                    <a:cs typeface="Times New Roman" pitchFamily="18" charset="0"/>
                  </a:defRPr>
                </a:pPr>
                <a:endParaRPr lang="ru-RU"/>
              </a:p>
            </c:txPr>
            <c:showVal val="1"/>
          </c:dLbls>
          <c:cat>
            <c:numRef>
              <c:f>'Данные животн-во'!$B$3:$F$3</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животн-во'!$B$5:$F$5</c:f>
              <c:numCache>
                <c:formatCode>0</c:formatCode>
                <c:ptCount val="5"/>
                <c:pt idx="0">
                  <c:v>1690</c:v>
                </c:pt>
                <c:pt idx="1">
                  <c:v>1560</c:v>
                </c:pt>
                <c:pt idx="2">
                  <c:v>1380</c:v>
                </c:pt>
                <c:pt idx="3">
                  <c:v>1800</c:v>
                </c:pt>
                <c:pt idx="4">
                  <c:v>1670</c:v>
                </c:pt>
              </c:numCache>
            </c:numRef>
          </c:val>
        </c:ser>
        <c:dLbls>
          <c:showVal val="1"/>
        </c:dLbls>
        <c:marker val="1"/>
        <c:axId val="189825024"/>
        <c:axId val="189826560"/>
      </c:lineChart>
      <c:catAx>
        <c:axId val="189809408"/>
        <c:scaling>
          <c:orientation val="minMax"/>
        </c:scaling>
        <c:axPos val="b"/>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89810944"/>
        <c:crosses val="autoZero"/>
        <c:auto val="1"/>
        <c:lblAlgn val="ctr"/>
        <c:lblOffset val="40"/>
        <c:tickLblSkip val="1"/>
        <c:tickMarkSkip val="1"/>
      </c:catAx>
      <c:valAx>
        <c:axId val="189810944"/>
        <c:scaling>
          <c:orientation val="minMax"/>
          <c:max val="1000"/>
          <c:min val="100"/>
        </c:scaling>
        <c:axPos val="l"/>
        <c:numFmt formatCode="0" sourceLinked="1"/>
        <c:majorTickMark val="none"/>
        <c:tickLblPos val="none"/>
        <c:spPr>
          <a:ln>
            <a:noFill/>
          </a:ln>
        </c:spPr>
        <c:crossAx val="189809408"/>
        <c:crosses val="autoZero"/>
        <c:crossBetween val="between"/>
      </c:valAx>
      <c:catAx>
        <c:axId val="189825024"/>
        <c:scaling>
          <c:orientation val="minMax"/>
        </c:scaling>
        <c:delete val="1"/>
        <c:axPos val="b"/>
        <c:numFmt formatCode="0" sourceLinked="1"/>
        <c:tickLblPos val="nextTo"/>
        <c:crossAx val="189826560"/>
        <c:crosses val="autoZero"/>
        <c:lblAlgn val="ctr"/>
        <c:lblOffset val="100"/>
      </c:catAx>
      <c:valAx>
        <c:axId val="189826560"/>
        <c:scaling>
          <c:orientation val="minMax"/>
          <c:max val="1800"/>
          <c:min val="-200"/>
        </c:scaling>
        <c:axPos val="r"/>
        <c:numFmt formatCode="0" sourceLinked="1"/>
        <c:majorTickMark val="none"/>
        <c:tickLblPos val="none"/>
        <c:crossAx val="189825024"/>
        <c:crosses val="max"/>
        <c:crossBetween val="between"/>
      </c:valAx>
    </c:plotArea>
    <c:legend>
      <c:legendPos val="b"/>
      <c:layout>
        <c:manualLayout>
          <c:xMode val="edge"/>
          <c:yMode val="edge"/>
          <c:x val="4.4156069638582013E-2"/>
          <c:y val="0.85593249996289988"/>
          <c:w val="0.90389604400223456"/>
          <c:h val="0.1440675000370724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
          <c:y val="4.9107142857142912E-2"/>
          <c:w val="0.97727272727272729"/>
          <c:h val="0.47233712452609661"/>
        </c:manualLayout>
      </c:layout>
      <c:barChart>
        <c:barDir val="col"/>
        <c:grouping val="clustered"/>
        <c:ser>
          <c:idx val="0"/>
          <c:order val="0"/>
          <c:tx>
            <c:strRef>
              <c:f>'Данные животн-во'!$A$10</c:f>
              <c:strCache>
                <c:ptCount val="1"/>
                <c:pt idx="0">
                  <c:v>реалізація на забій худоби та птиці у живій вазі, тис.т</c:v>
                </c:pt>
              </c:strCache>
            </c:strRef>
          </c:tx>
          <c:spPr>
            <a:solidFill>
              <a:srgbClr val="1F497D">
                <a:lumMod val="75000"/>
              </a:srgbClr>
            </a:solidFill>
          </c:spPr>
          <c:dLbls>
            <c:dLbl>
              <c:idx val="0"/>
              <c:layout>
                <c:manualLayout>
                  <c:x val="4.4440048009074242E-3"/>
                  <c:y val="0.12831163961647671"/>
                </c:manualLayout>
              </c:layout>
              <c:dLblPos val="outEnd"/>
              <c:showVal val="1"/>
            </c:dLbl>
            <c:dLbl>
              <c:idx val="1"/>
              <c:layout>
                <c:manualLayout>
                  <c:x val="5.2730845830204094E-4"/>
                  <c:y val="0.12988751406074237"/>
                </c:manualLayout>
              </c:layout>
              <c:dLblPos val="outEnd"/>
              <c:showVal val="1"/>
            </c:dLbl>
            <c:dLbl>
              <c:idx val="2"/>
              <c:layout>
                <c:manualLayout>
                  <c:x val="-8.805180759441036E-4"/>
                  <c:y val="0.12506133161926244"/>
                </c:manualLayout>
              </c:layout>
              <c:dLblPos val="outEnd"/>
              <c:showVal val="1"/>
            </c:dLbl>
            <c:dLbl>
              <c:idx val="3"/>
              <c:layout>
                <c:manualLayout>
                  <c:x val="2.0791622152758552E-3"/>
                  <c:y val="0.13688521077723129"/>
                </c:manualLayout>
              </c:layout>
              <c:dLblPos val="outEnd"/>
              <c:showVal val="1"/>
            </c:dLbl>
            <c:dLbl>
              <c:idx val="4"/>
              <c:layout>
                <c:manualLayout>
                  <c:x val="-3.5131035756210656E-3"/>
                  <c:y val="0.14161872623064967"/>
                </c:manualLayout>
              </c:layout>
              <c:dLblPos val="outEnd"/>
              <c:showVal val="1"/>
            </c:dLbl>
            <c:dLbl>
              <c:idx val="5"/>
              <c:layout>
                <c:manualLayout>
                  <c:xMode val="edge"/>
                  <c:yMode val="edge"/>
                  <c:x val="0.85714285714285765"/>
                  <c:y val="0.50373134328360003"/>
                </c:manualLayout>
              </c:layout>
              <c:dLblPos val="outEnd"/>
              <c:showVal val="1"/>
            </c:dLbl>
            <c:spPr>
              <a:noFill/>
              <a:ln w="24324">
                <a:noFill/>
              </a:ln>
            </c:spPr>
            <c:txPr>
              <a:bodyPr/>
              <a:lstStyle/>
              <a:p>
                <a:pPr>
                  <a:defRPr b="1">
                    <a:solidFill>
                      <a:schemeClr val="bg1"/>
                    </a:solidFill>
                    <a:latin typeface="Times New Roman" pitchFamily="18" charset="0"/>
                    <a:cs typeface="Times New Roman" pitchFamily="18" charset="0"/>
                  </a:defRPr>
                </a:pPr>
                <a:endParaRPr lang="ru-RU"/>
              </a:p>
            </c:txPr>
            <c:showVal val="1"/>
          </c:dLbls>
          <c:cat>
            <c:numRef>
              <c:f>'Данные животн-во'!$B$9:$F$9</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животн-во'!$B$10:$F$10</c:f>
              <c:numCache>
                <c:formatCode>0</c:formatCode>
                <c:ptCount val="5"/>
                <c:pt idx="0">
                  <c:v>142</c:v>
                </c:pt>
                <c:pt idx="1">
                  <c:v>140</c:v>
                </c:pt>
                <c:pt idx="2">
                  <c:v>148</c:v>
                </c:pt>
                <c:pt idx="3">
                  <c:v>166.1</c:v>
                </c:pt>
                <c:pt idx="4">
                  <c:v>173</c:v>
                </c:pt>
              </c:numCache>
            </c:numRef>
          </c:val>
        </c:ser>
        <c:ser>
          <c:idx val="1"/>
          <c:order val="1"/>
          <c:tx>
            <c:strRef>
              <c:f>'Данные животн-во'!$A$11</c:f>
              <c:strCache>
                <c:ptCount val="1"/>
                <c:pt idx="0">
                  <c:v>молоко, тис.т</c:v>
                </c:pt>
              </c:strCache>
            </c:strRef>
          </c:tx>
          <c:spPr>
            <a:solidFill>
              <a:srgbClr val="FFC000"/>
            </a:solidFill>
          </c:spPr>
          <c:dLbls>
            <c:dLbl>
              <c:idx val="0"/>
              <c:layout>
                <c:manualLayout>
                  <c:x val="0"/>
                  <c:y val="0.20772945166668424"/>
                </c:manualLayout>
              </c:layout>
              <c:dLblPos val="outEnd"/>
              <c:showVal val="1"/>
            </c:dLbl>
            <c:dLbl>
              <c:idx val="1"/>
              <c:layout>
                <c:manualLayout>
                  <c:x val="0"/>
                  <c:y val="0.17805381571430071"/>
                </c:manualLayout>
              </c:layout>
              <c:dLblPos val="outEnd"/>
              <c:showVal val="1"/>
            </c:dLbl>
            <c:dLbl>
              <c:idx val="2"/>
              <c:layout>
                <c:manualLayout>
                  <c:x val="-6.6915659660632234E-3"/>
                  <c:y val="0.1706349067262049"/>
                </c:manualLayout>
              </c:layout>
              <c:dLblPos val="outEnd"/>
              <c:showVal val="1"/>
            </c:dLbl>
            <c:dLbl>
              <c:idx val="3"/>
              <c:layout>
                <c:manualLayout>
                  <c:x val="0"/>
                  <c:y val="0.16321599773810896"/>
                </c:manualLayout>
              </c:layout>
              <c:dLblPos val="outEnd"/>
              <c:showVal val="1"/>
            </c:dLbl>
            <c:dLbl>
              <c:idx val="4"/>
              <c:layout>
                <c:manualLayout>
                  <c:x val="6.6915659660633474E-3"/>
                  <c:y val="0.18547272470239756"/>
                </c:manualLayout>
              </c:layout>
              <c:dLblPos val="outEnd"/>
              <c:showVal val="1"/>
            </c:dLbl>
            <c:numFmt formatCode="#,##0" sourceLinked="0"/>
            <c:txPr>
              <a:bodyPr/>
              <a:lstStyle/>
              <a:p>
                <a:pPr>
                  <a:defRPr b="1">
                    <a:latin typeface="Times New Roman" pitchFamily="18" charset="0"/>
                    <a:cs typeface="Times New Roman" pitchFamily="18" charset="0"/>
                  </a:defRPr>
                </a:pPr>
                <a:endParaRPr lang="ru-RU"/>
              </a:p>
            </c:txPr>
            <c:dLblPos val="outEnd"/>
            <c:showVal val="1"/>
          </c:dLbls>
          <c:cat>
            <c:numRef>
              <c:f>'Данные животн-во'!$B$9:$F$9</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животн-во'!$B$11:$F$11</c:f>
              <c:numCache>
                <c:formatCode>0</c:formatCode>
                <c:ptCount val="5"/>
                <c:pt idx="0">
                  <c:v>371</c:v>
                </c:pt>
                <c:pt idx="1">
                  <c:v>360</c:v>
                </c:pt>
                <c:pt idx="2">
                  <c:v>339</c:v>
                </c:pt>
                <c:pt idx="3">
                  <c:v>327.39999999999969</c:v>
                </c:pt>
                <c:pt idx="4" formatCode="0.0">
                  <c:v>333</c:v>
                </c:pt>
              </c:numCache>
            </c:numRef>
          </c:val>
        </c:ser>
        <c:dLbls>
          <c:showVal val="1"/>
        </c:dLbls>
        <c:gapWidth val="103"/>
        <c:axId val="190358272"/>
        <c:axId val="190359808"/>
      </c:barChart>
      <c:lineChart>
        <c:grouping val="standard"/>
        <c:ser>
          <c:idx val="2"/>
          <c:order val="2"/>
          <c:tx>
            <c:strRef>
              <c:f>'Данные животн-во'!$A$12</c:f>
              <c:strCache>
                <c:ptCount val="1"/>
                <c:pt idx="0">
                  <c:v>яйця, млн.шт.</c:v>
                </c:pt>
              </c:strCache>
            </c:strRef>
          </c:tx>
          <c:spPr>
            <a:ln w="36478"/>
          </c:spPr>
          <c:marker>
            <c:symbol val="triangle"/>
            <c:size val="5"/>
          </c:marker>
          <c:dLbls>
            <c:dLbl>
              <c:idx val="0"/>
              <c:layout>
                <c:manualLayout>
                  <c:x val="-4.3507362784471065E-2"/>
                  <c:y val="4.9109883364026996E-2"/>
                </c:manualLayout>
              </c:layout>
              <c:dLblPos val="t"/>
              <c:showVal val="1"/>
            </c:dLbl>
            <c:dLbl>
              <c:idx val="1"/>
              <c:layout>
                <c:manualLayout>
                  <c:x val="-6.6529497883117024E-3"/>
                  <c:y val="2.8701590872569602E-2"/>
                </c:manualLayout>
              </c:layout>
              <c:dLblPos val="t"/>
              <c:showVal val="1"/>
            </c:dLbl>
            <c:dLbl>
              <c:idx val="2"/>
              <c:layout>
                <c:manualLayout>
                  <c:x val="-1.6703201044593281E-2"/>
                  <c:y val="1.6423482778938361E-2"/>
                </c:manualLayout>
              </c:layout>
              <c:dLblPos val="t"/>
              <c:showVal val="1"/>
            </c:dLbl>
            <c:dLbl>
              <c:idx val="3"/>
              <c:layout>
                <c:manualLayout>
                  <c:x val="-6.6664028805444734E-3"/>
                  <c:y val="6.1385183994857803E-3"/>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numRef>
              <c:f>'Данные животн-во'!$B$9:$F$9</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животн-во'!$B$12:$F$12</c:f>
              <c:numCache>
                <c:formatCode>0</c:formatCode>
                <c:ptCount val="5"/>
                <c:pt idx="0">
                  <c:v>1476</c:v>
                </c:pt>
                <c:pt idx="1">
                  <c:v>1599</c:v>
                </c:pt>
                <c:pt idx="2">
                  <c:v>1868</c:v>
                </c:pt>
                <c:pt idx="3">
                  <c:v>2323.5</c:v>
                </c:pt>
                <c:pt idx="4">
                  <c:v>2218</c:v>
                </c:pt>
              </c:numCache>
            </c:numRef>
          </c:val>
        </c:ser>
        <c:dLbls>
          <c:showVal val="1"/>
        </c:dLbls>
        <c:marker val="1"/>
        <c:axId val="190369792"/>
        <c:axId val="190371328"/>
      </c:lineChart>
      <c:catAx>
        <c:axId val="190358272"/>
        <c:scaling>
          <c:orientation val="minMax"/>
        </c:scaling>
        <c:axPos val="b"/>
        <c:numFmt formatCode="0" sourceLinked="1"/>
        <c:majorTickMark val="cross"/>
        <c:tickLblPos val="nextTo"/>
        <c:txPr>
          <a:bodyPr rot="0" vert="horz"/>
          <a:lstStyle/>
          <a:p>
            <a:pPr>
              <a:defRPr>
                <a:latin typeface="Times New Roman" pitchFamily="18" charset="0"/>
                <a:cs typeface="Times New Roman" pitchFamily="18" charset="0"/>
              </a:defRPr>
            </a:pPr>
            <a:endParaRPr lang="ru-RU"/>
          </a:p>
        </c:txPr>
        <c:crossAx val="190359808"/>
        <c:crosses val="autoZero"/>
        <c:lblAlgn val="ctr"/>
        <c:lblOffset val="100"/>
        <c:tickLblSkip val="1"/>
        <c:tickMarkSkip val="1"/>
      </c:catAx>
      <c:valAx>
        <c:axId val="190359808"/>
        <c:scaling>
          <c:orientation val="minMax"/>
          <c:max val="600"/>
        </c:scaling>
        <c:axPos val="l"/>
        <c:numFmt formatCode="0" sourceLinked="1"/>
        <c:majorTickMark val="none"/>
        <c:tickLblPos val="none"/>
        <c:spPr>
          <a:ln>
            <a:noFill/>
          </a:ln>
        </c:spPr>
        <c:crossAx val="190358272"/>
        <c:crosses val="autoZero"/>
        <c:crossBetween val="between"/>
      </c:valAx>
      <c:catAx>
        <c:axId val="190369792"/>
        <c:scaling>
          <c:orientation val="minMax"/>
        </c:scaling>
        <c:delete val="1"/>
        <c:axPos val="b"/>
        <c:numFmt formatCode="0" sourceLinked="1"/>
        <c:tickLblPos val="nextTo"/>
        <c:crossAx val="190371328"/>
        <c:crosses val="autoZero"/>
        <c:lblAlgn val="ctr"/>
        <c:lblOffset val="100"/>
      </c:catAx>
      <c:valAx>
        <c:axId val="190371328"/>
        <c:scaling>
          <c:orientation val="minMax"/>
          <c:max val="2700"/>
          <c:min val="0"/>
        </c:scaling>
        <c:axPos val="r"/>
        <c:numFmt formatCode="0" sourceLinked="1"/>
        <c:majorTickMark val="none"/>
        <c:tickLblPos val="none"/>
        <c:spPr>
          <a:ln>
            <a:noFill/>
          </a:ln>
        </c:spPr>
        <c:crossAx val="190369792"/>
        <c:crosses val="max"/>
        <c:crossBetween val="between"/>
      </c:valAx>
      <c:spPr>
        <a:noFill/>
        <a:ln w="24324">
          <a:noFill/>
        </a:ln>
      </c:spPr>
    </c:plotArea>
    <c:legend>
      <c:legendPos val="r"/>
      <c:layout>
        <c:manualLayout>
          <c:xMode val="edge"/>
          <c:yMode val="edge"/>
          <c:x val="1.2503217352337033E-2"/>
          <c:y val="0.75613626590367788"/>
          <c:w val="0.85681818181818181"/>
          <c:h val="0.2438639230869659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7718026105160904E-2"/>
          <c:y val="0.15122918030402677"/>
          <c:w val="0.90456394778959959"/>
          <c:h val="0.40592751433912688"/>
        </c:manualLayout>
      </c:layout>
      <c:barChart>
        <c:barDir val="col"/>
        <c:grouping val="clustered"/>
        <c:ser>
          <c:idx val="1"/>
          <c:order val="1"/>
          <c:tx>
            <c:strRef>
              <c:f>Sheet1!$A$3</c:f>
              <c:strCache>
                <c:ptCount val="1"/>
                <c:pt idx="0">
                  <c:v>Чисельність пенсіонерів, тис.чол.</c:v>
                </c:pt>
              </c:strCache>
            </c:strRef>
          </c:tx>
          <c:spPr>
            <a:solidFill>
              <a:srgbClr val="FF8080"/>
            </a:solidFill>
            <a:ln>
              <a:solidFill>
                <a:schemeClr val="accent2">
                  <a:lumMod val="75000"/>
                </a:schemeClr>
              </a:solidFill>
            </a:ln>
          </c:spPr>
          <c:dLbls>
            <c:txPr>
              <a:bodyPr/>
              <a:lstStyle/>
              <a:p>
                <a:pPr>
                  <a:defRPr b="1">
                    <a:latin typeface="Times New Roman" pitchFamily="18" charset="0"/>
                    <a:cs typeface="Times New Roman" pitchFamily="18" charset="0"/>
                  </a:defRPr>
                </a:pPr>
                <a:endParaRPr lang="ru-RU"/>
              </a:p>
            </c:txPr>
            <c:showVal val="1"/>
          </c:dLbls>
          <c:cat>
            <c:strRef>
              <c:f>Sheet1!$B$1:$F$1</c:f>
              <c:strCache>
                <c:ptCount val="5"/>
                <c:pt idx="0">
                  <c:v>01.01.2009</c:v>
                </c:pt>
                <c:pt idx="1">
                  <c:v>01.01.2010</c:v>
                </c:pt>
                <c:pt idx="2">
                  <c:v>01.01.2011</c:v>
                </c:pt>
                <c:pt idx="3">
                  <c:v>01.01.2012</c:v>
                </c:pt>
                <c:pt idx="4">
                  <c:v>01.01.2013</c:v>
                </c:pt>
              </c:strCache>
            </c:strRef>
          </c:cat>
          <c:val>
            <c:numRef>
              <c:f>Sheet1!$B$3:$F$3</c:f>
              <c:numCache>
                <c:formatCode>0.0</c:formatCode>
                <c:ptCount val="5"/>
                <c:pt idx="0">
                  <c:v>1429.3</c:v>
                </c:pt>
                <c:pt idx="1">
                  <c:v>1430.2</c:v>
                </c:pt>
                <c:pt idx="2">
                  <c:v>1429.1</c:v>
                </c:pt>
                <c:pt idx="3">
                  <c:v>1417.5</c:v>
                </c:pt>
                <c:pt idx="4">
                  <c:v>1403.6</c:v>
                </c:pt>
              </c:numCache>
            </c:numRef>
          </c:val>
        </c:ser>
        <c:dLbls>
          <c:showVal val="1"/>
        </c:dLbls>
        <c:gapWidth val="131"/>
        <c:axId val="166419456"/>
        <c:axId val="166421248"/>
      </c:barChart>
      <c:lineChart>
        <c:grouping val="standard"/>
        <c:ser>
          <c:idx val="0"/>
          <c:order val="0"/>
          <c:tx>
            <c:strRef>
              <c:f>Sheet1!$A$2</c:f>
              <c:strCache>
                <c:ptCount val="1"/>
                <c:pt idx="0">
                  <c:v>Середньомісячний розмір пенсії, грн.</c:v>
                </c:pt>
              </c:strCache>
            </c:strRef>
          </c:tx>
          <c:spPr>
            <a:ln w="31761"/>
          </c:spPr>
          <c:marker>
            <c:symbol val="diamond"/>
            <c:size val="8"/>
            <c:spPr>
              <a:ln w="9527"/>
            </c:spPr>
          </c:marker>
          <c:dLbls>
            <c:dLbl>
              <c:idx val="0"/>
              <c:layout>
                <c:manualLayout>
                  <c:x val="-6.3969444770463763E-2"/>
                  <c:y val="0.11155146169383998"/>
                </c:manualLayout>
              </c:layout>
              <c:dLblPos val="r"/>
              <c:showVal val="1"/>
            </c:dLbl>
            <c:dLbl>
              <c:idx val="1"/>
              <c:layout>
                <c:manualLayout>
                  <c:x val="-6.2410664883808947E-2"/>
                  <c:y val="0.11837086682988095"/>
                </c:manualLayout>
              </c:layout>
              <c:dLblPos val="r"/>
              <c:showVal val="1"/>
            </c:dLbl>
            <c:dLbl>
              <c:idx val="2"/>
              <c:layout>
                <c:manualLayout>
                  <c:x val="-6.9614323798665306E-2"/>
                  <c:y val="0.12388585997140852"/>
                </c:manualLayout>
              </c:layout>
              <c:dLblPos val="r"/>
              <c:showVal val="1"/>
            </c:dLbl>
            <c:dLbl>
              <c:idx val="3"/>
              <c:layout>
                <c:manualLayout>
                  <c:x val="-7.0642594564233302E-2"/>
                  <c:y val="0.13939411039536406"/>
                </c:manualLayout>
              </c:layout>
              <c:dLblPos val="r"/>
              <c:showVal val="1"/>
            </c:dLbl>
            <c:dLbl>
              <c:idx val="4"/>
              <c:layout>
                <c:manualLayout>
                  <c:x val="-6.5252883873780282E-2"/>
                  <c:y val="0.13033557318887135"/>
                </c:manualLayout>
              </c:layout>
              <c:dLblPos val="r"/>
              <c:showVal val="1"/>
            </c:dLbl>
            <c:dLbl>
              <c:idx val="5"/>
              <c:layout>
                <c:manualLayout>
                  <c:x val="-6.3318538102611524E-2"/>
                  <c:y val="6.7404855643044617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Sheet1!$B$1:$F$1</c:f>
              <c:strCache>
                <c:ptCount val="5"/>
                <c:pt idx="0">
                  <c:v>01.01.2009</c:v>
                </c:pt>
                <c:pt idx="1">
                  <c:v>01.01.2010</c:v>
                </c:pt>
                <c:pt idx="2">
                  <c:v>01.01.2011</c:v>
                </c:pt>
                <c:pt idx="3">
                  <c:v>01.01.2012</c:v>
                </c:pt>
                <c:pt idx="4">
                  <c:v>01.01.2013</c:v>
                </c:pt>
              </c:strCache>
            </c:strRef>
          </c:cat>
          <c:val>
            <c:numRef>
              <c:f>Sheet1!$B$2:$F$2</c:f>
              <c:numCache>
                <c:formatCode>0</c:formatCode>
                <c:ptCount val="5"/>
                <c:pt idx="0">
                  <c:v>1130.95</c:v>
                </c:pt>
                <c:pt idx="1">
                  <c:v>1241</c:v>
                </c:pt>
                <c:pt idx="2">
                  <c:v>1379</c:v>
                </c:pt>
                <c:pt idx="3">
                  <c:v>1476</c:v>
                </c:pt>
                <c:pt idx="4">
                  <c:v>1724</c:v>
                </c:pt>
              </c:numCache>
            </c:numRef>
          </c:val>
        </c:ser>
        <c:dLbls>
          <c:showVal val="1"/>
        </c:dLbls>
        <c:marker val="1"/>
        <c:axId val="166422784"/>
        <c:axId val="166436864"/>
      </c:lineChart>
      <c:catAx>
        <c:axId val="166419456"/>
        <c:scaling>
          <c:orientation val="minMax"/>
        </c:scaling>
        <c:axPos val="b"/>
        <c:numFmt formatCode="dd/mm/yyyy" sourceLinked="0"/>
        <c:tickLblPos val="nextTo"/>
        <c:txPr>
          <a:bodyPr rot="0" vert="horz"/>
          <a:lstStyle/>
          <a:p>
            <a:pPr>
              <a:defRPr sz="900">
                <a:latin typeface="Times New Roman" pitchFamily="18" charset="0"/>
                <a:cs typeface="Times New Roman" pitchFamily="18" charset="0"/>
              </a:defRPr>
            </a:pPr>
            <a:endParaRPr lang="ru-RU"/>
          </a:p>
        </c:txPr>
        <c:crossAx val="166421248"/>
        <c:crosses val="autoZero"/>
        <c:auto val="1"/>
        <c:lblAlgn val="ctr"/>
        <c:lblOffset val="100"/>
        <c:tickLblSkip val="1"/>
        <c:tickMarkSkip val="1"/>
      </c:catAx>
      <c:valAx>
        <c:axId val="166421248"/>
        <c:scaling>
          <c:orientation val="minMax"/>
          <c:max val="1500"/>
          <c:min val="0"/>
        </c:scaling>
        <c:axPos val="l"/>
        <c:numFmt formatCode="0.0" sourceLinked="1"/>
        <c:tickLblPos val="nextTo"/>
        <c:spPr>
          <a:ln>
            <a:noFill/>
          </a:ln>
        </c:spPr>
        <c:txPr>
          <a:bodyPr/>
          <a:lstStyle/>
          <a:p>
            <a:pPr>
              <a:defRPr sz="100">
                <a:solidFill>
                  <a:schemeClr val="bg1"/>
                </a:solidFill>
              </a:defRPr>
            </a:pPr>
            <a:endParaRPr lang="ru-RU"/>
          </a:p>
        </c:txPr>
        <c:crossAx val="166419456"/>
        <c:crosses val="autoZero"/>
        <c:crossBetween val="between"/>
      </c:valAx>
      <c:catAx>
        <c:axId val="166422784"/>
        <c:scaling>
          <c:orientation val="minMax"/>
        </c:scaling>
        <c:delete val="1"/>
        <c:axPos val="b"/>
        <c:numFmt formatCode="dd/mm/yyyy" sourceLinked="1"/>
        <c:tickLblPos val="nextTo"/>
        <c:crossAx val="166436864"/>
        <c:crosses val="autoZero"/>
        <c:auto val="1"/>
        <c:lblAlgn val="ctr"/>
        <c:lblOffset val="100"/>
      </c:catAx>
      <c:valAx>
        <c:axId val="166436864"/>
        <c:scaling>
          <c:orientation val="minMax"/>
          <c:max val="2000"/>
          <c:min val="0"/>
        </c:scaling>
        <c:axPos val="r"/>
        <c:numFmt formatCode="0" sourceLinked="1"/>
        <c:tickLblPos val="nextTo"/>
        <c:spPr>
          <a:ln>
            <a:noFill/>
          </a:ln>
        </c:spPr>
        <c:txPr>
          <a:bodyPr/>
          <a:lstStyle/>
          <a:p>
            <a:pPr>
              <a:defRPr sz="100">
                <a:solidFill>
                  <a:schemeClr val="bg1"/>
                </a:solidFill>
              </a:defRPr>
            </a:pPr>
            <a:endParaRPr lang="ru-RU"/>
          </a:p>
        </c:txPr>
        <c:crossAx val="166422784"/>
        <c:crosses val="max"/>
        <c:crossBetween val="between"/>
      </c:valAx>
    </c:plotArea>
    <c:legend>
      <c:legendPos val="r"/>
      <c:layout>
        <c:manualLayout>
          <c:xMode val="edge"/>
          <c:yMode val="edge"/>
          <c:x val="2.2460478885152152E-2"/>
          <c:y val="0.77561297025373765"/>
          <c:w val="0.95207093998160708"/>
          <c:h val="0.21139982502187241"/>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
          <c:y val="4.5454545454545463E-2"/>
          <c:w val="0.98666666666666658"/>
          <c:h val="0.60982706948865462"/>
        </c:manualLayout>
      </c:layout>
      <c:barChart>
        <c:barDir val="col"/>
        <c:grouping val="clustered"/>
        <c:ser>
          <c:idx val="0"/>
          <c:order val="0"/>
          <c:tx>
            <c:strRef>
              <c:f>'Данные животн-во (2)'!$A$8</c:f>
              <c:strCache>
                <c:ptCount val="1"/>
                <c:pt idx="0">
                  <c:v>велика рогата худоба</c:v>
                </c:pt>
              </c:strCache>
            </c:strRef>
          </c:tx>
          <c:spPr>
            <a:solidFill>
              <a:schemeClr val="accent6">
                <a:lumMod val="50000"/>
              </a:schemeClr>
            </a:solidFill>
          </c:spPr>
          <c:dLbls>
            <c:dLbl>
              <c:idx val="0"/>
              <c:layout>
                <c:manualLayout>
                  <c:x val="-1.0953083989501309E-3"/>
                  <c:y val="-2.3206518633646839E-2"/>
                </c:manualLayout>
              </c:layout>
              <c:dLblPos val="outEnd"/>
              <c:showVal val="1"/>
            </c:dLbl>
            <c:dLbl>
              <c:idx val="2"/>
              <c:layout>
                <c:manualLayout>
                  <c:x val="1.5713582677166521E-3"/>
                  <c:y val="-7.5701923985994572E-3"/>
                </c:manualLayout>
              </c:layout>
              <c:dLblPos val="outEnd"/>
              <c:showVal val="1"/>
            </c:dLbl>
            <c:dLbl>
              <c:idx val="3"/>
              <c:layout>
                <c:manualLayout>
                  <c:x val="4.269411636045356E-3"/>
                  <c:y val="-1.7970469583899959E-2"/>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numRef>
              <c:f>'Данные животн-во (2)'!$B$7:$F$7</c:f>
              <c:numCache>
                <c:formatCode>0</c:formatCode>
                <c:ptCount val="5"/>
                <c:pt idx="0">
                  <c:v>2008</c:v>
                </c:pt>
                <c:pt idx="1">
                  <c:v>2009</c:v>
                </c:pt>
                <c:pt idx="2" formatCode="General">
                  <c:v>2010</c:v>
                </c:pt>
                <c:pt idx="3">
                  <c:v>2011</c:v>
                </c:pt>
                <c:pt idx="4">
                  <c:v>2012</c:v>
                </c:pt>
              </c:numCache>
            </c:numRef>
          </c:cat>
          <c:val>
            <c:numRef>
              <c:f>'Данные животн-во (2)'!$B$8:$F$8</c:f>
              <c:numCache>
                <c:formatCode>0</c:formatCode>
                <c:ptCount val="5"/>
                <c:pt idx="0">
                  <c:v>160</c:v>
                </c:pt>
                <c:pt idx="1">
                  <c:v>149</c:v>
                </c:pt>
                <c:pt idx="2">
                  <c:v>142</c:v>
                </c:pt>
                <c:pt idx="3">
                  <c:v>139.19999999999999</c:v>
                </c:pt>
                <c:pt idx="4">
                  <c:v>131</c:v>
                </c:pt>
              </c:numCache>
            </c:numRef>
          </c:val>
        </c:ser>
        <c:ser>
          <c:idx val="1"/>
          <c:order val="1"/>
          <c:tx>
            <c:strRef>
              <c:f>'Данные животн-во (2)'!$A$9</c:f>
              <c:strCache>
                <c:ptCount val="1"/>
                <c:pt idx="0">
                  <c:v>в т.ч. корови</c:v>
                </c:pt>
              </c:strCache>
            </c:strRef>
          </c:tx>
          <c:spPr>
            <a:solidFill>
              <a:schemeClr val="accent6">
                <a:lumMod val="60000"/>
                <a:lumOff val="40000"/>
              </a:schemeClr>
            </a:solidFill>
            <a:ln>
              <a:solidFill>
                <a:schemeClr val="accent6">
                  <a:lumMod val="50000"/>
                </a:schemeClr>
              </a:solidFill>
            </a:ln>
          </c:spPr>
          <c:dLbls>
            <c:dLbl>
              <c:idx val="0"/>
              <c:layout>
                <c:manualLayout>
                  <c:x val="1.2656003937007939E-2"/>
                  <c:y val="1.2247985263881983E-2"/>
                </c:manualLayout>
              </c:layout>
              <c:dLblPos val="outEnd"/>
              <c:showVal val="1"/>
            </c:dLbl>
            <c:dLbl>
              <c:idx val="1"/>
              <c:layout>
                <c:manualLayout>
                  <c:x val="5.9893372703412424E-3"/>
                  <c:y val="1.152030112214336E-2"/>
                </c:manualLayout>
              </c:layout>
              <c:dLblPos val="outEnd"/>
              <c:showVal val="1"/>
            </c:dLbl>
            <c:dLbl>
              <c:idx val="2"/>
              <c:layout>
                <c:manualLayout>
                  <c:x val="9.9893372703436685E-3"/>
                  <c:y val="1.4066083968030317E-2"/>
                </c:manualLayout>
              </c:layout>
              <c:dLblPos val="outEnd"/>
              <c:showVal val="1"/>
            </c:dLbl>
            <c:dLbl>
              <c:idx val="3"/>
              <c:layout>
                <c:manualLayout>
                  <c:x val="2.4546150481189492E-3"/>
                  <c:y val="-9.0611334884102227E-3"/>
                </c:manualLayout>
              </c:layout>
              <c:dLblPos val="outEnd"/>
              <c:showVal val="1"/>
            </c:dLbl>
            <c:dLbl>
              <c:idx val="4"/>
              <c:layout>
                <c:manualLayout>
                  <c:x val="3.859361329833898E-3"/>
                  <c:y val="-1.3087596765413241E-2"/>
                </c:manualLayout>
              </c:layout>
              <c:dLblPos val="outEnd"/>
              <c:showVal val="1"/>
            </c:dLbl>
            <c:dLbl>
              <c:idx val="5"/>
              <c:layout>
                <c:manualLayout>
                  <c:xMode val="edge"/>
                  <c:yMode val="edge"/>
                  <c:x val="0.93333333333333335"/>
                  <c:y val="0.67272727272736521"/>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numRef>
              <c:f>'Данные животн-во (2)'!$B$7:$F$7</c:f>
              <c:numCache>
                <c:formatCode>0</c:formatCode>
                <c:ptCount val="5"/>
                <c:pt idx="0">
                  <c:v>2008</c:v>
                </c:pt>
                <c:pt idx="1">
                  <c:v>2009</c:v>
                </c:pt>
                <c:pt idx="2" formatCode="General">
                  <c:v>2010</c:v>
                </c:pt>
                <c:pt idx="3">
                  <c:v>2011</c:v>
                </c:pt>
                <c:pt idx="4">
                  <c:v>2012</c:v>
                </c:pt>
              </c:numCache>
            </c:numRef>
          </c:cat>
          <c:val>
            <c:numRef>
              <c:f>'Данные животн-во (2)'!$B$9:$F$9</c:f>
              <c:numCache>
                <c:formatCode>0</c:formatCode>
                <c:ptCount val="5"/>
                <c:pt idx="0">
                  <c:v>78</c:v>
                </c:pt>
                <c:pt idx="1">
                  <c:v>74</c:v>
                </c:pt>
                <c:pt idx="2">
                  <c:v>71</c:v>
                </c:pt>
                <c:pt idx="3">
                  <c:v>71</c:v>
                </c:pt>
                <c:pt idx="4">
                  <c:v>68</c:v>
                </c:pt>
              </c:numCache>
            </c:numRef>
          </c:val>
        </c:ser>
        <c:dLbls>
          <c:showVal val="1"/>
        </c:dLbls>
        <c:gapWidth val="110"/>
        <c:axId val="190375040"/>
        <c:axId val="190472192"/>
      </c:barChart>
      <c:catAx>
        <c:axId val="190375040"/>
        <c:scaling>
          <c:orientation val="minMax"/>
        </c:scaling>
        <c:axPos val="b"/>
        <c:numFmt formatCode="0" sourceLinked="1"/>
        <c:tickLblPos val="nextTo"/>
        <c:txPr>
          <a:bodyPr rot="0" vert="horz"/>
          <a:lstStyle/>
          <a:p>
            <a:pPr>
              <a:defRPr>
                <a:latin typeface="Times New Roman" pitchFamily="18" charset="0"/>
                <a:cs typeface="Times New Roman" pitchFamily="18" charset="0"/>
              </a:defRPr>
            </a:pPr>
            <a:endParaRPr lang="ru-RU"/>
          </a:p>
        </c:txPr>
        <c:crossAx val="190472192"/>
        <c:crosses val="autoZero"/>
        <c:auto val="1"/>
        <c:lblAlgn val="ctr"/>
        <c:lblOffset val="100"/>
        <c:tickLblSkip val="1"/>
        <c:tickMarkSkip val="1"/>
      </c:catAx>
      <c:valAx>
        <c:axId val="190472192"/>
        <c:scaling>
          <c:orientation val="minMax"/>
          <c:max val="200"/>
        </c:scaling>
        <c:axPos val="l"/>
        <c:numFmt formatCode="0" sourceLinked="1"/>
        <c:majorTickMark val="none"/>
        <c:tickLblPos val="none"/>
        <c:spPr>
          <a:ln>
            <a:noFill/>
          </a:ln>
        </c:spPr>
        <c:crossAx val="190375040"/>
        <c:crosses val="autoZero"/>
        <c:crossBetween val="between"/>
        <c:majorUnit val="50"/>
      </c:valAx>
      <c:spPr>
        <a:noFill/>
        <a:ln w="25398">
          <a:noFill/>
        </a:ln>
      </c:spPr>
    </c:plotArea>
    <c:legend>
      <c:legendPos val="r"/>
      <c:layout>
        <c:manualLayout>
          <c:xMode val="edge"/>
          <c:yMode val="edge"/>
          <c:x val="0"/>
          <c:y val="0.85278215223097165"/>
          <c:w val="0.72269438976377964"/>
          <c:h val="0.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2659739846568833E-2"/>
          <c:y val="0"/>
          <c:w val="0.89839034583485256"/>
          <c:h val="0.63626088150115145"/>
        </c:manualLayout>
      </c:layout>
      <c:lineChart>
        <c:grouping val="standard"/>
        <c:ser>
          <c:idx val="0"/>
          <c:order val="0"/>
          <c:tx>
            <c:strRef>
              <c:f>'Данные животн-во (2)'!$A$4</c:f>
              <c:strCache>
                <c:ptCount val="1"/>
                <c:pt idx="0">
                  <c:v>свині, тис.гол.</c:v>
                </c:pt>
              </c:strCache>
            </c:strRef>
          </c:tx>
          <c:spPr>
            <a:ln w="31703"/>
          </c:spPr>
          <c:dLbls>
            <c:dLbl>
              <c:idx val="0"/>
              <c:layout>
                <c:manualLayout>
                  <c:x val="0"/>
                  <c:y val="6.4516129032258132E-2"/>
                </c:manualLayout>
              </c:layout>
              <c:dLblPos val="t"/>
              <c:showVal val="1"/>
            </c:dLbl>
            <c:dLbl>
              <c:idx val="1"/>
              <c:layout>
                <c:manualLayout>
                  <c:x val="0"/>
                  <c:y val="3.225806451613001E-2"/>
                </c:manualLayout>
              </c:layout>
              <c:dLblPos val="t"/>
              <c:showVal val="1"/>
            </c:dLbl>
            <c:dLbl>
              <c:idx val="2"/>
              <c:layout>
                <c:manualLayout>
                  <c:x val="0"/>
                  <c:y val="4.3010752688172046E-2"/>
                </c:manualLayout>
              </c:layout>
              <c:dLblPos val="t"/>
              <c:showVal val="1"/>
            </c:dLbl>
            <c:dLbl>
              <c:idx val="3"/>
              <c:layout>
                <c:manualLayout>
                  <c:x val="0"/>
                  <c:y val="4.3010752688172046E-2"/>
                </c:manualLayout>
              </c:layout>
              <c:dLblPos val="t"/>
              <c:showVal val="1"/>
            </c:dLbl>
            <c:dLbl>
              <c:idx val="4"/>
              <c:layout>
                <c:manualLayout>
                  <c:x val="1.3902362582844198E-2"/>
                  <c:y val="5.3779229868481493E-2"/>
                </c:manualLayout>
              </c:layout>
              <c:dLblPos val="t"/>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numRef>
              <c:f>'Данные животн-во (2)'!$B$3:$F$3</c:f>
              <c:numCache>
                <c:formatCode>General</c:formatCode>
                <c:ptCount val="5"/>
                <c:pt idx="0">
                  <c:v>2008</c:v>
                </c:pt>
                <c:pt idx="1">
                  <c:v>2009</c:v>
                </c:pt>
                <c:pt idx="2">
                  <c:v>2010</c:v>
                </c:pt>
                <c:pt idx="3">
                  <c:v>2011</c:v>
                </c:pt>
                <c:pt idx="4">
                  <c:v>2012</c:v>
                </c:pt>
              </c:numCache>
            </c:numRef>
          </c:cat>
          <c:val>
            <c:numRef>
              <c:f>'Данные животн-во (2)'!$B$4:$F$4</c:f>
              <c:numCache>
                <c:formatCode>0</c:formatCode>
                <c:ptCount val="5"/>
                <c:pt idx="0">
                  <c:v>362.8</c:v>
                </c:pt>
                <c:pt idx="1">
                  <c:v>444.3</c:v>
                </c:pt>
                <c:pt idx="2">
                  <c:v>506.9</c:v>
                </c:pt>
                <c:pt idx="3">
                  <c:v>501.4</c:v>
                </c:pt>
                <c:pt idx="4">
                  <c:v>533</c:v>
                </c:pt>
              </c:numCache>
            </c:numRef>
          </c:val>
        </c:ser>
        <c:dLbls>
          <c:showVal val="1"/>
        </c:dLbls>
        <c:marker val="1"/>
        <c:axId val="190650240"/>
        <c:axId val="190651776"/>
      </c:lineChart>
      <c:lineChart>
        <c:grouping val="standard"/>
        <c:ser>
          <c:idx val="1"/>
          <c:order val="1"/>
          <c:tx>
            <c:strRef>
              <c:f>'Данные животн-во (2)'!$A$5</c:f>
              <c:strCache>
                <c:ptCount val="1"/>
                <c:pt idx="0">
                  <c:v>птиця, млн.гол.</c:v>
                </c:pt>
              </c:strCache>
            </c:strRef>
          </c:tx>
          <c:spPr>
            <a:ln w="31703"/>
          </c:spPr>
          <c:dLbls>
            <c:numFmt formatCode="#,##0.0" sourceLinked="0"/>
            <c:txPr>
              <a:bodyPr/>
              <a:lstStyle/>
              <a:p>
                <a:pPr>
                  <a:defRPr b="1">
                    <a:latin typeface="Times New Roman" pitchFamily="18" charset="0"/>
                    <a:cs typeface="Times New Roman" pitchFamily="18" charset="0"/>
                  </a:defRPr>
                </a:pPr>
                <a:endParaRPr lang="ru-RU"/>
              </a:p>
            </c:txPr>
            <c:dLblPos val="t"/>
            <c:showVal val="1"/>
          </c:dLbls>
          <c:cat>
            <c:numRef>
              <c:f>'Данные животн-во (2)'!$B$3:$F$3</c:f>
              <c:numCache>
                <c:formatCode>General</c:formatCode>
                <c:ptCount val="5"/>
                <c:pt idx="0">
                  <c:v>2008</c:v>
                </c:pt>
                <c:pt idx="1">
                  <c:v>2009</c:v>
                </c:pt>
                <c:pt idx="2">
                  <c:v>2010</c:v>
                </c:pt>
                <c:pt idx="3">
                  <c:v>2011</c:v>
                </c:pt>
                <c:pt idx="4">
                  <c:v>2012</c:v>
                </c:pt>
              </c:numCache>
            </c:numRef>
          </c:cat>
          <c:val>
            <c:numRef>
              <c:f>'Данные животн-во (2)'!$B$5:$F$5</c:f>
              <c:numCache>
                <c:formatCode>0</c:formatCode>
                <c:ptCount val="5"/>
                <c:pt idx="0">
                  <c:v>11.5</c:v>
                </c:pt>
                <c:pt idx="1">
                  <c:v>13.3</c:v>
                </c:pt>
                <c:pt idx="2">
                  <c:v>15.2</c:v>
                </c:pt>
                <c:pt idx="3" formatCode="General">
                  <c:v>14.5</c:v>
                </c:pt>
                <c:pt idx="4" formatCode="General">
                  <c:v>13.1</c:v>
                </c:pt>
              </c:numCache>
            </c:numRef>
          </c:val>
        </c:ser>
        <c:dLbls>
          <c:showVal val="1"/>
        </c:dLbls>
        <c:marker val="1"/>
        <c:axId val="190551168"/>
        <c:axId val="190552704"/>
      </c:lineChart>
      <c:catAx>
        <c:axId val="19065024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90651776"/>
        <c:crosses val="autoZero"/>
        <c:lblAlgn val="ctr"/>
        <c:lblOffset val="100"/>
        <c:tickLblSkip val="1"/>
        <c:tickMarkSkip val="1"/>
      </c:catAx>
      <c:valAx>
        <c:axId val="190651776"/>
        <c:scaling>
          <c:orientation val="minMax"/>
          <c:max val="1500"/>
        </c:scaling>
        <c:axPos val="l"/>
        <c:numFmt formatCode="0" sourceLinked="1"/>
        <c:tickLblPos val="nextTo"/>
        <c:spPr>
          <a:ln>
            <a:noFill/>
          </a:ln>
        </c:spPr>
        <c:txPr>
          <a:bodyPr/>
          <a:lstStyle/>
          <a:p>
            <a:pPr>
              <a:defRPr sz="100">
                <a:solidFill>
                  <a:schemeClr val="bg1"/>
                </a:solidFill>
              </a:defRPr>
            </a:pPr>
            <a:endParaRPr lang="ru-RU"/>
          </a:p>
        </c:txPr>
        <c:crossAx val="190650240"/>
        <c:crosses val="autoZero"/>
        <c:crossBetween val="between"/>
      </c:valAx>
      <c:catAx>
        <c:axId val="190551168"/>
        <c:scaling>
          <c:orientation val="minMax"/>
        </c:scaling>
        <c:delete val="1"/>
        <c:axPos val="b"/>
        <c:numFmt formatCode="General" sourceLinked="1"/>
        <c:tickLblPos val="nextTo"/>
        <c:crossAx val="190552704"/>
        <c:crosses val="autoZero"/>
        <c:auto val="1"/>
        <c:lblAlgn val="ctr"/>
        <c:lblOffset val="100"/>
      </c:catAx>
      <c:valAx>
        <c:axId val="190552704"/>
        <c:scaling>
          <c:orientation val="minMax"/>
          <c:max val="20"/>
          <c:min val="0"/>
        </c:scaling>
        <c:axPos val="r"/>
        <c:numFmt formatCode="0" sourceLinked="1"/>
        <c:tickLblPos val="nextTo"/>
        <c:spPr>
          <a:ln>
            <a:noFill/>
          </a:ln>
        </c:spPr>
        <c:txPr>
          <a:bodyPr/>
          <a:lstStyle/>
          <a:p>
            <a:pPr>
              <a:defRPr sz="100">
                <a:solidFill>
                  <a:schemeClr val="bg1"/>
                </a:solidFill>
              </a:defRPr>
            </a:pPr>
            <a:endParaRPr lang="ru-RU"/>
          </a:p>
        </c:txPr>
        <c:crossAx val="190551168"/>
        <c:crosses val="max"/>
        <c:crossBetween val="between"/>
      </c:valAx>
      <c:spPr>
        <a:noFill/>
        <a:ln w="25363">
          <a:noFill/>
        </a:ln>
      </c:spPr>
    </c:plotArea>
    <c:legend>
      <c:legendPos val="r"/>
      <c:layout>
        <c:manualLayout>
          <c:xMode val="edge"/>
          <c:yMode val="edge"/>
          <c:x val="0"/>
          <c:y val="0.8448044168261134"/>
          <c:w val="0.72069219149067465"/>
          <c:h val="0.1453685518050117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5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
          <c:y val="8.4798672466411248E-2"/>
          <c:w val="1"/>
          <c:h val="0.70566460882530524"/>
        </c:manualLayout>
      </c:layout>
      <c:bar3DChart>
        <c:barDir val="col"/>
        <c:grouping val="clustered"/>
        <c:ser>
          <c:idx val="0"/>
          <c:order val="0"/>
          <c:tx>
            <c:strRef>
              <c:f>Sheet1!$A$2</c:f>
              <c:strCache>
                <c:ptCount val="1"/>
                <c:pt idx="0">
                  <c:v>Восток</c:v>
                </c:pt>
              </c:strCache>
            </c:strRef>
          </c:tx>
          <c:spPr>
            <a:solidFill>
              <a:srgbClr val="FF99CC"/>
            </a:solidFill>
            <a:ln w="12680">
              <a:solidFill>
                <a:srgbClr val="000000"/>
              </a:solidFill>
              <a:prstDash val="solid"/>
            </a:ln>
          </c:spPr>
          <c:dLbls>
            <c:dLbl>
              <c:idx val="0"/>
              <c:layout>
                <c:manualLayout>
                  <c:x val="1.0712986060935285E-2"/>
                  <c:y val="-2.4880903714328214E-2"/>
                </c:manualLayout>
              </c:layout>
              <c:showVal val="1"/>
            </c:dLbl>
            <c:dLbl>
              <c:idx val="1"/>
              <c:layout>
                <c:manualLayout>
                  <c:x val="2.1901155523680212E-2"/>
                  <c:y val="-2.8977117489851881E-2"/>
                </c:manualLayout>
              </c:layout>
              <c:showVal val="1"/>
            </c:dLbl>
            <c:dLbl>
              <c:idx val="2"/>
              <c:layout>
                <c:manualLayout>
                  <c:x val="1.3764496785524046E-2"/>
                  <c:y val="-3.6748830606975452E-2"/>
                </c:manualLayout>
              </c:layout>
              <c:showVal val="1"/>
            </c:dLbl>
            <c:dLbl>
              <c:idx val="3"/>
              <c:layout>
                <c:manualLayout>
                  <c:x val="1.8647388600872741E-2"/>
                  <c:y val="-1.8239038930465027E-2"/>
                </c:manualLayout>
              </c:layout>
              <c:showVal val="1"/>
            </c:dLbl>
            <c:dLbl>
              <c:idx val="4"/>
              <c:layout>
                <c:manualLayout>
                  <c:x val="2.6791694574681849E-2"/>
                  <c:y val="-5.2178450300026094E-3"/>
                </c:manualLayout>
              </c:layout>
              <c:showVal val="1"/>
            </c:dLbl>
            <c:numFmt formatCode="#,##0.0" sourceLinked="0"/>
            <c:spPr>
              <a:noFill/>
              <a:ln w="25359">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90.8</c:v>
                </c:pt>
                <c:pt idx="1">
                  <c:v>100.3</c:v>
                </c:pt>
                <c:pt idx="2">
                  <c:v>109.2</c:v>
                </c:pt>
                <c:pt idx="3">
                  <c:v>103.7</c:v>
                </c:pt>
                <c:pt idx="4">
                  <c:v>99.3</c:v>
                </c:pt>
              </c:numCache>
            </c:numRef>
          </c:val>
        </c:ser>
        <c:dLbls>
          <c:showVal val="1"/>
        </c:dLbls>
        <c:gapWidth val="110"/>
        <c:gapDepth val="0"/>
        <c:shape val="cylinder"/>
        <c:axId val="190843520"/>
        <c:axId val="190898560"/>
        <c:axId val="0"/>
      </c:bar3DChart>
      <c:catAx>
        <c:axId val="190843520"/>
        <c:scaling>
          <c:orientation val="minMax"/>
        </c:scaling>
        <c:axPos val="b"/>
        <c:numFmt formatCode="General" sourceLinked="1"/>
        <c:tickLblPos val="low"/>
        <c:spPr>
          <a:ln w="3170">
            <a:solidFill>
              <a:srgbClr val="000000"/>
            </a:solidFill>
            <a:prstDash val="solid"/>
          </a:ln>
        </c:spPr>
        <c:txPr>
          <a:bodyPr rot="0" vert="horz"/>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crossAx val="190898560"/>
        <c:crosses val="autoZero"/>
        <c:auto val="1"/>
        <c:lblAlgn val="ctr"/>
        <c:lblOffset val="100"/>
        <c:tickLblSkip val="1"/>
        <c:tickMarkSkip val="1"/>
      </c:catAx>
      <c:valAx>
        <c:axId val="190898560"/>
        <c:scaling>
          <c:orientation val="minMax"/>
        </c:scaling>
        <c:delete val="1"/>
        <c:axPos val="l"/>
        <c:numFmt formatCode="General" sourceLinked="1"/>
        <c:tickLblPos val="nextTo"/>
        <c:crossAx val="190843520"/>
        <c:crosses val="autoZero"/>
        <c:crossBetween val="between"/>
      </c:valAx>
      <c:spPr>
        <a:noFill/>
        <a:ln w="25358">
          <a:noFill/>
        </a:ln>
      </c:spPr>
    </c:plotArea>
    <c:plotVisOnly val="1"/>
    <c:dispBlanksAs val="gap"/>
  </c:chart>
  <c:spPr>
    <a:noFill/>
    <a:ln>
      <a:noFill/>
    </a:ln>
  </c:spPr>
  <c:txPr>
    <a:bodyPr/>
    <a:lstStyle/>
    <a:p>
      <a:pPr>
        <a:defRPr sz="1073" b="1" i="0" u="none" strike="noStrike" baseline="0">
          <a:solidFill>
            <a:srgbClr val="000000"/>
          </a:solidFill>
          <a:latin typeface="Calibri"/>
          <a:ea typeface="Calibri"/>
          <a:cs typeface="Calibri"/>
        </a:defRPr>
      </a:pPr>
      <a:endParaRPr lang="ru-RU"/>
    </a:p>
  </c:txPr>
  <c:externalData r:id="rId2"/>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7295285359801611E-2"/>
          <c:y val="5.3658536585365846E-2"/>
          <c:w val="0.92307692307692257"/>
          <c:h val="0.64508547008551165"/>
        </c:manualLayout>
      </c:layout>
      <c:barChart>
        <c:barDir val="col"/>
        <c:grouping val="clustered"/>
        <c:ser>
          <c:idx val="0"/>
          <c:order val="0"/>
          <c:tx>
            <c:strRef>
              <c:f>Sheet1!$A$2</c:f>
              <c:strCache>
                <c:ptCount val="1"/>
                <c:pt idx="0">
                  <c:v>Залізничний (з території області)</c:v>
                </c:pt>
              </c:strCache>
            </c:strRef>
          </c:tx>
          <c:dLbls>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111</c:v>
                </c:pt>
                <c:pt idx="1">
                  <c:v>88</c:v>
                </c:pt>
                <c:pt idx="2">
                  <c:v>95</c:v>
                </c:pt>
                <c:pt idx="3">
                  <c:v>102</c:v>
                </c:pt>
                <c:pt idx="4">
                  <c:v>99</c:v>
                </c:pt>
              </c:numCache>
            </c:numRef>
          </c:val>
        </c:ser>
        <c:ser>
          <c:idx val="1"/>
          <c:order val="1"/>
          <c:tx>
            <c:strRef>
              <c:f>Sheet1!$A$3</c:f>
              <c:strCache>
                <c:ptCount val="1"/>
                <c:pt idx="0">
                  <c:v>Автомобільний</c:v>
                </c:pt>
              </c:strCache>
            </c:strRef>
          </c:tx>
          <c:dLbls>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Sheet1!$B$3:$F$3</c:f>
              <c:numCache>
                <c:formatCode>General</c:formatCode>
                <c:ptCount val="5"/>
                <c:pt idx="0">
                  <c:v>48</c:v>
                </c:pt>
                <c:pt idx="1">
                  <c:v>29</c:v>
                </c:pt>
                <c:pt idx="2">
                  <c:v>38</c:v>
                </c:pt>
                <c:pt idx="3">
                  <c:v>43</c:v>
                </c:pt>
                <c:pt idx="4">
                  <c:v>40</c:v>
                </c:pt>
              </c:numCache>
            </c:numRef>
          </c:val>
        </c:ser>
        <c:dLbls>
          <c:showVal val="1"/>
        </c:dLbls>
        <c:axId val="191013632"/>
        <c:axId val="191015168"/>
      </c:barChart>
      <c:catAx>
        <c:axId val="191013632"/>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91015168"/>
        <c:crosses val="autoZero"/>
        <c:auto val="1"/>
        <c:lblAlgn val="ctr"/>
        <c:lblOffset val="100"/>
        <c:tickLblSkip val="1"/>
        <c:tickMarkSkip val="1"/>
      </c:catAx>
      <c:valAx>
        <c:axId val="191015168"/>
        <c:scaling>
          <c:orientation val="minMax"/>
        </c:scaling>
        <c:delete val="1"/>
        <c:axPos val="l"/>
        <c:numFmt formatCode="General" sourceLinked="1"/>
        <c:tickLblPos val="nextTo"/>
        <c:crossAx val="191013632"/>
        <c:crosses val="autoZero"/>
        <c:crossBetween val="between"/>
      </c:valAx>
      <c:spPr>
        <a:noFill/>
        <a:ln w="25425">
          <a:noFill/>
        </a:ln>
      </c:spPr>
    </c:plotArea>
    <c:legend>
      <c:legendPos val="r"/>
      <c:layout>
        <c:manualLayout>
          <c:xMode val="edge"/>
          <c:yMode val="edge"/>
          <c:x val="0.24313969424342191"/>
          <c:y val="0.79454875832828664"/>
          <c:w val="0.5958051910177895"/>
          <c:h val="0.1824961837929548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lineChart>
        <c:grouping val="standard"/>
        <c:ser>
          <c:idx val="0"/>
          <c:order val="0"/>
          <c:tx>
            <c:strRef>
              <c:f>Лист1!$B$1</c:f>
              <c:strCache>
                <c:ptCount val="1"/>
                <c:pt idx="0">
                  <c:v>Ряд 1</c:v>
                </c:pt>
              </c:strCache>
            </c:strRef>
          </c:tx>
          <c:spPr>
            <a:ln w="31750">
              <a:solidFill>
                <a:schemeClr val="accent1"/>
              </a:solidFill>
            </a:ln>
          </c:spPr>
          <c:marker>
            <c:symbol val="diamond"/>
            <c:size val="9"/>
            <c:spPr>
              <a:solidFill>
                <a:schemeClr val="accent1"/>
              </a:solidFill>
              <a:ln>
                <a:solidFill>
                  <a:srgbClr val="4F81BD"/>
                </a:solidFill>
              </a:ln>
            </c:spPr>
          </c:marker>
          <c:dLbls>
            <c:dLbl>
              <c:idx val="0"/>
              <c:layout>
                <c:manualLayout>
                  <c:x val="-7.113821138211382E-2"/>
                  <c:y val="-7.4074074074074098E-2"/>
                </c:manualLayout>
              </c:layout>
              <c:showVal val="1"/>
            </c:dLbl>
            <c:dLbl>
              <c:idx val="1"/>
              <c:layout>
                <c:manualLayout>
                  <c:x val="-6.7750677506775131E-2"/>
                  <c:y val="8.1481481481481433E-2"/>
                </c:manualLayout>
              </c:layout>
              <c:showVal val="1"/>
            </c:dLbl>
            <c:dLbl>
              <c:idx val="2"/>
              <c:layout>
                <c:manualLayout>
                  <c:x val="-7.4525745257452577E-2"/>
                  <c:y val="-0.10370370370370639"/>
                </c:manualLayout>
              </c:layout>
              <c:showVal val="1"/>
            </c:dLbl>
            <c:dLbl>
              <c:idx val="3"/>
              <c:layout>
                <c:manualLayout>
                  <c:x val="-5.7588075880758809E-2"/>
                  <c:y val="-9.6296296296296768E-2"/>
                </c:manualLayout>
              </c:layout>
              <c:showVal val="1"/>
            </c:dLbl>
            <c:dLbl>
              <c:idx val="4"/>
              <c:layout>
                <c:manualLayout>
                  <c:x val="-5.0813008130081834E-2"/>
                  <c:y val="-8.8888888888889767E-2"/>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Лист1!$A$2:$A$6</c:f>
              <c:numCache>
                <c:formatCode>General</c:formatCode>
                <c:ptCount val="5"/>
                <c:pt idx="0">
                  <c:v>2008</c:v>
                </c:pt>
                <c:pt idx="1">
                  <c:v>2009</c:v>
                </c:pt>
                <c:pt idx="2">
                  <c:v>2010</c:v>
                </c:pt>
                <c:pt idx="3">
                  <c:v>2011</c:v>
                </c:pt>
                <c:pt idx="4">
                  <c:v>2012</c:v>
                </c:pt>
              </c:numCache>
            </c:numRef>
          </c:cat>
          <c:val>
            <c:numRef>
              <c:f>Лист1!$B$2:$B$6</c:f>
              <c:numCache>
                <c:formatCode>General</c:formatCode>
                <c:ptCount val="5"/>
                <c:pt idx="0">
                  <c:v>16.8</c:v>
                </c:pt>
                <c:pt idx="1">
                  <c:v>14.2</c:v>
                </c:pt>
                <c:pt idx="2">
                  <c:v>16.899999999999999</c:v>
                </c:pt>
                <c:pt idx="3">
                  <c:v>16.100000000000001</c:v>
                </c:pt>
                <c:pt idx="4">
                  <c:v>14.8</c:v>
                </c:pt>
              </c:numCache>
            </c:numRef>
          </c:val>
        </c:ser>
        <c:marker val="1"/>
        <c:axId val="191027072"/>
        <c:axId val="191028608"/>
      </c:lineChart>
      <c:catAx>
        <c:axId val="19102707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91028608"/>
        <c:crosses val="autoZero"/>
        <c:auto val="1"/>
        <c:lblAlgn val="ctr"/>
        <c:lblOffset val="100"/>
      </c:catAx>
      <c:valAx>
        <c:axId val="191028608"/>
        <c:scaling>
          <c:orientation val="minMax"/>
        </c:scaling>
        <c:delete val="1"/>
        <c:axPos val="l"/>
        <c:numFmt formatCode="General" sourceLinked="1"/>
        <c:tickLblPos val="nextTo"/>
        <c:crossAx val="191027072"/>
        <c:crosses val="autoZero"/>
        <c:crossBetween val="between"/>
      </c:valAx>
      <c:spPr>
        <a:noFill/>
        <a:ln>
          <a:noFill/>
        </a:ln>
      </c:spPr>
    </c:plotArea>
    <c:plotVisOnly val="1"/>
  </c:chart>
  <c:spPr>
    <a:noFill/>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
          <c:y val="0"/>
          <c:w val="1"/>
          <c:h val="0.81499999999999995"/>
        </c:manualLayout>
      </c:layout>
      <c:bar3DChart>
        <c:barDir val="col"/>
        <c:grouping val="clustered"/>
        <c:ser>
          <c:idx val="0"/>
          <c:order val="0"/>
          <c:tx>
            <c:strRef>
              <c:f>Sheet1!$A$2</c:f>
              <c:strCache>
                <c:ptCount val="1"/>
                <c:pt idx="0">
                  <c:v>Восток</c:v>
                </c:pt>
              </c:strCache>
            </c:strRef>
          </c:tx>
          <c:spPr>
            <a:solidFill>
              <a:srgbClr val="99CC00"/>
            </a:solidFill>
            <a:ln w="12705">
              <a:solidFill>
                <a:srgbClr val="000000"/>
              </a:solidFill>
              <a:prstDash val="solid"/>
            </a:ln>
          </c:spPr>
          <c:dLbls>
            <c:dLbl>
              <c:idx val="0"/>
              <c:layout>
                <c:manualLayout>
                  <c:x val="1.6083090964980735E-2"/>
                  <c:y val="-2.3352775347526004E-2"/>
                </c:manualLayout>
              </c:layout>
              <c:showVal val="1"/>
            </c:dLbl>
            <c:dLbl>
              <c:idx val="1"/>
              <c:layout>
                <c:manualLayout>
                  <c:x val="1.7114989004752786E-2"/>
                  <c:y val="-2.5715466122290271E-2"/>
                </c:manualLayout>
              </c:layout>
              <c:showVal val="1"/>
            </c:dLbl>
            <c:dLbl>
              <c:idx val="2"/>
              <c:layout>
                <c:manualLayout>
                  <c:x val="1.5842299355126391E-2"/>
                  <c:y val="-1.2791542912583593E-2"/>
                </c:manualLayout>
              </c:layout>
              <c:showVal val="1"/>
            </c:dLbl>
            <c:dLbl>
              <c:idx val="3"/>
              <c:layout>
                <c:manualLayout>
                  <c:x val="2.1021021021021036E-2"/>
                  <c:y val="-4.3209876543209756E-2"/>
                </c:manualLayout>
              </c:layout>
              <c:showVal val="1"/>
            </c:dLbl>
            <c:dLbl>
              <c:idx val="4"/>
              <c:layout>
                <c:manualLayout>
                  <c:x val="1.3297300348354553E-2"/>
                  <c:y val="-2.7648998028434483E-3"/>
                </c:manualLayout>
              </c:layout>
              <c:showVal val="1"/>
            </c:dLbl>
            <c:dLbl>
              <c:idx val="5"/>
              <c:layout>
                <c:manualLayout>
                  <c:x val="2.1241272478265068E-2"/>
                  <c:y val="1.1082056625338801E-2"/>
                </c:manualLayout>
              </c:layout>
              <c:showVal val="1"/>
            </c:dLbl>
            <c:numFmt formatCode="0.0" sourceLinked="0"/>
            <c:spPr>
              <a:noFill/>
              <a:ln w="25410">
                <a:noFill/>
              </a:ln>
            </c:spPr>
            <c:txPr>
              <a:bodyPr/>
              <a:lstStyle/>
              <a:p>
                <a:pPr>
                  <a:defRPr sz="1000"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14.7</c:v>
                </c:pt>
                <c:pt idx="1">
                  <c:v>13.2</c:v>
                </c:pt>
                <c:pt idx="2">
                  <c:v>14.2</c:v>
                </c:pt>
                <c:pt idx="3">
                  <c:v>16.8</c:v>
                </c:pt>
                <c:pt idx="4">
                  <c:v>21.1</c:v>
                </c:pt>
              </c:numCache>
            </c:numRef>
          </c:val>
          <c:shape val="pyramid"/>
        </c:ser>
        <c:dLbls>
          <c:showVal val="1"/>
        </c:dLbls>
        <c:gapDepth val="0"/>
        <c:shape val="box"/>
        <c:axId val="191187968"/>
        <c:axId val="191189760"/>
        <c:axId val="0"/>
      </c:bar3DChart>
      <c:catAx>
        <c:axId val="191187968"/>
        <c:scaling>
          <c:orientation val="minMax"/>
        </c:scaling>
        <c:axPos val="b"/>
        <c:numFmt formatCode="General" sourceLinked="1"/>
        <c:tickLblPos val="low"/>
        <c:spPr>
          <a:ln w="3177">
            <a:solidFill>
              <a:srgbClr val="000000"/>
            </a:solidFill>
            <a:prstDash val="solid"/>
          </a:ln>
        </c:spPr>
        <c:txPr>
          <a:bodyPr rot="0" vert="horz"/>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crossAx val="191189760"/>
        <c:crosses val="autoZero"/>
        <c:auto val="1"/>
        <c:lblAlgn val="ctr"/>
        <c:lblOffset val="100"/>
        <c:tickLblSkip val="1"/>
        <c:tickMarkSkip val="1"/>
      </c:catAx>
      <c:valAx>
        <c:axId val="191189760"/>
        <c:scaling>
          <c:orientation val="minMax"/>
        </c:scaling>
        <c:delete val="1"/>
        <c:axPos val="l"/>
        <c:numFmt formatCode="General" sourceLinked="1"/>
        <c:tickLblPos val="nextTo"/>
        <c:crossAx val="191187968"/>
        <c:crosses val="autoZero"/>
        <c:crossBetween val="between"/>
      </c:valAx>
      <c:spPr>
        <a:noFill/>
        <a:ln w="25405">
          <a:noFill/>
        </a:ln>
      </c:spPr>
    </c:plotArea>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2.3195876288659802E-2"/>
          <c:y val="7.9032027915797873E-2"/>
          <c:w val="0.97680412371134018"/>
          <c:h val="0.6951618691815088"/>
        </c:manualLayout>
      </c:layout>
      <c:bar3DChart>
        <c:barDir val="col"/>
        <c:grouping val="clustered"/>
        <c:ser>
          <c:idx val="0"/>
          <c:order val="0"/>
          <c:tx>
            <c:strRef>
              <c:f>Sheet1!$A$2</c:f>
              <c:strCache>
                <c:ptCount val="1"/>
                <c:pt idx="0">
                  <c:v>Експорт</c:v>
                </c:pt>
              </c:strCache>
            </c:strRef>
          </c:tx>
          <c:spPr>
            <a:solidFill>
              <a:srgbClr val="1F497D">
                <a:lumMod val="75000"/>
              </a:srgbClr>
            </a:solidFill>
            <a:ln w="12641">
              <a:solidFill>
                <a:srgbClr val="000000"/>
              </a:solidFill>
              <a:prstDash val="solid"/>
            </a:ln>
          </c:spPr>
          <c:dLbls>
            <c:dLbl>
              <c:idx val="1"/>
              <c:layout>
                <c:manualLayout>
                  <c:x val="1.488095238095234E-2"/>
                  <c:y val="-5.5005500550055009E-3"/>
                </c:manualLayout>
              </c:layout>
              <c:showVal val="1"/>
            </c:dLbl>
            <c:dLbl>
              <c:idx val="3"/>
              <c:layout>
                <c:manualLayout>
                  <c:x val="1.23894669416323E-2"/>
                  <c:y val="5.4914546572767476E-3"/>
                </c:manualLayout>
              </c:layout>
              <c:showVal val="1"/>
            </c:dLbl>
            <c:dLbl>
              <c:idx val="4"/>
              <c:layout>
                <c:manualLayout>
                  <c:x val="7.4367873078838654E-3"/>
                  <c:y val="-1.0982976386600781E-2"/>
                </c:manualLayout>
              </c:layout>
              <c:showVal val="1"/>
            </c:dLbl>
            <c:numFmt formatCode="#,##0.0" sourceLinked="0"/>
            <c:spPr>
              <a:noFill/>
              <a:ln w="25282">
                <a:noFill/>
              </a:ln>
            </c:spPr>
            <c:txPr>
              <a:bodyPr/>
              <a:lstStyle/>
              <a:p>
                <a:pP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14.41</c:v>
                </c:pt>
                <c:pt idx="1">
                  <c:v>9.3330000000000002</c:v>
                </c:pt>
                <c:pt idx="2">
                  <c:v>13.127999999999998</c:v>
                </c:pt>
                <c:pt idx="3">
                  <c:v>17.198</c:v>
                </c:pt>
                <c:pt idx="4">
                  <c:v>14.1</c:v>
                </c:pt>
              </c:numCache>
            </c:numRef>
          </c:val>
        </c:ser>
        <c:ser>
          <c:idx val="1"/>
          <c:order val="1"/>
          <c:tx>
            <c:strRef>
              <c:f>Sheet1!$A$3</c:f>
              <c:strCache>
                <c:ptCount val="1"/>
                <c:pt idx="0">
                  <c:v>Імпорт</c:v>
                </c:pt>
              </c:strCache>
            </c:strRef>
          </c:tx>
          <c:spPr>
            <a:solidFill>
              <a:srgbClr val="FF99CC"/>
            </a:solidFill>
            <a:ln w="12641">
              <a:solidFill>
                <a:srgbClr val="000000"/>
              </a:solidFill>
              <a:prstDash val="solid"/>
            </a:ln>
          </c:spPr>
          <c:dLbls>
            <c:dLbl>
              <c:idx val="0"/>
              <c:layout>
                <c:manualLayout>
                  <c:x val="1.9814396055843054E-2"/>
                  <c:y val="-1.7602494102471465E-2"/>
                </c:manualLayout>
              </c:layout>
              <c:showVal val="1"/>
            </c:dLbl>
            <c:dLbl>
              <c:idx val="1"/>
              <c:layout>
                <c:manualLayout>
                  <c:x val="1.9804360392451016E-2"/>
                  <c:y val="0"/>
                </c:manualLayout>
              </c:layout>
              <c:showVal val="1"/>
            </c:dLbl>
            <c:dLbl>
              <c:idx val="2"/>
              <c:layout>
                <c:manualLayout>
                  <c:x val="1.7320881764779469E-2"/>
                  <c:y val="-1.1734795526796774E-2"/>
                </c:manualLayout>
              </c:layout>
              <c:showVal val="1"/>
            </c:dLbl>
            <c:dLbl>
              <c:idx val="3"/>
              <c:layout>
                <c:manualLayout>
                  <c:x val="1.7318928883889514E-2"/>
                  <c:y val="-5.8678308775759105E-3"/>
                </c:manualLayout>
              </c:layout>
              <c:showVal val="1"/>
            </c:dLbl>
            <c:dLbl>
              <c:idx val="4"/>
              <c:layout>
                <c:manualLayout>
                  <c:x val="1.7346269216347961E-2"/>
                  <c:y val="-5.5005500550055009E-3"/>
                </c:manualLayout>
              </c:layout>
              <c:showVal val="1"/>
            </c:dLbl>
            <c:numFmt formatCode="#,##0.0" sourceLinked="0"/>
            <c:txPr>
              <a:bodyPr/>
              <a:lstStyle/>
              <a:p>
                <a:pPr>
                  <a:defRPr sz="998">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Sheet1!$B$3:$F$3</c:f>
              <c:numCache>
                <c:formatCode>General</c:formatCode>
                <c:ptCount val="5"/>
                <c:pt idx="0">
                  <c:v>4.952</c:v>
                </c:pt>
                <c:pt idx="1">
                  <c:v>1.9359999999999957</c:v>
                </c:pt>
                <c:pt idx="2">
                  <c:v>3.0680000000000001</c:v>
                </c:pt>
                <c:pt idx="3">
                  <c:v>5</c:v>
                </c:pt>
                <c:pt idx="4">
                  <c:v>5.3</c:v>
                </c:pt>
              </c:numCache>
            </c:numRef>
          </c:val>
        </c:ser>
        <c:dLbls>
          <c:showVal val="1"/>
        </c:dLbls>
        <c:gapWidth val="101"/>
        <c:gapDepth val="0"/>
        <c:shape val="box"/>
        <c:axId val="191010304"/>
        <c:axId val="191011840"/>
        <c:axId val="0"/>
      </c:bar3DChart>
      <c:catAx>
        <c:axId val="191010304"/>
        <c:scaling>
          <c:orientation val="minMax"/>
        </c:scaling>
        <c:axPos val="b"/>
        <c:numFmt formatCode="General" sourceLinked="1"/>
        <c:tickLblPos val="low"/>
        <c:spPr>
          <a:ln w="3161">
            <a:solidFill>
              <a:srgbClr val="000000"/>
            </a:solidFill>
            <a:prstDash val="solid"/>
          </a:ln>
        </c:spPr>
        <c:txPr>
          <a:bodyPr rot="0" vert="horz"/>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crossAx val="191011840"/>
        <c:crosses val="autoZero"/>
        <c:auto val="1"/>
        <c:lblAlgn val="ctr"/>
        <c:lblOffset val="100"/>
        <c:tickLblSkip val="1"/>
        <c:tickMarkSkip val="1"/>
      </c:catAx>
      <c:valAx>
        <c:axId val="191011840"/>
        <c:scaling>
          <c:orientation val="minMax"/>
        </c:scaling>
        <c:axPos val="l"/>
        <c:majorGridlines>
          <c:spPr>
            <a:ln w="12641">
              <a:solidFill>
                <a:srgbClr val="FFFFFF"/>
              </a:solidFill>
              <a:prstDash val="solid"/>
            </a:ln>
          </c:spPr>
        </c:majorGridlines>
        <c:numFmt formatCode="General" sourceLinked="1"/>
        <c:tickLblPos val="nextTo"/>
        <c:spPr>
          <a:ln w="9481">
            <a:noFill/>
          </a:ln>
        </c:spPr>
        <c:txPr>
          <a:bodyPr rot="0" vert="horz"/>
          <a:lstStyle/>
          <a:p>
            <a:pPr>
              <a:defRPr sz="100" b="1" i="0" u="none" strike="noStrike" baseline="0">
                <a:solidFill>
                  <a:srgbClr val="FFFFFF"/>
                </a:solidFill>
                <a:latin typeface="Calibri"/>
                <a:ea typeface="Calibri"/>
                <a:cs typeface="Calibri"/>
              </a:defRPr>
            </a:pPr>
            <a:endParaRPr lang="ru-RU"/>
          </a:p>
        </c:txPr>
        <c:crossAx val="191010304"/>
        <c:crosses val="autoZero"/>
        <c:crossBetween val="between"/>
      </c:valAx>
      <c:spPr>
        <a:noFill/>
        <a:ln w="25356">
          <a:noFill/>
        </a:ln>
      </c:spPr>
    </c:plotArea>
    <c:legend>
      <c:legendPos val="r"/>
      <c:layout>
        <c:manualLayout>
          <c:xMode val="edge"/>
          <c:yMode val="edge"/>
          <c:x val="0.16752584904159706"/>
          <c:y val="0.88018435494601432"/>
          <c:w val="0.56958760836713629"/>
          <c:h val="0.11520777606149259"/>
        </c:manualLayout>
      </c:layout>
      <c:spPr>
        <a:noFill/>
        <a:ln w="25282">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48"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style val="29"/>
  <c:chart>
    <c:plotArea>
      <c:layout>
        <c:manualLayout>
          <c:layoutTarget val="inner"/>
          <c:xMode val="edge"/>
          <c:yMode val="edge"/>
          <c:x val="5.1780667991580924E-2"/>
          <c:y val="4.2592029205962903E-2"/>
          <c:w val="0.89643866401683758"/>
          <c:h val="0.60032962110343902"/>
        </c:manualLayout>
      </c:layout>
      <c:barChart>
        <c:barDir val="col"/>
        <c:grouping val="clustered"/>
        <c:ser>
          <c:idx val="1"/>
          <c:order val="1"/>
          <c:tx>
            <c:strRef>
              <c:f>Лист1!$A$3</c:f>
              <c:strCache>
                <c:ptCount val="1"/>
                <c:pt idx="0">
                  <c:v>Вартість основних засобів на кінець року, млрд.грн.</c:v>
                </c:pt>
              </c:strCache>
            </c:strRef>
          </c:tx>
          <c:spPr>
            <a:ln>
              <a:solidFill>
                <a:srgbClr val="9BBB59">
                  <a:lumMod val="50000"/>
                </a:srgbClr>
              </a:solidFill>
            </a:ln>
          </c:spPr>
          <c:dLbls>
            <c:txPr>
              <a:bodyPr/>
              <a:lstStyle/>
              <a:p>
                <a:pPr>
                  <a:defRPr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 очік.</c:v>
                </c:pt>
              </c:strCache>
            </c:strRef>
          </c:cat>
          <c:val>
            <c:numRef>
              <c:f>Лист1!$B$3:$F$3</c:f>
              <c:numCache>
                <c:formatCode>0.0</c:formatCode>
                <c:ptCount val="5"/>
                <c:pt idx="0">
                  <c:v>301.2</c:v>
                </c:pt>
                <c:pt idx="1">
                  <c:v>430.8</c:v>
                </c:pt>
                <c:pt idx="2">
                  <c:v>454.8</c:v>
                </c:pt>
                <c:pt idx="3">
                  <c:v>478.8</c:v>
                </c:pt>
                <c:pt idx="4">
                  <c:v>502.8</c:v>
                </c:pt>
              </c:numCache>
            </c:numRef>
          </c:val>
        </c:ser>
        <c:axId val="191652992"/>
        <c:axId val="191654528"/>
      </c:barChart>
      <c:lineChart>
        <c:grouping val="standard"/>
        <c:ser>
          <c:idx val="0"/>
          <c:order val="0"/>
          <c:tx>
            <c:strRef>
              <c:f>Лист1!$A$2</c:f>
              <c:strCache>
                <c:ptCount val="1"/>
                <c:pt idx="0">
                  <c:v>Ступінь зносу основних засобів</c:v>
                </c:pt>
              </c:strCache>
            </c:strRef>
          </c:tx>
          <c:spPr>
            <a:ln w="44450">
              <a:solidFill>
                <a:schemeClr val="accent3">
                  <a:lumMod val="50000"/>
                </a:schemeClr>
              </a:solidFill>
            </a:ln>
          </c:spPr>
          <c:marker>
            <c:symbol val="circle"/>
            <c:size val="22"/>
            <c:spPr>
              <a:solidFill>
                <a:sysClr val="window" lastClr="FFFFFF">
                  <a:lumMod val="85000"/>
                </a:sysClr>
              </a:solidFill>
              <a:ln>
                <a:solidFill>
                  <a:srgbClr val="9BBB59">
                    <a:lumMod val="50000"/>
                  </a:srgbClr>
                </a:solidFill>
              </a:ln>
            </c:spPr>
          </c:marker>
          <c:dLbls>
            <c:dLbl>
              <c:idx val="0"/>
              <c:layout>
                <c:manualLayout>
                  <c:x val="0"/>
                  <c:y val="0.12777608761788864"/>
                </c:manualLayout>
              </c:layout>
              <c:dLblPos val="t"/>
              <c:showVal val="1"/>
            </c:dLbl>
            <c:dLbl>
              <c:idx val="1"/>
              <c:layout>
                <c:manualLayout>
                  <c:x val="0"/>
                  <c:y val="0.12777608761788864"/>
                </c:manualLayout>
              </c:layout>
              <c:dLblPos val="t"/>
              <c:showVal val="1"/>
            </c:dLbl>
            <c:dLbl>
              <c:idx val="2"/>
              <c:layout>
                <c:manualLayout>
                  <c:x val="0"/>
                  <c:y val="0.12777608761788864"/>
                </c:manualLayout>
              </c:layout>
              <c:dLblPos val="t"/>
              <c:showVal val="1"/>
            </c:dLbl>
            <c:dLbl>
              <c:idx val="3"/>
              <c:layout>
                <c:manualLayout>
                  <c:x val="0"/>
                  <c:y val="0.12777608761788864"/>
                </c:manualLayout>
              </c:layout>
              <c:dLblPos val="t"/>
              <c:showVal val="1"/>
            </c:dLbl>
            <c:dLbl>
              <c:idx val="4"/>
              <c:layout>
                <c:manualLayout>
                  <c:x val="0"/>
                  <c:y val="0.12777608761788864"/>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Лист1!$B$2:$F$2</c:f>
              <c:numCache>
                <c:formatCode>0.0</c:formatCode>
                <c:ptCount val="5"/>
                <c:pt idx="0">
                  <c:v>54.5</c:v>
                </c:pt>
                <c:pt idx="1">
                  <c:v>63.8</c:v>
                </c:pt>
                <c:pt idx="2">
                  <c:v>64.900000000000006</c:v>
                </c:pt>
                <c:pt idx="3">
                  <c:v>66</c:v>
                </c:pt>
                <c:pt idx="4">
                  <c:v>67.099999999999994</c:v>
                </c:pt>
              </c:numCache>
            </c:numRef>
          </c:val>
        </c:ser>
        <c:marker val="1"/>
        <c:axId val="191670144"/>
        <c:axId val="191668608"/>
      </c:lineChart>
      <c:catAx>
        <c:axId val="191652992"/>
        <c:scaling>
          <c:orientation val="minMax"/>
        </c:scaling>
        <c:axPos val="b"/>
        <c:tickLblPos val="nextTo"/>
        <c:txPr>
          <a:bodyPr/>
          <a:lstStyle/>
          <a:p>
            <a:pPr>
              <a:defRPr>
                <a:latin typeface="Times New Roman" pitchFamily="18" charset="0"/>
                <a:cs typeface="Times New Roman" pitchFamily="18" charset="0"/>
              </a:defRPr>
            </a:pPr>
            <a:endParaRPr lang="ru-RU"/>
          </a:p>
        </c:txPr>
        <c:crossAx val="191654528"/>
        <c:crosses val="autoZero"/>
        <c:auto val="1"/>
        <c:lblAlgn val="ctr"/>
        <c:lblOffset val="100"/>
      </c:catAx>
      <c:valAx>
        <c:axId val="191654528"/>
        <c:scaling>
          <c:orientation val="minMax"/>
        </c:scaling>
        <c:axPos val="l"/>
        <c:numFmt formatCode="0.0" sourceLinked="1"/>
        <c:tickLblPos val="nextTo"/>
        <c:spPr>
          <a:ln>
            <a:noFill/>
          </a:ln>
        </c:spPr>
        <c:txPr>
          <a:bodyPr/>
          <a:lstStyle/>
          <a:p>
            <a:pPr>
              <a:defRPr sz="100">
                <a:solidFill>
                  <a:schemeClr val="bg1"/>
                </a:solidFill>
              </a:defRPr>
            </a:pPr>
            <a:endParaRPr lang="ru-RU"/>
          </a:p>
        </c:txPr>
        <c:crossAx val="191652992"/>
        <c:crosses val="autoZero"/>
        <c:crossBetween val="between"/>
      </c:valAx>
      <c:valAx>
        <c:axId val="191668608"/>
        <c:scaling>
          <c:orientation val="minMax"/>
          <c:max val="140"/>
        </c:scaling>
        <c:axPos val="r"/>
        <c:numFmt formatCode="0.0" sourceLinked="1"/>
        <c:tickLblPos val="nextTo"/>
        <c:spPr>
          <a:ln>
            <a:noFill/>
          </a:ln>
        </c:spPr>
        <c:txPr>
          <a:bodyPr/>
          <a:lstStyle/>
          <a:p>
            <a:pPr>
              <a:defRPr sz="100">
                <a:solidFill>
                  <a:schemeClr val="bg1"/>
                </a:solidFill>
              </a:defRPr>
            </a:pPr>
            <a:endParaRPr lang="ru-RU"/>
          </a:p>
        </c:txPr>
        <c:crossAx val="191670144"/>
        <c:crosses val="max"/>
        <c:crossBetween val="between"/>
      </c:valAx>
      <c:catAx>
        <c:axId val="191670144"/>
        <c:scaling>
          <c:orientation val="minMax"/>
        </c:scaling>
        <c:delete val="1"/>
        <c:axPos val="b"/>
        <c:tickLblPos val="nextTo"/>
        <c:crossAx val="191668608"/>
        <c:crosses val="autoZero"/>
        <c:auto val="1"/>
        <c:lblAlgn val="ctr"/>
        <c:lblOffset val="100"/>
      </c:catAx>
      <c:spPr>
        <a:noFill/>
        <a:ln>
          <a:noFill/>
        </a:ln>
      </c:spPr>
    </c:plotArea>
    <c:legend>
      <c:legendPos val="r"/>
      <c:layout>
        <c:manualLayout>
          <c:xMode val="edge"/>
          <c:yMode val="edge"/>
          <c:x val="0"/>
          <c:y val="0.80170607667046478"/>
          <c:w val="0.99133830315938942"/>
          <c:h val="0.19366677127026297"/>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style val="47"/>
  <c:clrMapOvr bg1="lt1" tx1="dk1" bg2="lt2" tx2="dk2" accent1="accent1" accent2="accent2" accent3="accent3" accent4="accent4" accent5="accent5" accent6="accent6" hlink="hlink" folHlink="folHlink"/>
  <c:chart>
    <c:view3D>
      <c:rotX val="5"/>
      <c:rotY val="10"/>
      <c:depthPercent val="100"/>
      <c:perspective val="10"/>
    </c:view3D>
    <c:sideWall>
      <c:spPr>
        <a:noFill/>
        <a:ln w="25319">
          <a:noFill/>
        </a:ln>
      </c:spPr>
    </c:sideWall>
    <c:backWall>
      <c:spPr>
        <a:noFill/>
        <a:ln w="25319">
          <a:noFill/>
        </a:ln>
      </c:spPr>
    </c:backWall>
    <c:plotArea>
      <c:layout>
        <c:manualLayout>
          <c:layoutTarget val="inner"/>
          <c:xMode val="edge"/>
          <c:yMode val="edge"/>
          <c:x val="5.1150895140664966E-3"/>
          <c:y val="1.0349956255468061E-3"/>
          <c:w val="0.99488491048593353"/>
          <c:h val="0.7768412876962687"/>
        </c:manualLayout>
      </c:layout>
      <c:bar3DChart>
        <c:barDir val="col"/>
        <c:grouping val="clustered"/>
        <c:ser>
          <c:idx val="0"/>
          <c:order val="0"/>
          <c:spPr>
            <a:ln>
              <a:solidFill>
                <a:sysClr val="windowText" lastClr="000000"/>
              </a:solidFill>
            </a:ln>
            <a:effectLst>
              <a:outerShdw blurRad="50800" dist="38100" algn="l" rotWithShape="0">
                <a:prstClr val="black">
                  <a:alpha val="40000"/>
                </a:prstClr>
              </a:outerShdw>
            </a:effectLst>
          </c:spPr>
          <c:dLbls>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Лист1!$A$2:$A$6</c:f>
              <c:strCache>
                <c:ptCount val="5"/>
                <c:pt idx="0">
                  <c:v>2008</c:v>
                </c:pt>
                <c:pt idx="1">
                  <c:v>2009</c:v>
                </c:pt>
                <c:pt idx="2">
                  <c:v>2010*</c:v>
                </c:pt>
                <c:pt idx="3">
                  <c:v>2011*</c:v>
                </c:pt>
                <c:pt idx="4">
                  <c:v>2012 очік.*</c:v>
                </c:pt>
              </c:strCache>
            </c:strRef>
          </c:cat>
          <c:val>
            <c:numRef>
              <c:f>Лист1!$B$2:$B$6</c:f>
              <c:numCache>
                <c:formatCode>0.0</c:formatCode>
                <c:ptCount val="5"/>
                <c:pt idx="0">
                  <c:v>26.5</c:v>
                </c:pt>
                <c:pt idx="1">
                  <c:v>16.8</c:v>
                </c:pt>
                <c:pt idx="2">
                  <c:v>15.3</c:v>
                </c:pt>
                <c:pt idx="3">
                  <c:v>27.3</c:v>
                </c:pt>
                <c:pt idx="4">
                  <c:v>29</c:v>
                </c:pt>
              </c:numCache>
            </c:numRef>
          </c:val>
        </c:ser>
        <c:dLbls>
          <c:showVal val="1"/>
        </c:dLbls>
        <c:gapWidth val="142"/>
        <c:shape val="box"/>
        <c:axId val="190957440"/>
        <c:axId val="190958976"/>
        <c:axId val="0"/>
      </c:bar3DChart>
      <c:catAx>
        <c:axId val="190957440"/>
        <c:scaling>
          <c:orientation val="minMax"/>
        </c:scaling>
        <c:axPos val="b"/>
        <c:numFmt formatCode="General" sourceLinked="1"/>
        <c:tickLblPos val="nextTo"/>
        <c:txPr>
          <a:bodyPr rot="0" vert="horz"/>
          <a:lstStyle/>
          <a:p>
            <a:pPr>
              <a:defRPr sz="999">
                <a:solidFill>
                  <a:sysClr val="windowText" lastClr="000000"/>
                </a:solidFill>
                <a:latin typeface="Times New Roman" pitchFamily="18" charset="0"/>
                <a:cs typeface="Times New Roman" pitchFamily="18" charset="0"/>
              </a:defRPr>
            </a:pPr>
            <a:endParaRPr lang="ru-RU"/>
          </a:p>
        </c:txPr>
        <c:crossAx val="190958976"/>
        <c:crosses val="autoZero"/>
        <c:auto val="1"/>
        <c:lblAlgn val="ctr"/>
        <c:lblOffset val="100"/>
        <c:tickLblSkip val="1"/>
        <c:tickMarkSkip val="1"/>
      </c:catAx>
      <c:valAx>
        <c:axId val="190958976"/>
        <c:scaling>
          <c:orientation val="minMax"/>
          <c:max val="32"/>
          <c:min val="0"/>
        </c:scaling>
        <c:axPos val="l"/>
        <c:numFmt formatCode="0.0" sourceLinked="1"/>
        <c:tickLblPos val="nextTo"/>
        <c:spPr>
          <a:ln>
            <a:noFill/>
          </a:ln>
        </c:spPr>
        <c:txPr>
          <a:bodyPr/>
          <a:lstStyle/>
          <a:p>
            <a:pPr>
              <a:defRPr sz="100"/>
            </a:pPr>
            <a:endParaRPr lang="ru-RU"/>
          </a:p>
        </c:txPr>
        <c:crossAx val="190957440"/>
        <c:crosses val="autoZero"/>
        <c:crossBetween val="between"/>
        <c:majorUnit val="2"/>
        <c:minorUnit val="0.4"/>
      </c:valAx>
      <c:spPr>
        <a:noFill/>
        <a:ln w="25385">
          <a:noFill/>
        </a:ln>
      </c:spPr>
    </c:plotArea>
    <c:dispBlanksAs val="gap"/>
  </c:chart>
  <c:spPr>
    <a:noFill/>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6849616659763133E-2"/>
          <c:y val="6.9421933924658924E-2"/>
          <c:w val="0.97120418848167545"/>
          <c:h val="0.55619315250590062"/>
        </c:manualLayout>
      </c:layout>
      <c:lineChart>
        <c:grouping val="standard"/>
        <c:ser>
          <c:idx val="0"/>
          <c:order val="0"/>
          <c:tx>
            <c:strRef>
              <c:f>Лист3!$A$2</c:f>
              <c:strCache>
                <c:ptCount val="1"/>
                <c:pt idx="0">
                  <c:v>Обсяг інвестицій у житлове будівництво, млн.грн.</c:v>
                </c:pt>
              </c:strCache>
            </c:strRef>
          </c:tx>
          <c:spPr>
            <a:ln w="38100"/>
          </c:spPr>
          <c:marker>
            <c:symbol val="diamond"/>
            <c:size val="9"/>
          </c:marker>
          <c:dLbls>
            <c:dLbl>
              <c:idx val="1"/>
              <c:layout>
                <c:manualLayout>
                  <c:x val="-6.6491128608923922E-2"/>
                  <c:y val="-0.10061931088401187"/>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numRef>
              <c:f>Лист3!$B$1:$F$1</c:f>
              <c:numCache>
                <c:formatCode>General</c:formatCode>
                <c:ptCount val="5"/>
                <c:pt idx="0">
                  <c:v>2008</c:v>
                </c:pt>
                <c:pt idx="1">
                  <c:v>2009</c:v>
                </c:pt>
                <c:pt idx="2">
                  <c:v>2010</c:v>
                </c:pt>
                <c:pt idx="3">
                  <c:v>2011</c:v>
                </c:pt>
                <c:pt idx="4">
                  <c:v>2012</c:v>
                </c:pt>
              </c:numCache>
            </c:numRef>
          </c:cat>
          <c:val>
            <c:numRef>
              <c:f>Лист3!$B$2:$F$2</c:f>
              <c:numCache>
                <c:formatCode>General</c:formatCode>
                <c:ptCount val="5"/>
                <c:pt idx="0">
                  <c:v>1343.1</c:v>
                </c:pt>
                <c:pt idx="1">
                  <c:v>634.4</c:v>
                </c:pt>
                <c:pt idx="2">
                  <c:v>855.8</c:v>
                </c:pt>
                <c:pt idx="3">
                  <c:v>952</c:v>
                </c:pt>
                <c:pt idx="4">
                  <c:v>1867.3</c:v>
                </c:pt>
              </c:numCache>
            </c:numRef>
          </c:val>
        </c:ser>
        <c:ser>
          <c:idx val="1"/>
          <c:order val="1"/>
          <c:tx>
            <c:strRef>
              <c:f>Лист3!$A$3</c:f>
              <c:strCache>
                <c:ptCount val="1"/>
                <c:pt idx="0">
                  <c:v>Обсяг введенного житла, тис.кв.м</c:v>
                </c:pt>
              </c:strCache>
            </c:strRef>
          </c:tx>
          <c:spPr>
            <a:ln w="38100"/>
          </c:spPr>
          <c:marker>
            <c:symbol val="square"/>
            <c:size val="7"/>
          </c:marker>
          <c:dLbls>
            <c:numFmt formatCode="0.0" sourceLinked="0"/>
            <c:txPr>
              <a:bodyPr/>
              <a:lstStyle/>
              <a:p>
                <a:pPr>
                  <a:defRPr b="1">
                    <a:latin typeface="Times New Roman" pitchFamily="18" charset="0"/>
                    <a:cs typeface="Times New Roman" pitchFamily="18" charset="0"/>
                  </a:defRPr>
                </a:pPr>
                <a:endParaRPr lang="ru-RU"/>
              </a:p>
            </c:txPr>
            <c:dLblPos val="t"/>
            <c:showVal val="1"/>
          </c:dLbls>
          <c:cat>
            <c:numRef>
              <c:f>Лист3!$B$1:$F$1</c:f>
              <c:numCache>
                <c:formatCode>General</c:formatCode>
                <c:ptCount val="5"/>
                <c:pt idx="0">
                  <c:v>2008</c:v>
                </c:pt>
                <c:pt idx="1">
                  <c:v>2009</c:v>
                </c:pt>
                <c:pt idx="2">
                  <c:v>2010</c:v>
                </c:pt>
                <c:pt idx="3">
                  <c:v>2011</c:v>
                </c:pt>
                <c:pt idx="4">
                  <c:v>2012</c:v>
                </c:pt>
              </c:numCache>
            </c:numRef>
          </c:cat>
          <c:val>
            <c:numRef>
              <c:f>Лист3!$B$3:$F$3</c:f>
              <c:numCache>
                <c:formatCode>General</c:formatCode>
                <c:ptCount val="5"/>
                <c:pt idx="0">
                  <c:v>437.4</c:v>
                </c:pt>
                <c:pt idx="1">
                  <c:v>173</c:v>
                </c:pt>
                <c:pt idx="2">
                  <c:v>293.10000000000002</c:v>
                </c:pt>
                <c:pt idx="3">
                  <c:v>289.10000000000002</c:v>
                </c:pt>
                <c:pt idx="4">
                  <c:v>345.8</c:v>
                </c:pt>
              </c:numCache>
            </c:numRef>
          </c:val>
        </c:ser>
        <c:dLbls>
          <c:showVal val="1"/>
        </c:dLbls>
        <c:marker val="1"/>
        <c:axId val="191553536"/>
        <c:axId val="191555072"/>
      </c:lineChart>
      <c:catAx>
        <c:axId val="191553536"/>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91555072"/>
        <c:crosses val="autoZero"/>
        <c:auto val="1"/>
        <c:lblAlgn val="ctr"/>
        <c:lblOffset val="100"/>
        <c:tickLblSkip val="1"/>
        <c:tickMarkSkip val="1"/>
      </c:catAx>
      <c:valAx>
        <c:axId val="191555072"/>
        <c:scaling>
          <c:orientation val="minMax"/>
        </c:scaling>
        <c:delete val="1"/>
        <c:axPos val="l"/>
        <c:numFmt formatCode="General" sourceLinked="1"/>
        <c:tickLblPos val="nextTo"/>
        <c:crossAx val="191553536"/>
        <c:crosses val="autoZero"/>
        <c:crossBetween val="between"/>
      </c:valAx>
    </c:plotArea>
    <c:legend>
      <c:legendPos val="r"/>
      <c:layout>
        <c:manualLayout>
          <c:xMode val="edge"/>
          <c:yMode val="edge"/>
          <c:x val="1.5706834114090181E-2"/>
          <c:y val="0.77814031673014306"/>
          <c:w val="0.98167540449855972"/>
          <c:h val="0.19244743283495999"/>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7245391903866694E-2"/>
          <c:y val="2.2598870056497182E-2"/>
          <c:w val="0.90883760637186783"/>
          <c:h val="0.48094380693881861"/>
        </c:manualLayout>
      </c:layout>
      <c:barChart>
        <c:barDir val="col"/>
        <c:grouping val="clustered"/>
        <c:ser>
          <c:idx val="0"/>
          <c:order val="0"/>
          <c:tx>
            <c:strRef>
              <c:f>Лист1!$A$2</c:f>
              <c:strCache>
                <c:ptCount val="1"/>
                <c:pt idx="0">
                  <c:v>Чисельність населення, зайнятого економічною діяльністю, тис.чол.</c:v>
                </c:pt>
              </c:strCache>
            </c:strRef>
          </c:tx>
          <c:spPr>
            <a:solidFill>
              <a:srgbClr val="FFC000"/>
            </a:solidFill>
            <a:ln>
              <a:solidFill>
                <a:schemeClr val="tx1">
                  <a:lumMod val="75000"/>
                  <a:lumOff val="25000"/>
                </a:schemeClr>
              </a:solidFill>
            </a:ln>
            <a:effectLst>
              <a:outerShdw blurRad="50800" dist="38100" algn="l" rotWithShape="0">
                <a:prstClr val="black">
                  <a:alpha val="40000"/>
                </a:prstClr>
              </a:outerShdw>
            </a:effectLst>
          </c:spPr>
          <c:dLbls>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Лист1!$B$1:$E$1</c:f>
              <c:strCache>
                <c:ptCount val="4"/>
                <c:pt idx="0">
                  <c:v>2009</c:v>
                </c:pt>
                <c:pt idx="1">
                  <c:v>2010</c:v>
                </c:pt>
                <c:pt idx="2">
                  <c:v>2011</c:v>
                </c:pt>
                <c:pt idx="3">
                  <c:v>2012 очік.</c:v>
                </c:pt>
              </c:strCache>
            </c:strRef>
          </c:cat>
          <c:val>
            <c:numRef>
              <c:f>Лист1!$B$2:$E$2</c:f>
              <c:numCache>
                <c:formatCode>0.0</c:formatCode>
                <c:ptCount val="4"/>
                <c:pt idx="0">
                  <c:v>1981.3</c:v>
                </c:pt>
                <c:pt idx="1">
                  <c:v>1983.7</c:v>
                </c:pt>
                <c:pt idx="2">
                  <c:v>1995.4</c:v>
                </c:pt>
                <c:pt idx="3">
                  <c:v>1997</c:v>
                </c:pt>
              </c:numCache>
            </c:numRef>
          </c:val>
        </c:ser>
        <c:ser>
          <c:idx val="1"/>
          <c:order val="1"/>
          <c:tx>
            <c:strRef>
              <c:f>Лист1!$A$3</c:f>
              <c:strCache>
                <c:ptCount val="1"/>
                <c:pt idx="0">
                  <c:v>Чисельність безробітного населення, тис.чол.</c:v>
                </c:pt>
              </c:strCache>
            </c:strRef>
          </c:tx>
          <c:spPr>
            <a:solidFill>
              <a:srgbClr val="205766"/>
            </a:solidFill>
          </c:spPr>
          <c:dLbls>
            <c:dLbl>
              <c:idx val="0"/>
              <c:layout>
                <c:manualLayout>
                  <c:x val="9.9002104934902968E-3"/>
                  <c:y val="2.1248339973439601E-2"/>
                </c:manualLayout>
              </c:layout>
              <c:tx>
                <c:rich>
                  <a:bodyPr/>
                  <a:lstStyle/>
                  <a:p>
                    <a:r>
                      <a:rPr lang="uk-UA"/>
                      <a:t>205,6</a:t>
                    </a:r>
                    <a:endParaRPr lang="en-US"/>
                  </a:p>
                </c:rich>
              </c:tx>
              <c:dLblPos val="outEnd"/>
            </c:dLbl>
            <c:dLbl>
              <c:idx val="1"/>
              <c:layout>
                <c:manualLayout>
                  <c:x val="9.9002104934902968E-3"/>
                  <c:y val="1.5936254980079678E-2"/>
                </c:manualLayout>
              </c:layout>
              <c:tx>
                <c:rich>
                  <a:bodyPr/>
                  <a:lstStyle/>
                  <a:p>
                    <a:r>
                      <a:rPr lang="uk-UA"/>
                      <a:t>182,9</a:t>
                    </a:r>
                    <a:endParaRPr lang="en-US"/>
                  </a:p>
                </c:rich>
              </c:tx>
              <c:dLblPos val="outEnd"/>
            </c:dLbl>
            <c:dLbl>
              <c:idx val="2"/>
              <c:layout>
                <c:manualLayout>
                  <c:x val="9.9002104934902968E-3"/>
                  <c:y val="1.5936254980079678E-2"/>
                </c:manualLayout>
              </c:layout>
              <c:tx>
                <c:rich>
                  <a:bodyPr/>
                  <a:lstStyle/>
                  <a:p>
                    <a:r>
                      <a:rPr lang="uk-UA"/>
                      <a:t>177,7</a:t>
                    </a:r>
                    <a:endParaRPr lang="en-US"/>
                  </a:p>
                </c:rich>
              </c:tx>
              <c:dLblPos val="outEnd"/>
            </c:dLbl>
            <c:dLbl>
              <c:idx val="3"/>
              <c:layout>
                <c:manualLayout>
                  <c:x val="1.6501650165017222E-2"/>
                  <c:y val="1.5936254980079678E-2"/>
                </c:manualLayout>
              </c:layout>
              <c:tx>
                <c:rich>
                  <a:bodyPr/>
                  <a:lstStyle/>
                  <a:p>
                    <a:r>
                      <a:rPr lang="ru-RU"/>
                      <a:t>174,0</a:t>
                    </a:r>
                    <a:endParaRPr lang="en-US"/>
                  </a:p>
                </c:rich>
              </c:tx>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Лист1!$B$1:$E$1</c:f>
              <c:strCache>
                <c:ptCount val="4"/>
                <c:pt idx="0">
                  <c:v>2009</c:v>
                </c:pt>
                <c:pt idx="1">
                  <c:v>2010</c:v>
                </c:pt>
                <c:pt idx="2">
                  <c:v>2011</c:v>
                </c:pt>
                <c:pt idx="3">
                  <c:v>2012 очік.</c:v>
                </c:pt>
              </c:strCache>
            </c:strRef>
          </c:cat>
          <c:val>
            <c:numRef>
              <c:f>Лист1!$B$3:$E$3</c:f>
              <c:numCache>
                <c:formatCode>General</c:formatCode>
                <c:ptCount val="4"/>
                <c:pt idx="0">
                  <c:v>616.79999999999995</c:v>
                </c:pt>
                <c:pt idx="1">
                  <c:v>591</c:v>
                </c:pt>
                <c:pt idx="2">
                  <c:v>585</c:v>
                </c:pt>
                <c:pt idx="3">
                  <c:v>580</c:v>
                </c:pt>
              </c:numCache>
            </c:numRef>
          </c:val>
        </c:ser>
        <c:axId val="166738944"/>
        <c:axId val="166744832"/>
      </c:barChart>
      <c:lineChart>
        <c:grouping val="standard"/>
        <c:ser>
          <c:idx val="2"/>
          <c:order val="2"/>
          <c:tx>
            <c:strRef>
              <c:f>Лист1!$A$4</c:f>
              <c:strCache>
                <c:ptCount val="1"/>
                <c:pt idx="0">
                  <c:v>Рівень безробіття, у % до економічно активного населення</c:v>
                </c:pt>
              </c:strCache>
            </c:strRef>
          </c:tx>
          <c:spPr>
            <a:ln w="44450"/>
          </c:spPr>
          <c:marker>
            <c:symbol val="circle"/>
            <c:size val="27"/>
            <c:spPr>
              <a:solidFill>
                <a:schemeClr val="bg1"/>
              </a:solidFill>
            </c:spPr>
          </c:marker>
          <c:dLbls>
            <c:dLbl>
              <c:idx val="1"/>
              <c:layout>
                <c:manualLayout>
                  <c:x val="-3.3003300330033012E-3"/>
                  <c:y val="-1.5936254980079678E-2"/>
                </c:manualLayout>
              </c:layout>
              <c:dLblPos val="ctr"/>
              <c:showVal val="1"/>
            </c:dLbl>
            <c:numFmt formatCode="#,##0.0" sourceLinked="0"/>
            <c:txPr>
              <a:bodyPr/>
              <a:lstStyle/>
              <a:p>
                <a:pPr>
                  <a:defRPr b="1">
                    <a:latin typeface="Times New Roman" pitchFamily="18" charset="0"/>
                    <a:cs typeface="Times New Roman" pitchFamily="18" charset="0"/>
                  </a:defRPr>
                </a:pPr>
                <a:endParaRPr lang="ru-RU"/>
              </a:p>
            </c:txPr>
            <c:dLblPos val="ctr"/>
            <c:showVal val="1"/>
          </c:dLbls>
          <c:cat>
            <c:strRef>
              <c:f>Лист1!$B$1:$E$1</c:f>
              <c:strCache>
                <c:ptCount val="4"/>
                <c:pt idx="0">
                  <c:v>2009</c:v>
                </c:pt>
                <c:pt idx="1">
                  <c:v>2010</c:v>
                </c:pt>
                <c:pt idx="2">
                  <c:v>2011</c:v>
                </c:pt>
                <c:pt idx="3">
                  <c:v>2012 очік.</c:v>
                </c:pt>
              </c:strCache>
            </c:strRef>
          </c:cat>
          <c:val>
            <c:numRef>
              <c:f>Лист1!$B$4:$E$4</c:f>
              <c:numCache>
                <c:formatCode>0.0</c:formatCode>
                <c:ptCount val="4"/>
                <c:pt idx="0" formatCode="General">
                  <c:v>9.4</c:v>
                </c:pt>
                <c:pt idx="1">
                  <c:v>8.4</c:v>
                </c:pt>
                <c:pt idx="2">
                  <c:v>8.2000000000000011</c:v>
                </c:pt>
                <c:pt idx="3" formatCode="General">
                  <c:v>8</c:v>
                </c:pt>
              </c:numCache>
            </c:numRef>
          </c:val>
        </c:ser>
        <c:marker val="1"/>
        <c:axId val="166746368"/>
        <c:axId val="166760448"/>
      </c:lineChart>
      <c:catAx>
        <c:axId val="16673894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66744832"/>
        <c:crosses val="autoZero"/>
        <c:auto val="1"/>
        <c:lblAlgn val="ctr"/>
        <c:lblOffset val="100"/>
      </c:catAx>
      <c:valAx>
        <c:axId val="166744832"/>
        <c:scaling>
          <c:orientation val="minMax"/>
        </c:scaling>
        <c:axPos val="l"/>
        <c:numFmt formatCode="0.0" sourceLinked="1"/>
        <c:tickLblPos val="nextTo"/>
        <c:spPr>
          <a:ln>
            <a:noFill/>
          </a:ln>
        </c:spPr>
        <c:txPr>
          <a:bodyPr/>
          <a:lstStyle/>
          <a:p>
            <a:pPr>
              <a:defRPr sz="100">
                <a:solidFill>
                  <a:schemeClr val="bg1"/>
                </a:solidFill>
              </a:defRPr>
            </a:pPr>
            <a:endParaRPr lang="ru-RU"/>
          </a:p>
        </c:txPr>
        <c:crossAx val="166738944"/>
        <c:crosses val="autoZero"/>
        <c:crossBetween val="between"/>
      </c:valAx>
      <c:catAx>
        <c:axId val="166746368"/>
        <c:scaling>
          <c:orientation val="minMax"/>
        </c:scaling>
        <c:delete val="1"/>
        <c:axPos val="b"/>
        <c:tickLblPos val="nextTo"/>
        <c:crossAx val="166760448"/>
        <c:crosses val="autoZero"/>
        <c:auto val="1"/>
        <c:lblAlgn val="ctr"/>
        <c:lblOffset val="100"/>
      </c:catAx>
      <c:valAx>
        <c:axId val="166760448"/>
        <c:scaling>
          <c:orientation val="minMax"/>
          <c:max val="16"/>
          <c:min val="0"/>
        </c:scaling>
        <c:axPos val="r"/>
        <c:numFmt formatCode="General" sourceLinked="1"/>
        <c:tickLblPos val="nextTo"/>
        <c:spPr>
          <a:ln>
            <a:noFill/>
          </a:ln>
        </c:spPr>
        <c:txPr>
          <a:bodyPr/>
          <a:lstStyle/>
          <a:p>
            <a:pPr>
              <a:defRPr sz="100">
                <a:solidFill>
                  <a:schemeClr val="bg1"/>
                </a:solidFill>
              </a:defRPr>
            </a:pPr>
            <a:endParaRPr lang="ru-RU"/>
          </a:p>
        </c:txPr>
        <c:crossAx val="166746368"/>
        <c:crosses val="max"/>
        <c:crossBetween val="between"/>
      </c:valAx>
      <c:spPr>
        <a:noFill/>
        <a:ln w="25377">
          <a:noFill/>
        </a:ln>
      </c:spPr>
    </c:plotArea>
    <c:legend>
      <c:legendPos val="r"/>
      <c:layout>
        <c:manualLayout>
          <c:xMode val="edge"/>
          <c:yMode val="edge"/>
          <c:x val="0"/>
          <c:y val="0.6306557687893577"/>
          <c:w val="0.98104960230225069"/>
          <c:h val="0.36934425029541257"/>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plotArea>
      <c:layout>
        <c:manualLayout>
          <c:layoutTarget val="inner"/>
          <c:xMode val="edge"/>
          <c:yMode val="edge"/>
          <c:x val="3.6797088683881152E-2"/>
          <c:y val="0"/>
          <c:w val="0.9264058226322377"/>
          <c:h val="0.64020552239661765"/>
        </c:manualLayout>
      </c:layout>
      <c:barChart>
        <c:barDir val="col"/>
        <c:grouping val="clustered"/>
        <c:ser>
          <c:idx val="0"/>
          <c:order val="0"/>
          <c:tx>
            <c:strRef>
              <c:f>Лист1!$A$2</c:f>
              <c:strCache>
                <c:ptCount val="1"/>
                <c:pt idx="0">
                  <c:v>Обсяг прямих іноземних інвестицій на початок року</c:v>
                </c:pt>
              </c:strCache>
            </c:strRef>
          </c:tx>
          <c:dLbls>
            <c:txPr>
              <a:bodyPr/>
              <a:lstStyle/>
              <a:p>
                <a:pPr>
                  <a:defRPr b="1">
                    <a:latin typeface="Times New Roman" pitchFamily="18" charset="0"/>
                    <a:cs typeface="Times New Roman" pitchFamily="18" charset="0"/>
                  </a:defRPr>
                </a:pPr>
                <a:endParaRPr lang="ru-RU"/>
              </a:p>
            </c:txPr>
            <c:dLblPos val="outEnd"/>
            <c:showVal val="1"/>
          </c:dLbls>
          <c:cat>
            <c:numRef>
              <c:f>Лист1!$B$1:$F$1</c:f>
              <c:numCache>
                <c:formatCode>General</c:formatCode>
                <c:ptCount val="5"/>
                <c:pt idx="0">
                  <c:v>2009</c:v>
                </c:pt>
                <c:pt idx="1">
                  <c:v>2010</c:v>
                </c:pt>
                <c:pt idx="2">
                  <c:v>2011</c:v>
                </c:pt>
                <c:pt idx="3">
                  <c:v>2012</c:v>
                </c:pt>
                <c:pt idx="4">
                  <c:v>2013</c:v>
                </c:pt>
              </c:numCache>
            </c:numRef>
          </c:cat>
          <c:val>
            <c:numRef>
              <c:f>Лист1!$B$2:$F$2</c:f>
              <c:numCache>
                <c:formatCode>0.0</c:formatCode>
                <c:ptCount val="5"/>
                <c:pt idx="0">
                  <c:v>1529</c:v>
                </c:pt>
                <c:pt idx="1">
                  <c:v>1636.8</c:v>
                </c:pt>
                <c:pt idx="2" formatCode="General">
                  <c:v>2278.1999999999998</c:v>
                </c:pt>
                <c:pt idx="3" formatCode="General">
                  <c:v>2646.9</c:v>
                </c:pt>
                <c:pt idx="4">
                  <c:v>2981.5</c:v>
                </c:pt>
              </c:numCache>
            </c:numRef>
          </c:val>
        </c:ser>
        <c:dLbls>
          <c:showVal val="1"/>
        </c:dLbls>
        <c:gapWidth val="98"/>
        <c:axId val="192045056"/>
        <c:axId val="192046592"/>
      </c:barChart>
      <c:lineChart>
        <c:grouping val="standard"/>
        <c:ser>
          <c:idx val="1"/>
          <c:order val="1"/>
          <c:tx>
            <c:strRef>
              <c:f>Лист1!$A$3</c:f>
              <c:strCache>
                <c:ptCount val="1"/>
                <c:pt idx="0">
                  <c:v>на кінець року</c:v>
                </c:pt>
              </c:strCache>
            </c:strRef>
          </c:tx>
          <c:spPr>
            <a:ln w="31750">
              <a:solidFill>
                <a:srgbClr val="C00000"/>
              </a:solidFill>
            </a:ln>
          </c:spPr>
          <c:marker>
            <c:symbol val="square"/>
            <c:size val="9"/>
            <c:spPr>
              <a:solidFill>
                <a:srgbClr val="C00000"/>
              </a:solidFill>
            </c:spPr>
          </c:marker>
          <c:dLbls>
            <c:dLbl>
              <c:idx val="0"/>
              <c:layout>
                <c:manualLayout>
                  <c:x val="-7.3677423778156337E-2"/>
                  <c:y val="6.2037798532680904E-2"/>
                </c:manualLayout>
              </c:layout>
              <c:dLblPos val="r"/>
              <c:showVal val="1"/>
            </c:dLbl>
            <c:dLbl>
              <c:idx val="3"/>
              <c:tx>
                <c:rich>
                  <a:bodyPr/>
                  <a:lstStyle/>
                  <a:p>
                    <a:r>
                      <a:rPr lang="en-US"/>
                      <a:t>425</a:t>
                    </a:r>
                  </a:p>
                </c:rich>
              </c:tx>
              <c:dLblPos val="t"/>
            </c:dLbl>
            <c:dLbl>
              <c:idx val="4"/>
              <c:tx>
                <c:rich>
                  <a:bodyPr/>
                  <a:lstStyle/>
                  <a:p>
                    <a:r>
                      <a:rPr lang="en-US"/>
                      <a:t>250</a:t>
                    </a:r>
                  </a:p>
                </c:rich>
              </c:tx>
              <c:dLblPos val="t"/>
            </c:dLbl>
            <c:numFmt formatCode="#,##0" sourceLinked="0"/>
            <c:txPr>
              <a:bodyPr/>
              <a:lstStyle/>
              <a:p>
                <a:pPr>
                  <a:defRPr b="1">
                    <a:solidFill>
                      <a:schemeClr val="bg1"/>
                    </a:solidFill>
                    <a:latin typeface="Times New Roman" pitchFamily="18" charset="0"/>
                    <a:cs typeface="Times New Roman" pitchFamily="18" charset="0"/>
                  </a:defRPr>
                </a:pPr>
                <a:endParaRPr lang="ru-RU"/>
              </a:p>
            </c:txPr>
            <c:dLblPos val="t"/>
            <c:showVal val="1"/>
          </c:dLbls>
          <c:cat>
            <c:numRef>
              <c:f>Лист1!$B$1:$F$1</c:f>
              <c:numCache>
                <c:formatCode>General</c:formatCode>
                <c:ptCount val="5"/>
                <c:pt idx="0">
                  <c:v>2009</c:v>
                </c:pt>
                <c:pt idx="1">
                  <c:v>2010</c:v>
                </c:pt>
                <c:pt idx="2">
                  <c:v>2011</c:v>
                </c:pt>
                <c:pt idx="3">
                  <c:v>2012</c:v>
                </c:pt>
                <c:pt idx="4">
                  <c:v>2013</c:v>
                </c:pt>
              </c:numCache>
            </c:numRef>
          </c:cat>
          <c:val>
            <c:numRef>
              <c:f>Лист1!$B$3:$F$3</c:f>
              <c:numCache>
                <c:formatCode>General</c:formatCode>
                <c:ptCount val="5"/>
              </c:numCache>
            </c:numRef>
          </c:val>
        </c:ser>
        <c:ser>
          <c:idx val="2"/>
          <c:order val="2"/>
          <c:tx>
            <c:strRef>
              <c:f>Лист1!$A$4</c:f>
              <c:strCache>
                <c:ptCount val="1"/>
                <c:pt idx="0">
                  <c:v>Приріст за відповідний рік</c:v>
                </c:pt>
              </c:strCache>
            </c:strRef>
          </c:tx>
          <c:spPr>
            <a:ln w="38100">
              <a:solidFill>
                <a:srgbClr val="C00000"/>
              </a:solidFill>
            </a:ln>
          </c:spPr>
          <c:marker>
            <c:symbol val="triangle"/>
            <c:size val="8"/>
            <c:spPr>
              <a:solidFill>
                <a:sysClr val="window" lastClr="FFFFFF"/>
              </a:solidFill>
              <a:ln>
                <a:solidFill>
                  <a:srgbClr val="C00000"/>
                </a:solidFill>
              </a:ln>
            </c:spPr>
          </c:marker>
          <c:dLbls>
            <c:dLbl>
              <c:idx val="0"/>
              <c:layout>
                <c:manualLayout>
                  <c:x val="7.8853046594982074E-2"/>
                  <c:y val="-0.10884353741496598"/>
                </c:manualLayout>
              </c:layout>
              <c:dLblPos val="l"/>
              <c:showVal val="1"/>
            </c:dLbl>
            <c:dLbl>
              <c:idx val="1"/>
              <c:layout>
                <c:manualLayout>
                  <c:x val="8.2437275985663097E-2"/>
                  <c:y val="-6.1224489795918373E-2"/>
                </c:manualLayout>
              </c:layout>
              <c:dLblPos val="l"/>
              <c:showVal val="1"/>
            </c:dLbl>
            <c:dLbl>
              <c:idx val="2"/>
              <c:layout>
                <c:manualLayout>
                  <c:x val="7.5268817204301161E-2"/>
                  <c:y val="-8.8435374149664653E-2"/>
                </c:manualLayout>
              </c:layout>
              <c:dLblPos val="l"/>
              <c:showVal val="1"/>
            </c:dLbl>
            <c:dLbl>
              <c:idx val="3"/>
              <c:layout>
                <c:manualLayout>
                  <c:x val="8.2437275985663097E-2"/>
                  <c:y val="-8.1632653061224497E-2"/>
                </c:manualLayout>
              </c:layout>
              <c:dLblPos val="l"/>
              <c:showVal val="1"/>
            </c:dLbl>
            <c:txPr>
              <a:bodyPr/>
              <a:lstStyle/>
              <a:p>
                <a:pPr>
                  <a:defRPr b="1">
                    <a:solidFill>
                      <a:schemeClr val="bg1"/>
                    </a:solidFill>
                    <a:latin typeface="Times New Roman" pitchFamily="18" charset="0"/>
                    <a:cs typeface="Times New Roman" pitchFamily="18" charset="0"/>
                  </a:defRPr>
                </a:pPr>
                <a:endParaRPr lang="ru-RU"/>
              </a:p>
            </c:txPr>
            <c:dLblPos val="l"/>
            <c:showVal val="1"/>
          </c:dLbls>
          <c:cat>
            <c:numRef>
              <c:f>Лист1!$B$1:$F$1</c:f>
              <c:numCache>
                <c:formatCode>General</c:formatCode>
                <c:ptCount val="5"/>
                <c:pt idx="0">
                  <c:v>2009</c:v>
                </c:pt>
                <c:pt idx="1">
                  <c:v>2010</c:v>
                </c:pt>
                <c:pt idx="2">
                  <c:v>2011</c:v>
                </c:pt>
                <c:pt idx="3">
                  <c:v>2012</c:v>
                </c:pt>
                <c:pt idx="4">
                  <c:v>2013</c:v>
                </c:pt>
              </c:numCache>
            </c:numRef>
          </c:cat>
          <c:val>
            <c:numRef>
              <c:f>Лист1!$B$4:$F$4</c:f>
              <c:numCache>
                <c:formatCode>0.0</c:formatCode>
                <c:ptCount val="5"/>
                <c:pt idx="0">
                  <c:v>107.8</c:v>
                </c:pt>
                <c:pt idx="1">
                  <c:v>641.4</c:v>
                </c:pt>
                <c:pt idx="2">
                  <c:v>368.7</c:v>
                </c:pt>
                <c:pt idx="3">
                  <c:v>334.6</c:v>
                </c:pt>
              </c:numCache>
            </c:numRef>
          </c:val>
        </c:ser>
        <c:dLbls>
          <c:showVal val="1"/>
        </c:dLbls>
        <c:marker val="1"/>
        <c:axId val="192045056"/>
        <c:axId val="192046592"/>
      </c:lineChart>
      <c:catAx>
        <c:axId val="192045056"/>
        <c:scaling>
          <c:orientation val="minMax"/>
        </c:scaling>
        <c:axPos val="b"/>
        <c:numFmt formatCode="General" sourceLinked="1"/>
        <c:tickLblPos val="low"/>
        <c:txPr>
          <a:bodyPr rot="0" vert="horz"/>
          <a:lstStyle/>
          <a:p>
            <a:pPr>
              <a:defRPr sz="1000">
                <a:latin typeface="Times New Roman" pitchFamily="18" charset="0"/>
                <a:cs typeface="Times New Roman" pitchFamily="18" charset="0"/>
              </a:defRPr>
            </a:pPr>
            <a:endParaRPr lang="ru-RU"/>
          </a:p>
        </c:txPr>
        <c:crossAx val="192046592"/>
        <c:crosses val="autoZero"/>
        <c:auto val="1"/>
        <c:lblAlgn val="ctr"/>
        <c:lblOffset val="100"/>
        <c:tickLblSkip val="1"/>
        <c:tickMarkSkip val="1"/>
      </c:catAx>
      <c:valAx>
        <c:axId val="192046592"/>
        <c:scaling>
          <c:orientation val="minMax"/>
          <c:max val="3500"/>
        </c:scaling>
        <c:axPos val="l"/>
        <c:numFmt formatCode="0.0" sourceLinked="1"/>
        <c:tickLblPos val="nextTo"/>
        <c:spPr>
          <a:ln>
            <a:noFill/>
          </a:ln>
        </c:spPr>
        <c:txPr>
          <a:bodyPr/>
          <a:lstStyle/>
          <a:p>
            <a:pPr>
              <a:defRPr sz="100">
                <a:solidFill>
                  <a:schemeClr val="bg1"/>
                </a:solidFill>
              </a:defRPr>
            </a:pPr>
            <a:endParaRPr lang="ru-RU"/>
          </a:p>
        </c:txPr>
        <c:crossAx val="192045056"/>
        <c:crosses val="autoZero"/>
        <c:crossBetween val="between"/>
      </c:valAx>
    </c:plotArea>
    <c:legend>
      <c:legendPos val="b"/>
      <c:legendEntry>
        <c:idx val="1"/>
        <c:delete val="1"/>
      </c:legendEntry>
      <c:layout>
        <c:manualLayout>
          <c:xMode val="edge"/>
          <c:yMode val="edge"/>
          <c:x val="0"/>
          <c:y val="0.81227183558576965"/>
          <c:w val="1"/>
          <c:h val="0.18772816441424364"/>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3.653271911823E-2"/>
          <c:y val="0"/>
          <c:w val="0.92693457323148465"/>
          <c:h val="0.60788403652192136"/>
        </c:manualLayout>
      </c:layout>
      <c:barChart>
        <c:barDir val="col"/>
        <c:grouping val="clustered"/>
        <c:ser>
          <c:idx val="0"/>
          <c:order val="0"/>
          <c:tx>
            <c:strRef>
              <c:f>Лист1!$A$2</c:f>
              <c:strCache>
                <c:ptCount val="1"/>
                <c:pt idx="0">
                  <c:v>Об'єднання співвласників багатоквартирних будинків, од.</c:v>
                </c:pt>
              </c:strCache>
            </c:strRef>
          </c:tx>
          <c:spPr>
            <a:solidFill>
              <a:srgbClr val="92B1D6"/>
            </a:solidFill>
            <a:ln>
              <a:solidFill>
                <a:schemeClr val="tx1">
                  <a:lumMod val="75000"/>
                  <a:lumOff val="25000"/>
                </a:schemeClr>
              </a:solidFill>
            </a:ln>
          </c:spPr>
          <c:dLbls>
            <c:dLbl>
              <c:idx val="0"/>
              <c:layout>
                <c:manualLayout>
                  <c:x val="0.74441661293579064"/>
                  <c:y val="-0.15007215007215041"/>
                </c:manualLayout>
              </c:layout>
              <c:tx>
                <c:rich>
                  <a:bodyPr/>
                  <a:lstStyle/>
                  <a:p>
                    <a:r>
                      <a:rPr lang="ru-RU" b="1">
                        <a:latin typeface="Times New Roman" pitchFamily="18" charset="0"/>
                        <a:cs typeface="Times New Roman" pitchFamily="18" charset="0"/>
                      </a:rPr>
                      <a:t>2636</a:t>
                    </a:r>
                    <a:endParaRPr lang="en-US" b="1">
                      <a:latin typeface="Times New Roman" pitchFamily="18" charset="0"/>
                      <a:cs typeface="Times New Roman" pitchFamily="18" charset="0"/>
                    </a:endParaRPr>
                  </a:p>
                </c:rich>
              </c:tx>
            </c:dLbl>
            <c:dLbl>
              <c:idx val="1"/>
              <c:layout>
                <c:manualLayout>
                  <c:x val="-0.17866004962779194"/>
                  <c:y val="8.0808080808080843E-2"/>
                </c:manualLayout>
              </c:layout>
              <c:tx>
                <c:rich>
                  <a:bodyPr/>
                  <a:lstStyle/>
                  <a:p>
                    <a:r>
                      <a:rPr lang="ru-RU" b="1">
                        <a:latin typeface="Times New Roman" pitchFamily="18" charset="0"/>
                        <a:cs typeface="Times New Roman" pitchFamily="18" charset="0"/>
                      </a:rPr>
                      <a:t>1427</a:t>
                    </a:r>
                    <a:endParaRPr lang="en-US" b="1">
                      <a:latin typeface="Times New Roman" pitchFamily="18" charset="0"/>
                      <a:cs typeface="Times New Roman" pitchFamily="18" charset="0"/>
                    </a:endParaRPr>
                  </a:p>
                </c:rich>
              </c:tx>
            </c:dLbl>
            <c:dLbl>
              <c:idx val="2"/>
              <c:layout>
                <c:manualLayout>
                  <c:x val="-0.18527708850290125"/>
                  <c:y val="3.4632034632034632E-2"/>
                </c:manualLayout>
              </c:layout>
              <c:tx>
                <c:rich>
                  <a:bodyPr/>
                  <a:lstStyle/>
                  <a:p>
                    <a:r>
                      <a:rPr lang="ru-RU" b="1">
                        <a:latin typeface="Times New Roman" pitchFamily="18" charset="0"/>
                        <a:cs typeface="Times New Roman" pitchFamily="18" charset="0"/>
                      </a:rPr>
                      <a:t>1925</a:t>
                    </a:r>
                    <a:endParaRPr lang="en-US" b="1">
                      <a:latin typeface="Times New Roman" pitchFamily="18" charset="0"/>
                      <a:cs typeface="Times New Roman" pitchFamily="18" charset="0"/>
                    </a:endParaRPr>
                  </a:p>
                </c:rich>
              </c:tx>
            </c:dLbl>
            <c:dLbl>
              <c:idx val="3"/>
              <c:layout>
                <c:manualLayout>
                  <c:x val="-0.18527708850290131"/>
                  <c:y val="2.886002886002886E-2"/>
                </c:manualLayout>
              </c:layout>
              <c:tx>
                <c:rich>
                  <a:bodyPr/>
                  <a:lstStyle/>
                  <a:p>
                    <a:r>
                      <a:rPr lang="ru-RU" b="1">
                        <a:latin typeface="Times New Roman" pitchFamily="18" charset="0"/>
                        <a:cs typeface="Times New Roman" pitchFamily="18" charset="0"/>
                      </a:rPr>
                      <a:t>2184</a:t>
                    </a:r>
                    <a:endParaRPr lang="en-US" b="1">
                      <a:latin typeface="Times New Roman" pitchFamily="18" charset="0"/>
                      <a:cs typeface="Times New Roman" pitchFamily="18" charset="0"/>
                    </a:endParaRPr>
                  </a:p>
                </c:rich>
              </c:tx>
            </c:dLbl>
            <c:dLbl>
              <c:idx val="4"/>
              <c:layout>
                <c:manualLayout>
                  <c:x val="-0.18535315839862448"/>
                  <c:y val="2.7351126563725712E-2"/>
                </c:manualLayout>
              </c:layout>
              <c:tx>
                <c:rich>
                  <a:bodyPr/>
                  <a:lstStyle/>
                  <a:p>
                    <a:r>
                      <a:rPr lang="en-US"/>
                      <a:t>2</a:t>
                    </a:r>
                    <a:r>
                      <a:rPr lang="ru-RU"/>
                      <a:t>532</a:t>
                    </a:r>
                    <a:endParaRPr lang="en-US"/>
                  </a:p>
                </c:rich>
              </c:tx>
              <c:dLblPos val="outEnd"/>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c:v>
                </c:pt>
              </c:strCache>
            </c:strRef>
          </c:cat>
          <c:val>
            <c:numRef>
              <c:f>Лист1!$B$2:$F$2</c:f>
              <c:numCache>
                <c:formatCode>General</c:formatCode>
                <c:ptCount val="5"/>
                <c:pt idx="0">
                  <c:v>192.7</c:v>
                </c:pt>
                <c:pt idx="1">
                  <c:v>243.2</c:v>
                </c:pt>
                <c:pt idx="2">
                  <c:v>266.2</c:v>
                </c:pt>
                <c:pt idx="3">
                  <c:v>284</c:v>
                </c:pt>
                <c:pt idx="4">
                  <c:v>293</c:v>
                </c:pt>
              </c:numCache>
            </c:numRef>
          </c:val>
        </c:ser>
        <c:ser>
          <c:idx val="1"/>
          <c:order val="1"/>
          <c:tx>
            <c:strRef>
              <c:f>Лист1!$A$3</c:f>
              <c:strCache>
                <c:ptCount val="1"/>
                <c:pt idx="0">
                  <c:v>Підприємства недержавної форми власності, од.</c:v>
                </c:pt>
              </c:strCache>
            </c:strRef>
          </c:tx>
          <c:dLbls>
            <c:dLbl>
              <c:idx val="1"/>
              <c:layout>
                <c:manualLayout>
                  <c:x val="1.6542597187758561E-2"/>
                  <c:y val="0"/>
                </c:manualLayout>
              </c:layout>
              <c:showVal val="1"/>
            </c:dLbl>
            <c:dLbl>
              <c:idx val="2"/>
              <c:layout>
                <c:manualLayout>
                  <c:x val="1.3245033112582861E-2"/>
                  <c:y val="0"/>
                </c:manualLayout>
              </c:layout>
              <c:dLblPos val="outEnd"/>
              <c:showVal val="1"/>
            </c:dLbl>
            <c:dLbl>
              <c:idx val="3"/>
              <c:layout>
                <c:manualLayout>
                  <c:x val="1.3245033112582781E-2"/>
                  <c:y val="0"/>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c:v>
                </c:pt>
              </c:strCache>
            </c:strRef>
          </c:cat>
          <c:val>
            <c:numRef>
              <c:f>Лист1!$B$3:$F$3</c:f>
              <c:numCache>
                <c:formatCode>General</c:formatCode>
                <c:ptCount val="5"/>
                <c:pt idx="0">
                  <c:v>86</c:v>
                </c:pt>
                <c:pt idx="1">
                  <c:v>104</c:v>
                </c:pt>
                <c:pt idx="2">
                  <c:v>101</c:v>
                </c:pt>
                <c:pt idx="3">
                  <c:v>88</c:v>
                </c:pt>
                <c:pt idx="4">
                  <c:v>84</c:v>
                </c:pt>
              </c:numCache>
            </c:numRef>
          </c:val>
        </c:ser>
        <c:ser>
          <c:idx val="2"/>
          <c:order val="2"/>
          <c:tx>
            <c:strRef>
              <c:f>Лист1!$A$4</c:f>
              <c:strCache>
                <c:ptCount val="1"/>
                <c:pt idx="0">
                  <c:v>Служби єдиного замовника з експлуатації житлового фонду, од.</c:v>
                </c:pt>
              </c:strCache>
            </c:strRef>
          </c:tx>
          <c:spPr>
            <a:ln>
              <a:solidFill>
                <a:sysClr val="windowText" lastClr="000000">
                  <a:lumMod val="75000"/>
                  <a:lumOff val="25000"/>
                </a:sysClr>
              </a:solidFill>
            </a:ln>
          </c:spPr>
          <c:dLbls>
            <c:dLbl>
              <c:idx val="0"/>
              <c:layout>
                <c:manualLayout>
                  <c:x val="-9.9077019346100568E-5"/>
                  <c:y val="2.4064532694282777E-2"/>
                </c:manualLayout>
              </c:layout>
              <c:dLblPos val="outEnd"/>
              <c:showVal val="1"/>
            </c:dLbl>
            <c:dLbl>
              <c:idx val="1"/>
              <c:layout>
                <c:manualLayout>
                  <c:x val="6.5135318350106903E-3"/>
                  <c:y val="1.8112803834303321E-2"/>
                </c:manualLayout>
              </c:layout>
              <c:dLblPos val="outEnd"/>
              <c:showVal val="1"/>
            </c:dLbl>
            <c:dLbl>
              <c:idx val="2"/>
              <c:layout>
                <c:manualLayout>
                  <c:x val="3.2220889607342202E-3"/>
                  <c:y val="6.4682471756254134E-3"/>
                </c:manualLayout>
              </c:layout>
              <c:dLblPos val="outEnd"/>
              <c:showVal val="1"/>
            </c:dLbl>
            <c:dLbl>
              <c:idx val="3"/>
              <c:layout>
                <c:manualLayout>
                  <c:x val="3.1923658549304012E-3"/>
                  <c:y val="1.7337812393016089E-2"/>
                </c:manualLayout>
              </c:layout>
              <c:dLblPos val="outEnd"/>
              <c:showVal val="1"/>
            </c:dLbl>
            <c:dLbl>
              <c:idx val="4"/>
              <c:layout>
                <c:manualLayout>
                  <c:x val="1.00338947697763E-2"/>
                  <c:y val="4.9293906196509014E-3"/>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c:v>
                </c:pt>
              </c:strCache>
            </c:strRef>
          </c:cat>
          <c:val>
            <c:numRef>
              <c:f>Лист1!$B$4:$F$4</c:f>
              <c:numCache>
                <c:formatCode>General</c:formatCode>
                <c:ptCount val="5"/>
                <c:pt idx="0">
                  <c:v>34</c:v>
                </c:pt>
                <c:pt idx="1">
                  <c:v>34</c:v>
                </c:pt>
                <c:pt idx="2">
                  <c:v>30</c:v>
                </c:pt>
                <c:pt idx="3">
                  <c:v>31</c:v>
                </c:pt>
                <c:pt idx="4">
                  <c:v>30</c:v>
                </c:pt>
              </c:numCache>
            </c:numRef>
          </c:val>
        </c:ser>
        <c:dLbls>
          <c:showVal val="1"/>
        </c:dLbls>
        <c:gapWidth val="106"/>
        <c:axId val="192180224"/>
        <c:axId val="192181760"/>
      </c:barChart>
      <c:catAx>
        <c:axId val="19218022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92181760"/>
        <c:crosses val="autoZero"/>
        <c:auto val="1"/>
        <c:lblAlgn val="ctr"/>
        <c:lblOffset val="100"/>
      </c:catAx>
      <c:valAx>
        <c:axId val="192181760"/>
        <c:scaling>
          <c:orientation val="minMax"/>
          <c:max val="350"/>
          <c:min val="0"/>
        </c:scaling>
        <c:axPos val="l"/>
        <c:numFmt formatCode="General" sourceLinked="1"/>
        <c:tickLblPos val="nextTo"/>
        <c:spPr>
          <a:ln>
            <a:noFill/>
          </a:ln>
        </c:spPr>
        <c:txPr>
          <a:bodyPr/>
          <a:lstStyle/>
          <a:p>
            <a:pPr>
              <a:defRPr sz="100">
                <a:solidFill>
                  <a:schemeClr val="bg1"/>
                </a:solidFill>
              </a:defRPr>
            </a:pPr>
            <a:endParaRPr lang="ru-RU"/>
          </a:p>
        </c:txPr>
        <c:crossAx val="192180224"/>
        <c:crosses val="autoZero"/>
        <c:crossBetween val="between"/>
      </c:valAx>
      <c:spPr>
        <a:noFill/>
        <a:ln w="25355">
          <a:noFill/>
        </a:ln>
      </c:spPr>
    </c:plotArea>
    <c:legend>
      <c:legendPos val="b"/>
      <c:layout>
        <c:manualLayout>
          <c:xMode val="edge"/>
          <c:yMode val="edge"/>
          <c:x val="0"/>
          <c:y val="0.72981026050160003"/>
          <c:w val="0.99986349034614952"/>
          <c:h val="0.2701897394984218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style val="31"/>
  <c:chart>
    <c:plotArea>
      <c:layout>
        <c:manualLayout>
          <c:layoutTarget val="inner"/>
          <c:xMode val="edge"/>
          <c:yMode val="edge"/>
          <c:x val="1.3518080432578575E-2"/>
          <c:y val="6.3731170336037091E-2"/>
          <c:w val="0.95289800501874156"/>
          <c:h val="0.53957126303592118"/>
        </c:manualLayout>
      </c:layout>
      <c:lineChart>
        <c:grouping val="standard"/>
        <c:ser>
          <c:idx val="0"/>
          <c:order val="0"/>
          <c:tx>
            <c:strRef>
              <c:f>Лист1!$A$2</c:f>
              <c:strCache>
                <c:ptCount val="1"/>
                <c:pt idx="0">
                  <c:v>Рівень втрат води у мережах, %</c:v>
                </c:pt>
              </c:strCache>
            </c:strRef>
          </c:tx>
          <c:spPr>
            <a:ln w="44450">
              <a:solidFill>
                <a:schemeClr val="tx2">
                  <a:lumMod val="75000"/>
                </a:schemeClr>
              </a:solidFill>
            </a:ln>
          </c:spPr>
          <c:marker>
            <c:symbol val="diamond"/>
            <c:size val="11"/>
            <c:spPr>
              <a:solidFill>
                <a:schemeClr val="bg1"/>
              </a:solidFill>
              <a:ln>
                <a:solidFill>
                  <a:schemeClr val="tx2">
                    <a:lumMod val="50000"/>
                  </a:schemeClr>
                </a:solidFill>
              </a:ln>
            </c:spPr>
          </c:marker>
          <c:dLbls>
            <c:dLbl>
              <c:idx val="0"/>
              <c:layout>
                <c:manualLayout>
                  <c:x val="-8.1108482595471598E-2"/>
                  <c:y val="-9.2699884125144849E-2"/>
                </c:manualLayout>
              </c:layout>
              <c:showVal val="1"/>
            </c:dLbl>
            <c:dLbl>
              <c:idx val="1"/>
              <c:layout>
                <c:manualLayout>
                  <c:x val="-9.1247042919905375E-2"/>
                  <c:y val="-8.1112398609501687E-2"/>
                </c:manualLayout>
              </c:layout>
              <c:showVal val="1"/>
            </c:dLbl>
            <c:dLbl>
              <c:idx val="2"/>
              <c:layout>
                <c:manualLayout>
                  <c:x val="-7.0969922271037517E-2"/>
                  <c:y val="-5.2143684820396684E-2"/>
                </c:manualLayout>
              </c:layout>
              <c:showVal val="1"/>
            </c:dLbl>
            <c:dLbl>
              <c:idx val="3"/>
              <c:layout>
                <c:manualLayout>
                  <c:x val="-7.434944237918216E-2"/>
                  <c:y val="-8.690614136732334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Лист1!$B$2:$E$2</c:f>
              <c:numCache>
                <c:formatCode>General</c:formatCode>
                <c:ptCount val="4"/>
                <c:pt idx="0">
                  <c:v>49.2</c:v>
                </c:pt>
                <c:pt idx="1">
                  <c:v>50.5</c:v>
                </c:pt>
                <c:pt idx="2">
                  <c:v>51.4</c:v>
                </c:pt>
                <c:pt idx="3">
                  <c:v>50.3</c:v>
                </c:pt>
              </c:numCache>
            </c:numRef>
          </c:val>
        </c:ser>
        <c:ser>
          <c:idx val="1"/>
          <c:order val="1"/>
          <c:tx>
            <c:strRef>
              <c:f>Лист1!$A$3</c:f>
              <c:strCache>
                <c:ptCount val="1"/>
                <c:pt idx="0">
                  <c:v>Частка застарілих і аварійних водопровідно-каналізаційних мереж, %</c:v>
                </c:pt>
              </c:strCache>
            </c:strRef>
          </c:tx>
          <c:spPr>
            <a:ln w="44450">
              <a:solidFill>
                <a:srgbClr val="F79646">
                  <a:lumMod val="50000"/>
                </a:srgbClr>
              </a:solidFill>
            </a:ln>
          </c:spPr>
          <c:marker>
            <c:symbol val="circle"/>
            <c:size val="9"/>
            <c:spPr>
              <a:ln>
                <a:solidFill>
                  <a:srgbClr val="F79646">
                    <a:lumMod val="50000"/>
                  </a:srgbClr>
                </a:solidFill>
              </a:ln>
            </c:spPr>
          </c:marker>
          <c:dLbls>
            <c:dLbl>
              <c:idx val="0"/>
              <c:layout>
                <c:manualLayout>
                  <c:x val="-5.4072321730314434E-2"/>
                  <c:y val="5.7937427578215933E-2"/>
                </c:manualLayout>
              </c:layout>
              <c:showVal val="1"/>
            </c:dLbl>
            <c:dLbl>
              <c:idx val="1"/>
              <c:layout>
                <c:manualLayout>
                  <c:x val="-5.0692801622169673E-2"/>
                  <c:y val="6.3731170336037091E-2"/>
                </c:manualLayout>
              </c:layout>
              <c:showVal val="1"/>
            </c:dLbl>
            <c:dLbl>
              <c:idx val="2"/>
              <c:layout>
                <c:manualLayout>
                  <c:x val="-5.4072321730314434E-2"/>
                  <c:y val="7.5318655851683319E-2"/>
                </c:manualLayout>
              </c:layout>
              <c:showVal val="1"/>
            </c:dLbl>
            <c:dLbl>
              <c:idx val="3"/>
              <c:layout>
                <c:manualLayout>
                  <c:x val="-6.0831361946604184E-2"/>
                  <c:y val="6.37311703360370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Лист1!$B$3:$E$3</c:f>
              <c:numCache>
                <c:formatCode>General</c:formatCode>
                <c:ptCount val="4"/>
                <c:pt idx="0">
                  <c:v>46.3</c:v>
                </c:pt>
                <c:pt idx="1">
                  <c:v>47.9</c:v>
                </c:pt>
                <c:pt idx="2">
                  <c:v>49.8</c:v>
                </c:pt>
                <c:pt idx="3">
                  <c:v>50.2</c:v>
                </c:pt>
              </c:numCache>
            </c:numRef>
          </c:val>
        </c:ser>
        <c:marker val="1"/>
        <c:axId val="191617280"/>
        <c:axId val="191930368"/>
      </c:lineChart>
      <c:catAx>
        <c:axId val="191617280"/>
        <c:scaling>
          <c:orientation val="minMax"/>
        </c:scaling>
        <c:axPos val="b"/>
        <c:tickLblPos val="nextTo"/>
        <c:txPr>
          <a:bodyPr/>
          <a:lstStyle/>
          <a:p>
            <a:pPr>
              <a:defRPr>
                <a:latin typeface="Times New Roman" pitchFamily="18" charset="0"/>
                <a:cs typeface="Times New Roman" pitchFamily="18" charset="0"/>
              </a:defRPr>
            </a:pPr>
            <a:endParaRPr lang="ru-RU"/>
          </a:p>
        </c:txPr>
        <c:crossAx val="191930368"/>
        <c:crosses val="autoZero"/>
        <c:auto val="1"/>
        <c:lblAlgn val="ctr"/>
        <c:lblOffset val="100"/>
      </c:catAx>
      <c:valAx>
        <c:axId val="191930368"/>
        <c:scaling>
          <c:orientation val="minMax"/>
        </c:scaling>
        <c:delete val="1"/>
        <c:axPos val="l"/>
        <c:numFmt formatCode="General" sourceLinked="1"/>
        <c:tickLblPos val="nextTo"/>
        <c:crossAx val="191617280"/>
        <c:crosses val="autoZero"/>
        <c:crossBetween val="between"/>
      </c:valAx>
      <c:spPr>
        <a:noFill/>
        <a:ln>
          <a:noFill/>
        </a:ln>
      </c:spPr>
    </c:plotArea>
    <c:legend>
      <c:legendPos val="r"/>
      <c:layout>
        <c:manualLayout>
          <c:xMode val="edge"/>
          <c:yMode val="edge"/>
          <c:x val="6.0704696468534824E-2"/>
          <c:y val="0.73278756580688131"/>
          <c:w val="0.89198202201744048"/>
          <c:h val="0.241261484840480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2.6717303423888842E-2"/>
          <c:y val="3.4069521797580197E-3"/>
          <c:w val="0.96092519685042765"/>
          <c:h val="0.75227032494544133"/>
        </c:manualLayout>
      </c:layout>
      <c:barChart>
        <c:barDir val="bar"/>
        <c:grouping val="clustered"/>
        <c:ser>
          <c:idx val="0"/>
          <c:order val="0"/>
          <c:tx>
            <c:strRef>
              <c:f>Лист1!$B$1</c:f>
              <c:strCache>
                <c:ptCount val="1"/>
                <c:pt idx="0">
                  <c:v>Фінансовий результат до оподаткування</c:v>
                </c:pt>
              </c:strCache>
            </c:strRef>
          </c:tx>
          <c:spPr>
            <a:solidFill>
              <a:srgbClr val="22518A"/>
            </a:solidFill>
            <a:scene3d>
              <a:camera prst="orthographicFront"/>
              <a:lightRig rig="threePt" dir="t"/>
            </a:scene3d>
            <a:sp3d>
              <a:bevelT/>
            </a:sp3d>
          </c:spPr>
          <c:dLbls>
            <c:dLbl>
              <c:idx val="0"/>
              <c:layout>
                <c:manualLayout>
                  <c:x val="-0.11744332476575139"/>
                  <c:y val="-4.0133779264214048E-2"/>
                </c:manualLayout>
              </c:layout>
              <c:dLblPos val="outEnd"/>
              <c:showVal val="1"/>
            </c:dLbl>
            <c:dLbl>
              <c:idx val="1"/>
              <c:layout>
                <c:manualLayout>
                  <c:x val="-0.14162240082683974"/>
                  <c:y val="-3.5674470457080019E-2"/>
                </c:manualLayout>
              </c:layout>
              <c:dLblPos val="outEnd"/>
              <c:showVal val="1"/>
            </c:dLbl>
            <c:dLbl>
              <c:idx val="2"/>
              <c:layout>
                <c:manualLayout>
                  <c:x val="-0.12089701222580342"/>
                  <c:y val="-4.0133779264214048E-2"/>
                </c:manualLayout>
              </c:layout>
              <c:dLblPos val="outEnd"/>
              <c:showVal val="1"/>
            </c:dLbl>
            <c:dLbl>
              <c:idx val="3"/>
              <c:layout>
                <c:manualLayout>
                  <c:x val="-2.4179076061088208E-2"/>
                  <c:y val="-4.5827679844520353E-2"/>
                </c:manualLayout>
              </c:layout>
              <c:dLblPos val="outEnd"/>
              <c:showVal val="1"/>
            </c:dLbl>
            <c:dLbl>
              <c:idx val="4"/>
              <c:layout>
                <c:manualLayout>
                  <c:x val="-6.9079188935579974E-3"/>
                  <c:y val="-3.1832456929043046E-2"/>
                </c:manualLayout>
              </c:layout>
              <c:dLblPos val="outEnd"/>
              <c:showVal val="1"/>
            </c:dLbl>
            <c:numFmt formatCode="0.0" sourceLinked="0"/>
            <c:txPr>
              <a:bodyPr/>
              <a:lstStyle/>
              <a:p>
                <a:pPr>
                  <a:defRPr b="1" i="0">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Лист1!$B$2:$B$6</c:f>
              <c:numCache>
                <c:formatCode>General</c:formatCode>
                <c:ptCount val="5"/>
                <c:pt idx="0">
                  <c:v>-865.4</c:v>
                </c:pt>
                <c:pt idx="1">
                  <c:v>-1051.5999999999999</c:v>
                </c:pt>
                <c:pt idx="2">
                  <c:v>-841.4</c:v>
                </c:pt>
                <c:pt idx="3">
                  <c:v>-194.7</c:v>
                </c:pt>
                <c:pt idx="4">
                  <c:v>-43.1</c:v>
                </c:pt>
              </c:numCache>
            </c:numRef>
          </c:val>
        </c:ser>
        <c:ser>
          <c:idx val="1"/>
          <c:order val="1"/>
          <c:tx>
            <c:strRef>
              <c:f>Лист1!$C$1</c:f>
              <c:strCache>
                <c:ptCount val="1"/>
                <c:pt idx="0">
                  <c:v>Дебіторська заборгованість</c:v>
                </c:pt>
              </c:strCache>
            </c:strRef>
          </c:tx>
          <c:spPr>
            <a:solidFill>
              <a:srgbClr val="FF99FF"/>
            </a:solidFill>
            <a:ln>
              <a:solidFill>
                <a:sysClr val="windowText" lastClr="000000">
                  <a:lumMod val="75000"/>
                  <a:lumOff val="25000"/>
                </a:sysClr>
              </a:solidFill>
            </a:ln>
            <a:scene3d>
              <a:camera prst="orthographicFront"/>
              <a:lightRig rig="threePt" dir="t"/>
            </a:scene3d>
            <a:sp3d>
              <a:bevelT/>
            </a:sp3d>
          </c:spPr>
          <c:dLbls>
            <c:dLbl>
              <c:idx val="0"/>
              <c:layout>
                <c:manualLayout>
                  <c:x val="-1.6511867905056762E-2"/>
                  <c:y val="5.8823529411764714E-3"/>
                </c:manualLayout>
              </c:layout>
              <c:dLblPos val="outEnd"/>
              <c:showVal val="1"/>
            </c:dLbl>
            <c:dLbl>
              <c:idx val="1"/>
              <c:layout>
                <c:manualLayout>
                  <c:x val="-1.0362694300518161E-2"/>
                  <c:y val="4.4593088071349114E-3"/>
                </c:manualLayout>
              </c:layout>
              <c:dLblPos val="outEnd"/>
              <c:showVal val="1"/>
            </c:dLbl>
            <c:dLbl>
              <c:idx val="2"/>
              <c:layout>
                <c:manualLayout>
                  <c:x val="-3.4542314335060452E-3"/>
                  <c:y val="2.2296544035674472E-2"/>
                </c:manualLayout>
              </c:layout>
              <c:dLblPos val="outEnd"/>
              <c:showVal val="1"/>
            </c:dLbl>
            <c:dLbl>
              <c:idx val="3"/>
              <c:layout>
                <c:manualLayout>
                  <c:x val="-8.2256945861045247E-3"/>
                  <c:y val="6.0207691429878182E-3"/>
                </c:manualLayout>
              </c:layout>
              <c:dLblPos val="outEnd"/>
              <c:showVal val="1"/>
            </c:dLbl>
            <c:dLbl>
              <c:idx val="4"/>
              <c:layout>
                <c:manualLayout>
                  <c:x val="1.9874070145377868E-3"/>
                  <c:y val="1.4143031452172147E-2"/>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Лист1!$C$2:$C$6</c:f>
              <c:numCache>
                <c:formatCode>0.0</c:formatCode>
                <c:ptCount val="5"/>
                <c:pt idx="0">
                  <c:v>1535.8</c:v>
                </c:pt>
                <c:pt idx="1">
                  <c:v>2157.4</c:v>
                </c:pt>
                <c:pt idx="2" formatCode="General">
                  <c:v>1515.2</c:v>
                </c:pt>
                <c:pt idx="3" formatCode="General">
                  <c:v>1412.1</c:v>
                </c:pt>
                <c:pt idx="4" formatCode="General">
                  <c:v>1181.5999999999999</c:v>
                </c:pt>
              </c:numCache>
            </c:numRef>
          </c:val>
        </c:ser>
        <c:ser>
          <c:idx val="2"/>
          <c:order val="2"/>
          <c:tx>
            <c:strRef>
              <c:f>Лист1!$D$1</c:f>
              <c:strCache>
                <c:ptCount val="1"/>
                <c:pt idx="0">
                  <c:v>Кредиторська заборгованість</c:v>
                </c:pt>
              </c:strCache>
            </c:strRef>
          </c:tx>
          <c:spPr>
            <a:solidFill>
              <a:srgbClr val="006600"/>
            </a:solidFill>
            <a:scene3d>
              <a:camera prst="orthographicFront"/>
              <a:lightRig rig="threePt" dir="t"/>
            </a:scene3d>
            <a:sp3d>
              <a:bevelT/>
            </a:sp3d>
          </c:spPr>
          <c:dLbls>
            <c:dLbl>
              <c:idx val="0"/>
              <c:layout>
                <c:manualLayout>
                  <c:x val="-5.5267702936096924E-2"/>
                  <c:y val="-4.3478734708334472E-2"/>
                </c:manualLayout>
              </c:layout>
              <c:dLblPos val="outEnd"/>
              <c:showVal val="1"/>
            </c:dLbl>
            <c:dLbl>
              <c:idx val="1"/>
              <c:layout>
                <c:manualLayout>
                  <c:x val="-3.4969333496526586E-3"/>
                  <c:y val="-1.1954809996576663E-2"/>
                </c:manualLayout>
              </c:layout>
              <c:dLblPos val="outEnd"/>
              <c:showVal val="1"/>
            </c:dLbl>
            <c:dLbl>
              <c:idx val="2"/>
              <c:layout>
                <c:manualLayout>
                  <c:x val="-2.1068091877116395E-3"/>
                  <c:y val="-1.2145120655904645E-2"/>
                </c:manualLayout>
              </c:layout>
              <c:dLblPos val="outEnd"/>
              <c:showVal val="1"/>
            </c:dLbl>
            <c:dLbl>
              <c:idx val="3"/>
              <c:layout>
                <c:manualLayout>
                  <c:x val="-5.6037425373641914E-3"/>
                  <c:y val="-1.4991002378883242E-2"/>
                </c:manualLayout>
              </c:layout>
              <c:dLblPos val="outEnd"/>
              <c:showVal val="1"/>
            </c:dLbl>
            <c:dLbl>
              <c:idx val="4"/>
              <c:layout>
                <c:manualLayout>
                  <c:x val="3.4542314335060452E-3"/>
                  <c:y val="-4.7879633774875101E-3"/>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Лист1!$D$2:$D$6</c:f>
              <c:numCache>
                <c:formatCode>General</c:formatCode>
                <c:ptCount val="5"/>
                <c:pt idx="0">
                  <c:v>2666.2</c:v>
                </c:pt>
                <c:pt idx="1">
                  <c:v>2243.5</c:v>
                </c:pt>
                <c:pt idx="2">
                  <c:v>1650.9</c:v>
                </c:pt>
                <c:pt idx="3">
                  <c:v>960.8</c:v>
                </c:pt>
                <c:pt idx="4">
                  <c:v>720.8</c:v>
                </c:pt>
              </c:numCache>
            </c:numRef>
          </c:val>
        </c:ser>
        <c:gapWidth val="99"/>
        <c:axId val="192173952"/>
        <c:axId val="192175488"/>
      </c:barChart>
      <c:catAx>
        <c:axId val="192173952"/>
        <c:scaling>
          <c:orientation val="minMax"/>
        </c:scaling>
        <c:axPos val="l"/>
        <c:numFmt formatCode="General" sourceLinked="1"/>
        <c:tickLblPos val="nextTo"/>
        <c:txPr>
          <a:bodyPr/>
          <a:lstStyle/>
          <a:p>
            <a:pPr>
              <a:defRPr sz="100">
                <a:solidFill>
                  <a:schemeClr val="bg1"/>
                </a:solidFill>
              </a:defRPr>
            </a:pPr>
            <a:endParaRPr lang="ru-RU"/>
          </a:p>
        </c:txPr>
        <c:crossAx val="192175488"/>
        <c:crosses val="autoZero"/>
        <c:auto val="1"/>
        <c:lblAlgn val="ctr"/>
        <c:lblOffset val="100"/>
      </c:catAx>
      <c:valAx>
        <c:axId val="192175488"/>
        <c:scaling>
          <c:orientation val="minMax"/>
        </c:scaling>
        <c:delete val="1"/>
        <c:axPos val="b"/>
        <c:numFmt formatCode="General" sourceLinked="1"/>
        <c:tickLblPos val="nextTo"/>
        <c:crossAx val="192173952"/>
        <c:crosses val="autoZero"/>
        <c:crossBetween val="between"/>
      </c:valAx>
      <c:spPr>
        <a:noFill/>
        <a:ln w="25360">
          <a:noFill/>
        </a:ln>
      </c:spPr>
    </c:plotArea>
    <c:legend>
      <c:legendPos val="r"/>
      <c:layout>
        <c:manualLayout>
          <c:xMode val="edge"/>
          <c:yMode val="edge"/>
          <c:x val="0"/>
          <c:y val="0.80135320455185322"/>
          <c:w val="0.97594984564755782"/>
          <c:h val="0.1986467954481468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style val="47"/>
  <c:clrMapOvr bg1="lt1" tx1="dk1" bg2="lt2" tx2="dk2" accent1="accent1" accent2="accent2" accent3="accent3" accent4="accent4" accent5="accent5" accent6="accent6" hlink="hlink" folHlink="folHlink"/>
  <c:chart>
    <c:plotArea>
      <c:layout>
        <c:manualLayout>
          <c:layoutTarget val="inner"/>
          <c:xMode val="edge"/>
          <c:yMode val="edge"/>
          <c:x val="2.6385224274406351E-2"/>
          <c:y val="3.6363636363636362E-2"/>
          <c:w val="0.95778364116094949"/>
          <c:h val="0.65417399467413384"/>
        </c:manualLayout>
      </c:layout>
      <c:barChart>
        <c:barDir val="col"/>
        <c:grouping val="clustered"/>
        <c:ser>
          <c:idx val="0"/>
          <c:order val="0"/>
          <c:tx>
            <c:strRef>
              <c:f>Лист1!$A$2</c:f>
              <c:strCache>
                <c:ptCount val="1"/>
                <c:pt idx="0">
                  <c:v>Обсяги фінансування, всього</c:v>
                </c:pt>
              </c:strCache>
            </c:strRef>
          </c:tx>
          <c:spPr>
            <a:solidFill>
              <a:srgbClr val="205766"/>
            </a:solidFill>
            <a:ln>
              <a:solidFill>
                <a:srgbClr val="004846"/>
              </a:solidFill>
            </a:ln>
          </c:spPr>
          <c:dLbls>
            <c:numFmt formatCode="#,##0.0" sourceLinked="0"/>
            <c:txPr>
              <a:bodyPr/>
              <a:lstStyle/>
              <a:p>
                <a:pPr>
                  <a:defRPr b="1"/>
                </a:pPr>
                <a:endParaRPr lang="ru-RU"/>
              </a:p>
            </c:txPr>
            <c:showVal val="1"/>
          </c:dLbls>
          <c:cat>
            <c:numRef>
              <c:f>Лист1!$B$1:$F$1</c:f>
              <c:numCache>
                <c:formatCode>General</c:formatCode>
                <c:ptCount val="5"/>
                <c:pt idx="0">
                  <c:v>2008</c:v>
                </c:pt>
                <c:pt idx="1">
                  <c:v>2009</c:v>
                </c:pt>
                <c:pt idx="2">
                  <c:v>2010</c:v>
                </c:pt>
                <c:pt idx="3">
                  <c:v>2011</c:v>
                </c:pt>
                <c:pt idx="4">
                  <c:v>2012</c:v>
                </c:pt>
              </c:numCache>
            </c:numRef>
          </c:cat>
          <c:val>
            <c:numRef>
              <c:f>Лист1!$B$2:$F$2</c:f>
              <c:numCache>
                <c:formatCode>General</c:formatCode>
                <c:ptCount val="5"/>
                <c:pt idx="0">
                  <c:v>17.100000000000001</c:v>
                </c:pt>
                <c:pt idx="1">
                  <c:v>10.9</c:v>
                </c:pt>
                <c:pt idx="2">
                  <c:v>10.6</c:v>
                </c:pt>
                <c:pt idx="3">
                  <c:v>19.600000000000001</c:v>
                </c:pt>
                <c:pt idx="4">
                  <c:v>15</c:v>
                </c:pt>
              </c:numCache>
            </c:numRef>
          </c:val>
        </c:ser>
        <c:ser>
          <c:idx val="1"/>
          <c:order val="1"/>
          <c:tx>
            <c:strRef>
              <c:f>Лист1!$A$3</c:f>
              <c:strCache>
                <c:ptCount val="1"/>
                <c:pt idx="0">
                  <c:v>в т.ч. з державного бюджету</c:v>
                </c:pt>
              </c:strCache>
            </c:strRef>
          </c:tx>
          <c:spPr>
            <a:solidFill>
              <a:schemeClr val="accent1">
                <a:lumMod val="60000"/>
                <a:lumOff val="40000"/>
              </a:schemeClr>
            </a:solidFill>
            <a:ln>
              <a:solidFill>
                <a:sysClr val="windowText" lastClr="000000">
                  <a:lumMod val="85000"/>
                  <a:lumOff val="15000"/>
                </a:sysClr>
              </a:solidFill>
            </a:ln>
          </c:spPr>
          <c:dLbls>
            <c:numFmt formatCode="0.0" sourceLinked="0"/>
            <c:txPr>
              <a:bodyPr/>
              <a:lstStyle/>
              <a:p>
                <a:pPr>
                  <a:defRPr b="1"/>
                </a:pPr>
                <a:endParaRPr lang="ru-RU"/>
              </a:p>
            </c:txPr>
            <c:showVal val="1"/>
          </c:dLbls>
          <c:cat>
            <c:numRef>
              <c:f>Лист1!$B$1:$F$1</c:f>
              <c:numCache>
                <c:formatCode>General</c:formatCode>
                <c:ptCount val="5"/>
                <c:pt idx="0">
                  <c:v>2008</c:v>
                </c:pt>
                <c:pt idx="1">
                  <c:v>2009</c:v>
                </c:pt>
                <c:pt idx="2">
                  <c:v>2010</c:v>
                </c:pt>
                <c:pt idx="3">
                  <c:v>2011</c:v>
                </c:pt>
                <c:pt idx="4">
                  <c:v>2012</c:v>
                </c:pt>
              </c:numCache>
            </c:numRef>
          </c:cat>
          <c:val>
            <c:numRef>
              <c:f>Лист1!$B$3:$F$3</c:f>
              <c:numCache>
                <c:formatCode>General</c:formatCode>
                <c:ptCount val="5"/>
                <c:pt idx="0">
                  <c:v>5.7</c:v>
                </c:pt>
                <c:pt idx="1">
                  <c:v>4</c:v>
                </c:pt>
                <c:pt idx="2">
                  <c:v>2.7</c:v>
                </c:pt>
                <c:pt idx="3">
                  <c:v>4</c:v>
                </c:pt>
                <c:pt idx="4">
                  <c:v>5.2</c:v>
                </c:pt>
              </c:numCache>
            </c:numRef>
          </c:val>
        </c:ser>
        <c:dLbls>
          <c:showVal val="1"/>
        </c:dLbls>
        <c:gapWidth val="100"/>
        <c:axId val="192317696"/>
        <c:axId val="196712320"/>
      </c:barChart>
      <c:catAx>
        <c:axId val="192317696"/>
        <c:scaling>
          <c:orientation val="minMax"/>
        </c:scaling>
        <c:axPos val="b"/>
        <c:numFmt formatCode="General" sourceLinked="1"/>
        <c:tickLblPos val="nextTo"/>
        <c:txPr>
          <a:bodyPr rot="0" vert="horz"/>
          <a:lstStyle/>
          <a:p>
            <a:pPr>
              <a:defRPr sz="1000"/>
            </a:pPr>
            <a:endParaRPr lang="ru-RU"/>
          </a:p>
        </c:txPr>
        <c:crossAx val="196712320"/>
        <c:crosses val="autoZero"/>
        <c:auto val="1"/>
        <c:lblAlgn val="ctr"/>
        <c:lblOffset val="100"/>
        <c:tickLblSkip val="1"/>
        <c:tickMarkSkip val="1"/>
      </c:catAx>
      <c:valAx>
        <c:axId val="196712320"/>
        <c:scaling>
          <c:orientation val="minMax"/>
        </c:scaling>
        <c:delete val="1"/>
        <c:axPos val="l"/>
        <c:numFmt formatCode="General" sourceLinked="1"/>
        <c:tickLblPos val="nextTo"/>
        <c:crossAx val="192317696"/>
        <c:crosses val="autoZero"/>
        <c:crossBetween val="between"/>
      </c:valAx>
      <c:spPr>
        <a:noFill/>
        <a:ln w="25373">
          <a:noFill/>
        </a:ln>
      </c:spPr>
    </c:plotArea>
    <c:legend>
      <c:legendPos val="b"/>
      <c:layout>
        <c:manualLayout>
          <c:xMode val="edge"/>
          <c:yMode val="edge"/>
          <c:x val="5.0000069991251103E-2"/>
          <c:y val="0.80114173228355889"/>
          <c:w val="0.81709830271216166"/>
          <c:h val="0.16966117871629641"/>
        </c:manualLayout>
      </c:layout>
      <c:txPr>
        <a:bodyPr/>
        <a:lstStyle/>
        <a:p>
          <a:pPr>
            <a:defRPr sz="1000"/>
          </a:pPr>
          <a:endParaRPr lang="ru-RU"/>
        </a:p>
      </c:txPr>
    </c:legend>
    <c:plotVisOnly val="1"/>
    <c:dispBlanksAs val="gap"/>
  </c:chart>
  <c:spPr>
    <a:noFill/>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5462962962962982E-2"/>
          <c:y val="4.8192771084339114E-2"/>
          <c:w val="0.70960648148148164"/>
          <c:h val="0.76307290852333765"/>
        </c:manualLayout>
      </c:layout>
      <c:lineChart>
        <c:grouping val="standard"/>
        <c:ser>
          <c:idx val="0"/>
          <c:order val="0"/>
          <c:tx>
            <c:strRef>
              <c:f>Лист1!$A$2</c:f>
              <c:strCache>
                <c:ptCount val="1"/>
                <c:pt idx="0">
                  <c:v>смертнісь</c:v>
                </c:pt>
              </c:strCache>
            </c:strRef>
          </c:tx>
          <c:spPr>
            <a:ln w="31750">
              <a:solidFill>
                <a:schemeClr val="tx2">
                  <a:lumMod val="75000"/>
                </a:schemeClr>
              </a:solidFill>
            </a:ln>
          </c:spPr>
          <c:marker>
            <c:symbol val="diamond"/>
            <c:size val="9"/>
            <c:spPr>
              <a:ln w="19050">
                <a:solidFill>
                  <a:srgbClr val="1F497D">
                    <a:lumMod val="75000"/>
                  </a:srgbClr>
                </a:solidFill>
              </a:ln>
              <a:scene3d>
                <a:camera prst="orthographicFront"/>
                <a:lightRig rig="threePt" dir="t"/>
              </a:scene3d>
              <a:sp3d>
                <a:bevelT prst="angle"/>
              </a:sp3d>
            </c:spPr>
          </c:marker>
          <c:dLbls>
            <c:txPr>
              <a:bodyPr/>
              <a:lstStyle/>
              <a:p>
                <a:pPr>
                  <a:defRPr b="1">
                    <a:latin typeface="Times New Roman" pitchFamily="18" charset="0"/>
                    <a:cs typeface="Times New Roman" pitchFamily="18" charset="0"/>
                  </a:defRPr>
                </a:pPr>
                <a:endParaRPr lang="ru-RU"/>
              </a:p>
            </c:txPr>
            <c:dLblPos val="t"/>
            <c:showVal val="1"/>
          </c:dLbls>
          <c:cat>
            <c:strRef>
              <c:f>Лист1!$B$1:$E$1</c:f>
              <c:strCache>
                <c:ptCount val="4"/>
                <c:pt idx="0">
                  <c:v>2003</c:v>
                </c:pt>
                <c:pt idx="1">
                  <c:v>2010</c:v>
                </c:pt>
                <c:pt idx="2">
                  <c:v>2011</c:v>
                </c:pt>
                <c:pt idx="3">
                  <c:v>2012 очік.</c:v>
                </c:pt>
              </c:strCache>
            </c:strRef>
          </c:cat>
          <c:val>
            <c:numRef>
              <c:f>Лист1!$B$2:$E$2</c:f>
              <c:numCache>
                <c:formatCode>General</c:formatCode>
                <c:ptCount val="4"/>
                <c:pt idx="0">
                  <c:v>17.3</c:v>
                </c:pt>
                <c:pt idx="1">
                  <c:v>16.600000000000001</c:v>
                </c:pt>
                <c:pt idx="2">
                  <c:v>16.100000000000001</c:v>
                </c:pt>
                <c:pt idx="3">
                  <c:v>16</c:v>
                </c:pt>
              </c:numCache>
            </c:numRef>
          </c:val>
        </c:ser>
        <c:ser>
          <c:idx val="1"/>
          <c:order val="1"/>
          <c:tx>
            <c:strRef>
              <c:f>Лист1!$A$3</c:f>
              <c:strCache>
                <c:ptCount val="1"/>
                <c:pt idx="0">
                  <c:v>народжуваність</c:v>
                </c:pt>
              </c:strCache>
            </c:strRef>
          </c:tx>
          <c:spPr>
            <a:ln>
              <a:solidFill>
                <a:srgbClr val="006600"/>
              </a:solidFill>
            </a:ln>
          </c:spPr>
          <c:marker>
            <c:symbol val="circle"/>
            <c:size val="9"/>
            <c:spPr>
              <a:solidFill>
                <a:srgbClr val="FFFF00"/>
              </a:solidFill>
              <a:ln w="22225">
                <a:solidFill>
                  <a:srgbClr val="006600"/>
                </a:solidFill>
              </a:ln>
              <a:scene3d>
                <a:camera prst="orthographicFront"/>
                <a:lightRig rig="threePt" dir="t"/>
              </a:scene3d>
              <a:sp3d>
                <a:bevelT prst="angle"/>
              </a:sp3d>
            </c:spPr>
          </c:marker>
          <c:dLbls>
            <c:numFmt formatCode="#,##0.0" sourceLinked="0"/>
            <c:txPr>
              <a:bodyPr/>
              <a:lstStyle/>
              <a:p>
                <a:pPr>
                  <a:defRPr b="1">
                    <a:latin typeface="Times New Roman" pitchFamily="18" charset="0"/>
                    <a:cs typeface="Times New Roman" pitchFamily="18" charset="0"/>
                  </a:defRPr>
                </a:pPr>
                <a:endParaRPr lang="ru-RU"/>
              </a:p>
            </c:txPr>
            <c:dLblPos val="b"/>
            <c:showVal val="1"/>
          </c:dLbls>
          <c:cat>
            <c:strRef>
              <c:f>Лист1!$B$1:$E$1</c:f>
              <c:strCache>
                <c:ptCount val="4"/>
                <c:pt idx="0">
                  <c:v>2003</c:v>
                </c:pt>
                <c:pt idx="1">
                  <c:v>2010</c:v>
                </c:pt>
                <c:pt idx="2">
                  <c:v>2011</c:v>
                </c:pt>
                <c:pt idx="3">
                  <c:v>2012 очік.</c:v>
                </c:pt>
              </c:strCache>
            </c:strRef>
          </c:cat>
          <c:val>
            <c:numRef>
              <c:f>Лист1!$B$3:$E$3</c:f>
              <c:numCache>
                <c:formatCode>General</c:formatCode>
                <c:ptCount val="4"/>
                <c:pt idx="0">
                  <c:v>7</c:v>
                </c:pt>
                <c:pt idx="1">
                  <c:v>9.3000000000000007</c:v>
                </c:pt>
                <c:pt idx="2">
                  <c:v>9.5</c:v>
                </c:pt>
                <c:pt idx="3">
                  <c:v>9.9</c:v>
                </c:pt>
              </c:numCache>
            </c:numRef>
          </c:val>
        </c:ser>
        <c:marker val="1"/>
        <c:axId val="196921984"/>
        <c:axId val="196931968"/>
      </c:lineChart>
      <c:catAx>
        <c:axId val="196921984"/>
        <c:scaling>
          <c:orientation val="minMax"/>
        </c:scaling>
        <c:axPos val="b"/>
        <c:tickLblPos val="nextTo"/>
        <c:txPr>
          <a:bodyPr/>
          <a:lstStyle/>
          <a:p>
            <a:pPr>
              <a:defRPr>
                <a:latin typeface="Times New Roman" pitchFamily="18" charset="0"/>
                <a:cs typeface="Times New Roman" pitchFamily="18" charset="0"/>
              </a:defRPr>
            </a:pPr>
            <a:endParaRPr lang="ru-RU"/>
          </a:p>
        </c:txPr>
        <c:crossAx val="196931968"/>
        <c:crosses val="autoZero"/>
        <c:auto val="1"/>
        <c:lblAlgn val="ctr"/>
        <c:lblOffset val="100"/>
      </c:catAx>
      <c:valAx>
        <c:axId val="196931968"/>
        <c:scaling>
          <c:orientation val="minMax"/>
        </c:scaling>
        <c:delete val="1"/>
        <c:axPos val="l"/>
        <c:numFmt formatCode="General" sourceLinked="1"/>
        <c:tickLblPos val="nextTo"/>
        <c:crossAx val="19692198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spPr>
    <a:noFill/>
    <a:ln>
      <a:noFill/>
    </a:ln>
  </c:spPr>
  <c:externalData r:id="rId1"/>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2.1949976841130151E-2"/>
          <c:y val="0"/>
          <c:w val="0.66678856576456369"/>
          <c:h val="0.75961299458940645"/>
        </c:manualLayout>
      </c:layout>
      <c:lineChart>
        <c:grouping val="standard"/>
        <c:ser>
          <c:idx val="0"/>
          <c:order val="0"/>
          <c:tx>
            <c:strRef>
              <c:f>Лист1!$A$3</c:f>
              <c:strCache>
                <c:ptCount val="1"/>
                <c:pt idx="0">
                  <c:v>Наявні доходи </c:v>
                </c:pt>
              </c:strCache>
            </c:strRef>
          </c:tx>
          <c:spPr>
            <a:ln w="31750"/>
          </c:spPr>
          <c:marker>
            <c:symbol val="diamond"/>
            <c:size val="9"/>
          </c:marker>
          <c:dLbls>
            <c:dLbl>
              <c:idx val="0"/>
              <c:layout>
                <c:manualLayout>
                  <c:x val="-4.2181846692465247E-2"/>
                  <c:y val="-0.11900040173107129"/>
                </c:manualLayout>
              </c:layout>
              <c:dLblPos val="r"/>
              <c:showVal val="1"/>
            </c:dLbl>
            <c:dLbl>
              <c:idx val="1"/>
              <c:layout>
                <c:manualLayout>
                  <c:x val="-4.3883872944488422E-2"/>
                  <c:y val="-0.10816911400160588"/>
                </c:manualLayout>
              </c:layout>
              <c:dLblPos val="r"/>
              <c:showVal val="1"/>
            </c:dLbl>
            <c:dLbl>
              <c:idx val="2"/>
              <c:layout>
                <c:manualLayout>
                  <c:x val="-4.3458495335890988E-2"/>
                  <c:y val="-0.11326397762129529"/>
                </c:manualLayout>
              </c:layout>
              <c:dLblPos val="r"/>
              <c:showVal val="1"/>
            </c:dLbl>
            <c:dLbl>
              <c:idx val="3"/>
              <c:layout>
                <c:manualLayout>
                  <c:x val="-4.5104469405050786E-2"/>
                  <c:y val="-0.1192671027934417"/>
                </c:manualLayout>
              </c:layout>
              <c:dLblPos val="r"/>
              <c:showVal val="1"/>
            </c:dLbl>
            <c:dLbl>
              <c:idx val="4"/>
              <c:layout>
                <c:manualLayout>
                  <c:x val="-5.0740464810148996E-2"/>
                  <c:y val="-0.14058303405040651"/>
                </c:manualLayout>
              </c:layout>
              <c:dLblPos val="r"/>
              <c:showVal val="1"/>
            </c:dLbl>
            <c:dLbl>
              <c:idx val="5"/>
              <c:layout>
                <c:manualLayout>
                  <c:xMode val="edge"/>
                  <c:yMode val="edge"/>
                  <c:x val="0.81702127659577473"/>
                  <c:y val="5.5276381909549123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2009</c:v>
                </c:pt>
                <c:pt idx="1">
                  <c:v>2010</c:v>
                </c:pt>
                <c:pt idx="2">
                  <c:v>2011очік.</c:v>
                </c:pt>
                <c:pt idx="3">
                  <c:v>2012 очік.</c:v>
                </c:pt>
                <c:pt idx="4">
                  <c:v>2013 прогноз.</c:v>
                </c:pt>
              </c:strCache>
            </c:strRef>
          </c:cat>
          <c:val>
            <c:numRef>
              <c:f>Лист1!$B$3:$F$3</c:f>
              <c:numCache>
                <c:formatCode>General</c:formatCode>
                <c:ptCount val="5"/>
                <c:pt idx="0">
                  <c:v>1418</c:v>
                </c:pt>
                <c:pt idx="1">
                  <c:v>1776</c:v>
                </c:pt>
                <c:pt idx="2">
                  <c:v>2052</c:v>
                </c:pt>
                <c:pt idx="3">
                  <c:v>2260</c:v>
                </c:pt>
                <c:pt idx="4">
                  <c:v>2410</c:v>
                </c:pt>
              </c:numCache>
            </c:numRef>
          </c:val>
        </c:ser>
        <c:ser>
          <c:idx val="1"/>
          <c:order val="1"/>
          <c:tx>
            <c:strRef>
              <c:f>Лист1!$A$4</c:f>
              <c:strCache>
                <c:ptCount val="1"/>
                <c:pt idx="0">
                  <c:v>Прожитковий мінімум по Україні</c:v>
                </c:pt>
              </c:strCache>
            </c:strRef>
          </c:tx>
          <c:spPr>
            <a:ln w="31750"/>
          </c:spPr>
          <c:marker>
            <c:symbol val="square"/>
            <c:size val="23"/>
            <c:spPr>
              <a:solidFill>
                <a:schemeClr val="accent2">
                  <a:lumMod val="20000"/>
                  <a:lumOff val="80000"/>
                </a:schemeClr>
              </a:solidFill>
            </c:spPr>
          </c:marker>
          <c:dLbls>
            <c:dLbl>
              <c:idx val="0"/>
              <c:layout>
                <c:manualLayout>
                  <c:x val="-5.7192139833348574E-2"/>
                  <c:y val="1.3699835679899609E-2"/>
                </c:manualLayout>
              </c:layout>
              <c:dLblPos val="r"/>
              <c:showVal val="1"/>
            </c:dLbl>
            <c:dLbl>
              <c:idx val="1"/>
              <c:layout>
                <c:manualLayout>
                  <c:x val="-5.6817656231274792E-2"/>
                  <c:y val="7.1686827117250504E-3"/>
                </c:manualLayout>
              </c:layout>
              <c:dLblPos val="r"/>
              <c:showVal val="1"/>
            </c:dLbl>
            <c:dLbl>
              <c:idx val="2"/>
              <c:layout>
                <c:manualLayout>
                  <c:x val="-5.6117175884700318E-2"/>
                  <c:y val="-2.113454766290661E-3"/>
                </c:manualLayout>
              </c:layout>
              <c:dLblPos val="r"/>
              <c:showVal val="1"/>
            </c:dLbl>
            <c:dLbl>
              <c:idx val="3"/>
              <c:layout>
                <c:manualLayout>
                  <c:x val="-5.9895368112394598E-2"/>
                  <c:y val="-2.5837085286566789E-3"/>
                </c:manualLayout>
              </c:layout>
              <c:dLblPos val="r"/>
              <c:showVal val="1"/>
            </c:dLbl>
            <c:dLbl>
              <c:idx val="4"/>
              <c:layout>
                <c:manualLayout>
                  <c:x val="-5.9638318991597078E-2"/>
                  <c:y val="-2.3344740346026155E-3"/>
                </c:manualLayout>
              </c:layout>
              <c:tx>
                <c:rich>
                  <a:bodyPr/>
                  <a:lstStyle/>
                  <a:p>
                    <a:r>
                      <a:rPr lang="ru-RU" b="1">
                        <a:latin typeface="Times New Roman" pitchFamily="18" charset="0"/>
                        <a:cs typeface="Times New Roman" pitchFamily="18" charset="0"/>
                      </a:rPr>
                      <a:t>1114</a:t>
                    </a:r>
                  </a:p>
                </c:rich>
              </c:tx>
              <c:dLblPos val="r"/>
            </c:dLbl>
            <c:dLbl>
              <c:idx val="5"/>
              <c:layout>
                <c:manualLayout>
                  <c:xMode val="edge"/>
                  <c:yMode val="edge"/>
                  <c:x val="0.82978723404255361"/>
                  <c:y val="0.45226130653266333"/>
                </c:manualLayout>
              </c:layout>
              <c:dLblPos val="r"/>
              <c:showVal val="1"/>
            </c:dLbl>
            <c:numFmt formatCode="0" sourceLinked="0"/>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2009</c:v>
                </c:pt>
                <c:pt idx="1">
                  <c:v>2010</c:v>
                </c:pt>
                <c:pt idx="2">
                  <c:v>2011очік.</c:v>
                </c:pt>
                <c:pt idx="3">
                  <c:v>2012 очік.</c:v>
                </c:pt>
                <c:pt idx="4">
                  <c:v>2013 прогноз.</c:v>
                </c:pt>
              </c:strCache>
            </c:strRef>
          </c:cat>
          <c:val>
            <c:numRef>
              <c:f>Лист1!$B$4:$F$4</c:f>
              <c:numCache>
                <c:formatCode>0</c:formatCode>
                <c:ptCount val="5"/>
                <c:pt idx="0">
                  <c:v>638.5</c:v>
                </c:pt>
                <c:pt idx="1">
                  <c:v>834.2</c:v>
                </c:pt>
                <c:pt idx="2">
                  <c:v>914.1</c:v>
                </c:pt>
                <c:pt idx="3">
                  <c:v>1042.4000000000001</c:v>
                </c:pt>
                <c:pt idx="4">
                  <c:v>1114</c:v>
                </c:pt>
              </c:numCache>
            </c:numRef>
          </c:val>
        </c:ser>
        <c:marker val="1"/>
        <c:axId val="196643840"/>
        <c:axId val="196934272"/>
      </c:lineChart>
      <c:catAx>
        <c:axId val="19664384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96934272"/>
        <c:crosses val="autoZero"/>
        <c:auto val="1"/>
        <c:lblAlgn val="ctr"/>
        <c:lblOffset val="100"/>
        <c:tickLblSkip val="1"/>
        <c:tickMarkSkip val="1"/>
      </c:catAx>
      <c:valAx>
        <c:axId val="196934272"/>
        <c:scaling>
          <c:orientation val="minMax"/>
          <c:max val="3500"/>
          <c:min val="0"/>
        </c:scaling>
        <c:axPos val="l"/>
        <c:numFmt formatCode="General" sourceLinked="1"/>
        <c:majorTickMark val="none"/>
        <c:tickLblPos val="none"/>
        <c:spPr>
          <a:ln>
            <a:noFill/>
          </a:ln>
        </c:spPr>
        <c:crossAx val="196643840"/>
        <c:crosses val="autoZero"/>
        <c:crossBetween val="between"/>
      </c:valAx>
      <c:spPr>
        <a:noFill/>
        <a:ln>
          <a:noFill/>
        </a:ln>
      </c:spPr>
    </c:plotArea>
    <c:legend>
      <c:legendPos val="b"/>
      <c:layout>
        <c:manualLayout>
          <c:xMode val="edge"/>
          <c:yMode val="edge"/>
          <c:x val="0.74309989773160512"/>
          <c:y val="7.0180547290946624E-2"/>
          <c:w val="0.25397567044616243"/>
          <c:h val="0.823725873365898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6" b="1" i="0" u="none" strike="noStrike" baseline="0">
                <a:solidFill>
                  <a:srgbClr val="000000"/>
                </a:solidFill>
                <a:latin typeface="Times New Roman"/>
                <a:ea typeface="Times New Roman"/>
                <a:cs typeface="Times New Roman"/>
              </a:defRPr>
            </a:pPr>
            <a:r>
              <a:rPr lang="ru-RU">
                <a:solidFill>
                  <a:sysClr val="windowText" lastClr="000000"/>
                </a:solidFill>
              </a:rPr>
              <a:t>Динаміка середньомісячного розміру пенсії та контингенту отримувачів пенсій та грошової допомоги</a:t>
            </a:r>
          </a:p>
        </c:rich>
      </c:tx>
      <c:layout>
        <c:manualLayout>
          <c:xMode val="edge"/>
          <c:yMode val="edge"/>
          <c:x val="0.10059171597633507"/>
          <c:y val="2.1472392638036842E-2"/>
        </c:manualLayout>
      </c:layout>
      <c:spPr>
        <a:noFill/>
        <a:ln w="25322">
          <a:noFill/>
        </a:ln>
      </c:spPr>
    </c:title>
    <c:plotArea>
      <c:layout>
        <c:manualLayout>
          <c:layoutTarget val="inner"/>
          <c:xMode val="edge"/>
          <c:yMode val="edge"/>
          <c:x val="1.9723865877712903E-2"/>
          <c:y val="0.12931696353951086"/>
          <c:w val="0.96055226824457662"/>
          <c:h val="0.53285466787287505"/>
        </c:manualLayout>
      </c:layout>
      <c:barChart>
        <c:barDir val="col"/>
        <c:grouping val="clustered"/>
        <c:ser>
          <c:idx val="1"/>
          <c:order val="0"/>
          <c:tx>
            <c:strRef>
              <c:f>Лист3!$A$2</c:f>
              <c:strCache>
                <c:ptCount val="1"/>
                <c:pt idx="0">
                  <c:v>Контингент отримувачів пенсій та грошової допомоги, тис.чол.</c:v>
                </c:pt>
              </c:strCache>
            </c:strRef>
          </c:tx>
          <c:spPr>
            <a:solidFill>
              <a:schemeClr val="accent5">
                <a:lumMod val="60000"/>
                <a:lumOff val="40000"/>
              </a:schemeClr>
            </a:solidFill>
            <a:ln w="12661">
              <a:solidFill>
                <a:srgbClr val="000000"/>
              </a:solidFill>
              <a:prstDash val="solid"/>
            </a:ln>
            <a:scene3d>
              <a:camera prst="orthographicFront"/>
              <a:lightRig rig="threePt" dir="t"/>
            </a:scene3d>
            <a:sp3d>
              <a:bevelT prst="convex"/>
            </a:sp3d>
          </c:spPr>
          <c:dLbls>
            <c:dLbl>
              <c:idx val="0"/>
              <c:layout>
                <c:manualLayout>
                  <c:x val="-3.9135330221345003E-3"/>
                  <c:y val="0.16512235674374015"/>
                </c:manualLayout>
              </c:layout>
              <c:dLblPos val="outEnd"/>
              <c:showVal val="1"/>
            </c:dLbl>
            <c:dLbl>
              <c:idx val="1"/>
              <c:layout>
                <c:manualLayout>
                  <c:x val="-2.1083722127501841E-3"/>
                  <c:y val="0.15898531365221241"/>
                </c:manualLayout>
              </c:layout>
              <c:dLblPos val="outEnd"/>
              <c:showVal val="1"/>
            </c:dLbl>
            <c:dLbl>
              <c:idx val="2"/>
              <c:layout>
                <c:manualLayout>
                  <c:x val="-4.1406860019992013E-3"/>
                  <c:y val="0.1685566052714039"/>
                </c:manualLayout>
              </c:layout>
              <c:dLblPos val="outEnd"/>
              <c:showVal val="1"/>
            </c:dLbl>
            <c:dLbl>
              <c:idx val="3"/>
              <c:layout>
                <c:manualLayout>
                  <c:x val="-1.713972484434092E-3"/>
                  <c:y val="0.16610430226229475"/>
                </c:manualLayout>
              </c:layout>
              <c:dLblPos val="outEnd"/>
              <c:showVal val="1"/>
            </c:dLbl>
            <c:dLbl>
              <c:idx val="4"/>
              <c:layout>
                <c:manualLayout>
                  <c:x val="-5.3036438323050134E-4"/>
                  <c:y val="0.16967310852104292"/>
                </c:manualLayout>
              </c:layout>
              <c:dLblPos val="outEnd"/>
              <c:showVal val="1"/>
            </c:dLbl>
            <c:spPr>
              <a:noFill/>
              <a:ln w="25322">
                <a:noFill/>
              </a:ln>
            </c:spPr>
            <c:txPr>
              <a:bodyPr/>
              <a:lstStyle/>
              <a:p>
                <a:pPr>
                  <a:defRPr sz="997" b="1" i="0" u="none" strike="noStrike" baseline="0">
                    <a:solidFill>
                      <a:srgbClr val="000000"/>
                    </a:solidFill>
                    <a:latin typeface="Times New Roman"/>
                    <a:ea typeface="Times New Roman"/>
                    <a:cs typeface="Times New Roman"/>
                  </a:defRPr>
                </a:pPr>
                <a:endParaRPr lang="ru-RU"/>
              </a:p>
            </c:txPr>
            <c:showVal val="1"/>
          </c:dLbls>
          <c:cat>
            <c:strRef>
              <c:f>Лист3!$B$1:$F$1</c:f>
              <c:strCache>
                <c:ptCount val="5"/>
                <c:pt idx="0">
                  <c:v>01.01.2010</c:v>
                </c:pt>
                <c:pt idx="1">
                  <c:v>01.01.2011</c:v>
                </c:pt>
                <c:pt idx="2">
                  <c:v>01.01.2012</c:v>
                </c:pt>
                <c:pt idx="3">
                  <c:v>01.01.2013</c:v>
                </c:pt>
                <c:pt idx="4">
                  <c:v>01.01.2014 прогноз</c:v>
                </c:pt>
              </c:strCache>
            </c:strRef>
          </c:cat>
          <c:val>
            <c:numRef>
              <c:f>Лист3!$B$2:$F$2</c:f>
              <c:numCache>
                <c:formatCode>0.0</c:formatCode>
                <c:ptCount val="5"/>
                <c:pt idx="0">
                  <c:v>1430.2</c:v>
                </c:pt>
                <c:pt idx="1">
                  <c:v>1429.1</c:v>
                </c:pt>
                <c:pt idx="2">
                  <c:v>1417.5</c:v>
                </c:pt>
                <c:pt idx="3">
                  <c:v>1403.6</c:v>
                </c:pt>
                <c:pt idx="4">
                  <c:v>1392.3</c:v>
                </c:pt>
              </c:numCache>
            </c:numRef>
          </c:val>
        </c:ser>
        <c:dLbls>
          <c:showVal val="1"/>
        </c:dLbls>
        <c:gapWidth val="89"/>
        <c:axId val="197124864"/>
        <c:axId val="197126400"/>
      </c:barChart>
      <c:lineChart>
        <c:grouping val="standard"/>
        <c:ser>
          <c:idx val="0"/>
          <c:order val="1"/>
          <c:tx>
            <c:strRef>
              <c:f>Лист3!$A$3</c:f>
              <c:strCache>
                <c:ptCount val="1"/>
                <c:pt idx="0">
                  <c:v>Середньомісячний розмір пенсії, грн.</c:v>
                </c:pt>
              </c:strCache>
            </c:strRef>
          </c:tx>
          <c:spPr>
            <a:ln w="3175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4.1964236949144154E-2"/>
                  <c:y val="-7.627205956508179E-2"/>
                </c:manualLayout>
              </c:layout>
              <c:dLblPos val="r"/>
              <c:showVal val="1"/>
            </c:dLbl>
            <c:dLbl>
              <c:idx val="1"/>
              <c:layout>
                <c:manualLayout>
                  <c:x val="-4.0780812248122432E-2"/>
                  <c:y val="-7.5771216787610701E-2"/>
                </c:manualLayout>
              </c:layout>
              <c:dLblPos val="r"/>
              <c:showVal val="1"/>
            </c:dLbl>
            <c:dLbl>
              <c:idx val="2"/>
              <c:layout>
                <c:manualLayout>
                  <c:x val="-4.7486933898190448E-2"/>
                  <c:y val="-7.7486574411062034E-2"/>
                </c:manualLayout>
              </c:layout>
              <c:dLblPos val="r"/>
              <c:showVal val="1"/>
            </c:dLbl>
            <c:dLbl>
              <c:idx val="3"/>
              <c:layout>
                <c:manualLayout>
                  <c:x val="-4.4331122609397332E-2"/>
                  <c:y val="-7.3584785168392619E-2"/>
                </c:manualLayout>
              </c:layout>
              <c:dLblPos val="r"/>
              <c:showVal val="1"/>
            </c:dLbl>
            <c:dLbl>
              <c:idx val="4"/>
              <c:layout>
                <c:manualLayout>
                  <c:x val="-4.3147697908378524E-2"/>
                  <c:y val="-6.7862252607510484E-2"/>
                </c:manualLayout>
              </c:layout>
              <c:dLblPos val="r"/>
              <c:showVal val="1"/>
            </c:dLbl>
            <c:spPr>
              <a:noFill/>
              <a:ln w="25322">
                <a:noFill/>
              </a:ln>
            </c:spPr>
            <c:txPr>
              <a:bodyPr/>
              <a:lstStyle/>
              <a:p>
                <a:pPr>
                  <a:defRPr sz="997" b="1" i="0" u="none" strike="noStrike" baseline="0">
                    <a:solidFill>
                      <a:srgbClr val="000000"/>
                    </a:solidFill>
                    <a:latin typeface="Times New Roman"/>
                    <a:ea typeface="Times New Roman"/>
                    <a:cs typeface="Times New Roman"/>
                  </a:defRPr>
                </a:pPr>
                <a:endParaRPr lang="ru-RU"/>
              </a:p>
            </c:txPr>
            <c:showVal val="1"/>
          </c:dLbls>
          <c:cat>
            <c:strRef>
              <c:f>Лист3!$B$1:$F$1</c:f>
              <c:strCache>
                <c:ptCount val="5"/>
                <c:pt idx="0">
                  <c:v>01.01.2010</c:v>
                </c:pt>
                <c:pt idx="1">
                  <c:v>01.01.2011</c:v>
                </c:pt>
                <c:pt idx="2">
                  <c:v>01.01.2012</c:v>
                </c:pt>
                <c:pt idx="3">
                  <c:v>01.01.2013</c:v>
                </c:pt>
                <c:pt idx="4">
                  <c:v>01.01.2014 прогноз</c:v>
                </c:pt>
              </c:strCache>
            </c:strRef>
          </c:cat>
          <c:val>
            <c:numRef>
              <c:f>Лист3!$B$3:$F$3</c:f>
              <c:numCache>
                <c:formatCode>0</c:formatCode>
                <c:ptCount val="5"/>
                <c:pt idx="0">
                  <c:v>1241</c:v>
                </c:pt>
                <c:pt idx="1">
                  <c:v>1379</c:v>
                </c:pt>
                <c:pt idx="2">
                  <c:v>1476</c:v>
                </c:pt>
                <c:pt idx="3">
                  <c:v>1724</c:v>
                </c:pt>
                <c:pt idx="4">
                  <c:v>1960</c:v>
                </c:pt>
              </c:numCache>
            </c:numRef>
          </c:val>
        </c:ser>
        <c:dLbls>
          <c:showVal val="1"/>
        </c:dLbls>
        <c:marker val="1"/>
        <c:axId val="197382144"/>
        <c:axId val="197383680"/>
      </c:lineChart>
      <c:catAx>
        <c:axId val="197124864"/>
        <c:scaling>
          <c:orientation val="minMax"/>
        </c:scaling>
        <c:axPos val="b"/>
        <c:numFmt formatCode="@" sourceLinked="1"/>
        <c:majorTickMark val="cross"/>
        <c:tickLblPos val="nextTo"/>
        <c:spPr>
          <a:ln w="3165">
            <a:solidFill>
              <a:srgbClr val="000000"/>
            </a:solidFill>
            <a:prstDash val="solid"/>
          </a:ln>
        </c:spPr>
        <c:txPr>
          <a:bodyPr rot="0" vert="horz"/>
          <a:lstStyle/>
          <a:p>
            <a:pPr>
              <a:defRPr sz="997" b="0" i="0" u="none" strike="noStrike" baseline="0">
                <a:solidFill>
                  <a:srgbClr val="000000"/>
                </a:solidFill>
                <a:latin typeface="Times New Roman" pitchFamily="18" charset="0"/>
                <a:ea typeface="Arial"/>
                <a:cs typeface="Times New Roman" pitchFamily="18" charset="0"/>
              </a:defRPr>
            </a:pPr>
            <a:endParaRPr lang="ru-RU"/>
          </a:p>
        </c:txPr>
        <c:crossAx val="197126400"/>
        <c:crosses val="autoZero"/>
        <c:auto val="1"/>
        <c:lblAlgn val="ctr"/>
        <c:lblOffset val="100"/>
        <c:tickLblSkip val="1"/>
        <c:tickMarkSkip val="1"/>
      </c:catAx>
      <c:valAx>
        <c:axId val="197126400"/>
        <c:scaling>
          <c:orientation val="minMax"/>
        </c:scaling>
        <c:delete val="1"/>
        <c:axPos val="l"/>
        <c:numFmt formatCode="0.0" sourceLinked="1"/>
        <c:tickLblPos val="nextTo"/>
        <c:crossAx val="197124864"/>
        <c:crosses val="autoZero"/>
        <c:crossBetween val="between"/>
      </c:valAx>
      <c:catAx>
        <c:axId val="197382144"/>
        <c:scaling>
          <c:orientation val="minMax"/>
        </c:scaling>
        <c:delete val="1"/>
        <c:axPos val="b"/>
        <c:tickLblPos val="nextTo"/>
        <c:crossAx val="197383680"/>
        <c:crosses val="autoZero"/>
        <c:lblAlgn val="ctr"/>
        <c:lblOffset val="100"/>
      </c:catAx>
      <c:valAx>
        <c:axId val="197383680"/>
        <c:scaling>
          <c:orientation val="minMax"/>
        </c:scaling>
        <c:delete val="1"/>
        <c:axPos val="l"/>
        <c:numFmt formatCode="0" sourceLinked="1"/>
        <c:tickLblPos val="nextTo"/>
        <c:crossAx val="197382144"/>
        <c:crosses val="autoZero"/>
        <c:crossBetween val="between"/>
      </c:valAx>
      <c:spPr>
        <a:noFill/>
        <a:ln w="12661">
          <a:solidFill>
            <a:srgbClr val="FFFFFF"/>
          </a:solidFill>
          <a:prstDash val="solid"/>
        </a:ln>
      </c:spPr>
    </c:plotArea>
    <c:legend>
      <c:legendPos val="b"/>
      <c:layout>
        <c:manualLayout>
          <c:xMode val="edge"/>
          <c:yMode val="edge"/>
          <c:x val="0"/>
          <c:y val="0.82648477937886478"/>
          <c:w val="0.80346114896880516"/>
          <c:h val="0.16738050551803088"/>
        </c:manualLayout>
      </c:layout>
      <c:spPr>
        <a:solidFill>
          <a:srgbClr val="FFFFFF"/>
        </a:solidFill>
        <a:ln w="25322">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3.3400035521876689E-2"/>
          <c:y val="1.9760029996251274E-2"/>
          <c:w val="0.72760720699389092"/>
          <c:h val="0.74432643593969361"/>
        </c:manualLayout>
      </c:layout>
      <c:lineChart>
        <c:grouping val="standard"/>
        <c:ser>
          <c:idx val="0"/>
          <c:order val="0"/>
          <c:tx>
            <c:strRef>
              <c:f>Лист1!$C$4</c:f>
              <c:strCache>
                <c:ptCount val="1"/>
                <c:pt idx="0">
                  <c:v>лікарі</c:v>
                </c:pt>
              </c:strCache>
            </c:strRef>
          </c:tx>
          <c:spPr>
            <a:ln w="31750"/>
          </c:spPr>
          <c:marker>
            <c:symbol val="diamond"/>
            <c:size val="9"/>
          </c:marker>
          <c:dLbls>
            <c:dLbl>
              <c:idx val="0"/>
              <c:layout>
                <c:manualLayout>
                  <c:x val="-4.7195942612436634E-2"/>
                  <c:y val="-9.9161539233825285E-2"/>
                </c:manualLayout>
              </c:layout>
              <c:showVal val="1"/>
            </c:dLbl>
            <c:dLbl>
              <c:idx val="1"/>
              <c:layout>
                <c:manualLayout>
                  <c:x val="-4.5898802123418812E-2"/>
                  <c:y val="-9.6474907849633557E-2"/>
                </c:manualLayout>
              </c:layout>
              <c:showVal val="1"/>
            </c:dLbl>
            <c:dLbl>
              <c:idx val="2"/>
              <c:layout>
                <c:manualLayout>
                  <c:x val="-5.6454719475855085E-2"/>
                  <c:y val="-9.6512198270298208E-2"/>
                </c:manualLayout>
              </c:layout>
              <c:showVal val="1"/>
            </c:dLbl>
            <c:dLbl>
              <c:idx val="3"/>
              <c:layout>
                <c:manualLayout>
                  <c:xMode val="edge"/>
                  <c:yMode val="edge"/>
                  <c:x val="0.61783439490445868"/>
                  <c:y val="0.73134328358210265"/>
                </c:manualLayout>
              </c:layout>
              <c:showVal val="1"/>
            </c:dLbl>
            <c:dLbl>
              <c:idx val="4"/>
              <c:layout>
                <c:manualLayout>
                  <c:xMode val="edge"/>
                  <c:yMode val="edge"/>
                  <c:x val="0.79458598726114649"/>
                  <c:y val="0.72014925373134364"/>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Лист1!$B$5:$B$7</c:f>
              <c:strCache>
                <c:ptCount val="3"/>
                <c:pt idx="0">
                  <c:v>2011</c:v>
                </c:pt>
                <c:pt idx="1">
                  <c:v>2012 очік.</c:v>
                </c:pt>
                <c:pt idx="2">
                  <c:v>2013 прогноз</c:v>
                </c:pt>
              </c:strCache>
            </c:strRef>
          </c:cat>
          <c:val>
            <c:numRef>
              <c:f>Лист1!$C$5:$C$7</c:f>
              <c:numCache>
                <c:formatCode>0.0</c:formatCode>
                <c:ptCount val="3"/>
                <c:pt idx="0">
                  <c:v>73.400000000000006</c:v>
                </c:pt>
                <c:pt idx="1">
                  <c:v>73.8</c:v>
                </c:pt>
                <c:pt idx="2" formatCode="General">
                  <c:v>73.099999999999994</c:v>
                </c:pt>
              </c:numCache>
            </c:numRef>
          </c:val>
        </c:ser>
        <c:ser>
          <c:idx val="1"/>
          <c:order val="1"/>
          <c:tx>
            <c:strRef>
              <c:f>Лист1!$E$4</c:f>
              <c:strCache>
                <c:ptCount val="1"/>
                <c:pt idx="0">
                  <c:v>молодші медичні спеціалісти</c:v>
                </c:pt>
              </c:strCache>
            </c:strRef>
          </c:tx>
          <c:spPr>
            <a:ln w="31750"/>
          </c:spPr>
          <c:marker>
            <c:symbol val="circle"/>
            <c:size val="9"/>
          </c:marker>
          <c:dLbls>
            <c:dLbl>
              <c:idx val="0"/>
              <c:layout>
                <c:manualLayout>
                  <c:x val="-4.5064827422887928E-2"/>
                  <c:y val="-9.9609024281800865E-2"/>
                </c:manualLayout>
              </c:layout>
              <c:showVal val="1"/>
            </c:dLbl>
            <c:dLbl>
              <c:idx val="1"/>
              <c:layout>
                <c:manualLayout>
                  <c:x val="-4.3089416454522127E-2"/>
                  <c:y val="-0.10069102017985462"/>
                </c:manualLayout>
              </c:layout>
              <c:showVal val="1"/>
            </c:dLbl>
            <c:dLbl>
              <c:idx val="2"/>
              <c:layout>
                <c:manualLayout>
                  <c:x val="-4.2027904406686113E-2"/>
                  <c:y val="-9.1800983893406754E-2"/>
                </c:manualLayout>
              </c:layout>
              <c:showVal val="1"/>
            </c:dLbl>
            <c:dLbl>
              <c:idx val="3"/>
              <c:layout>
                <c:manualLayout>
                  <c:xMode val="edge"/>
                  <c:yMode val="edge"/>
                  <c:x val="0.66878980891720063"/>
                  <c:y val="0.40671641791046137"/>
                </c:manualLayout>
              </c:layout>
              <c:showVal val="1"/>
            </c:dLbl>
            <c:dLbl>
              <c:idx val="4"/>
              <c:layout>
                <c:manualLayout>
                  <c:xMode val="edge"/>
                  <c:yMode val="edge"/>
                  <c:x val="0.8471337579617837"/>
                  <c:y val="0.40671641791046137"/>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Лист1!$B$5:$B$7</c:f>
              <c:strCache>
                <c:ptCount val="3"/>
                <c:pt idx="0">
                  <c:v>2011</c:v>
                </c:pt>
                <c:pt idx="1">
                  <c:v>2012 очік.</c:v>
                </c:pt>
                <c:pt idx="2">
                  <c:v>2013 прогноз</c:v>
                </c:pt>
              </c:strCache>
            </c:strRef>
          </c:cat>
          <c:val>
            <c:numRef>
              <c:f>Лист1!$E$5:$E$7</c:f>
              <c:numCache>
                <c:formatCode>0.0</c:formatCode>
                <c:ptCount val="3"/>
                <c:pt idx="0">
                  <c:v>85</c:v>
                </c:pt>
                <c:pt idx="1">
                  <c:v>84.7</c:v>
                </c:pt>
                <c:pt idx="2" formatCode="General">
                  <c:v>84.8</c:v>
                </c:pt>
              </c:numCache>
            </c:numRef>
          </c:val>
        </c:ser>
        <c:dLbls>
          <c:showVal val="1"/>
        </c:dLbls>
        <c:marker val="1"/>
        <c:axId val="196893312"/>
        <c:axId val="197038464"/>
      </c:lineChart>
      <c:catAx>
        <c:axId val="196893312"/>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97038464"/>
        <c:crossesAt val="65"/>
        <c:auto val="1"/>
        <c:lblAlgn val="ctr"/>
        <c:lblOffset val="100"/>
        <c:tickLblSkip val="1"/>
        <c:tickMarkSkip val="1"/>
      </c:catAx>
      <c:valAx>
        <c:axId val="197038464"/>
        <c:scaling>
          <c:orientation val="minMax"/>
          <c:max val="90"/>
          <c:min val="70"/>
        </c:scaling>
        <c:axPos val="l"/>
        <c:numFmt formatCode="0" sourceLinked="0"/>
        <c:tickLblPos val="nextTo"/>
        <c:spPr>
          <a:ln>
            <a:noFill/>
          </a:ln>
        </c:spPr>
        <c:txPr>
          <a:bodyPr rot="0" vert="horz"/>
          <a:lstStyle/>
          <a:p>
            <a:pPr>
              <a:defRPr sz="100">
                <a:solidFill>
                  <a:schemeClr val="bg1"/>
                </a:solidFill>
              </a:defRPr>
            </a:pPr>
            <a:endParaRPr lang="ru-RU"/>
          </a:p>
        </c:txPr>
        <c:crossAx val="196893312"/>
        <c:crosses val="autoZero"/>
        <c:crossBetween val="between"/>
      </c:valAx>
    </c:plotArea>
    <c:legend>
      <c:legendPos val="b"/>
      <c:layout>
        <c:manualLayout>
          <c:xMode val="edge"/>
          <c:yMode val="edge"/>
          <c:x val="0.70426065162909102"/>
          <c:y val="0.15709271806141006"/>
          <c:w val="0.28300041442188151"/>
          <c:h val="0.41281938594886797"/>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floor>
      <c:spPr>
        <a:solidFill>
          <a:schemeClr val="accent1">
            <a:lumMod val="60000"/>
            <a:lumOff val="40000"/>
          </a:schemeClr>
        </a:solidFill>
        <a:ln>
          <a:solidFill>
            <a:sysClr val="windowText" lastClr="000000"/>
          </a:solidFill>
        </a:ln>
      </c:spPr>
    </c:floor>
    <c:plotArea>
      <c:layout>
        <c:manualLayout>
          <c:layoutTarget val="inner"/>
          <c:xMode val="edge"/>
          <c:yMode val="edge"/>
          <c:x val="3.7037037037037056E-2"/>
          <c:y val="2.4216347956505492E-2"/>
          <c:w val="0.63729767846013841"/>
          <c:h val="0.82705005624296968"/>
        </c:manualLayout>
      </c:layout>
      <c:area3DChart>
        <c:grouping val="standard"/>
        <c:ser>
          <c:idx val="1"/>
          <c:order val="1"/>
          <c:tx>
            <c:strRef>
              <c:f>Лист1!$A$3</c:f>
              <c:strCache>
                <c:ptCount val="1"/>
                <c:pt idx="0">
                  <c:v>Материнська смертність (на 100 тис. народжених живими)</c:v>
                </c:pt>
              </c:strCache>
            </c:strRef>
          </c:tx>
          <c:spPr>
            <a:solidFill>
              <a:schemeClr val="bg1">
                <a:lumMod val="85000"/>
              </a:schemeClr>
            </a:solidFill>
            <a:ln>
              <a:solidFill>
                <a:sysClr val="windowText" lastClr="000000"/>
              </a:solidFill>
            </a:ln>
          </c:spPr>
          <c:dLbls>
            <c:dLbl>
              <c:idx val="0"/>
              <c:layout>
                <c:manualLayout>
                  <c:x val="2.3072386701935045E-3"/>
                  <c:y val="-3.0908830987081196E-2"/>
                </c:manualLayout>
              </c:layout>
              <c:showVal val="1"/>
            </c:dLbl>
            <c:dLbl>
              <c:idx val="1"/>
              <c:layout>
                <c:manualLayout>
                  <c:x val="-2.0799687003835114E-2"/>
                  <c:y val="-3.1432751854924251E-2"/>
                </c:manualLayout>
              </c:layout>
              <c:showVal val="1"/>
            </c:dLbl>
            <c:dLbl>
              <c:idx val="2"/>
              <c:layout>
                <c:manualLayout>
                  <c:x val="-4.6221526675188675E-2"/>
                  <c:y val="-1.0477583951641398E-2"/>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Лист1!$B$3:$D$3</c:f>
              <c:numCache>
                <c:formatCode>General</c:formatCode>
                <c:ptCount val="3"/>
                <c:pt idx="0" formatCode="0.0">
                  <c:v>19.100000000000001</c:v>
                </c:pt>
                <c:pt idx="1">
                  <c:v>18.8</c:v>
                </c:pt>
                <c:pt idx="2">
                  <c:v>15</c:v>
                </c:pt>
              </c:numCache>
            </c:numRef>
          </c:val>
        </c:ser>
        <c:ser>
          <c:idx val="0"/>
          <c:order val="0"/>
          <c:tx>
            <c:strRef>
              <c:f>Лист1!$A$2</c:f>
              <c:strCache>
                <c:ptCount val="1"/>
                <c:pt idx="0">
                  <c:v>Малюкова смертність (на 1 тис. народжених живими)</c:v>
                </c:pt>
              </c:strCache>
            </c:strRef>
          </c:tx>
          <c:spPr>
            <a:solidFill>
              <a:srgbClr val="1D4575"/>
            </a:solidFill>
            <a:ln>
              <a:solidFill>
                <a:schemeClr val="tx1"/>
              </a:solidFill>
            </a:ln>
          </c:spPr>
          <c:dLbls>
            <c:dLbl>
              <c:idx val="0"/>
              <c:layout>
                <c:manualLayout>
                  <c:x val="-9.2443053350378199E-3"/>
                  <c:y val="-0.23574563891193309"/>
                </c:manualLayout>
              </c:layout>
              <c:tx>
                <c:rich>
                  <a:bodyPr/>
                  <a:lstStyle/>
                  <a:p>
                    <a:r>
                      <a:rPr lang="uk-UA"/>
                      <a:t>11,4</a:t>
                    </a:r>
                    <a:endParaRPr lang="en-US"/>
                  </a:p>
                </c:rich>
              </c:tx>
              <c:showVal val="1"/>
            </c:dLbl>
            <c:dLbl>
              <c:idx val="1"/>
              <c:layout>
                <c:manualLayout>
                  <c:x val="9.2443053350378199E-3"/>
                  <c:y val="-0.24098443088775495"/>
                </c:manualLayout>
              </c:layout>
              <c:tx>
                <c:rich>
                  <a:bodyPr/>
                  <a:lstStyle/>
                  <a:p>
                    <a:r>
                      <a:rPr lang="uk-UA"/>
                      <a:t>11,3</a:t>
                    </a:r>
                    <a:endParaRPr lang="en-US"/>
                  </a:p>
                </c:rich>
              </c:tx>
              <c:showVal val="1"/>
            </c:dLbl>
            <c:dLbl>
              <c:idx val="2"/>
              <c:layout>
                <c:manualLayout>
                  <c:x val="1.3866458002556767E-2"/>
                  <c:y val="-0.22526805496029162"/>
                </c:manualLayout>
              </c:layout>
              <c:tx>
                <c:rich>
                  <a:bodyPr/>
                  <a:lstStyle/>
                  <a:p>
                    <a:r>
                      <a:rPr lang="uk-UA"/>
                      <a:t>10,4</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formatCode="0.0">
                  <c:v>34.200000000000003</c:v>
                </c:pt>
                <c:pt idx="1">
                  <c:v>33.9</c:v>
                </c:pt>
                <c:pt idx="2">
                  <c:v>31.2</c:v>
                </c:pt>
              </c:numCache>
            </c:numRef>
          </c:val>
        </c:ser>
        <c:axId val="197297664"/>
        <c:axId val="197299200"/>
        <c:axId val="191620864"/>
      </c:area3DChart>
      <c:catAx>
        <c:axId val="197297664"/>
        <c:scaling>
          <c:orientation val="minMax"/>
        </c:scaling>
        <c:axPos val="b"/>
        <c:numFmt formatCode="dd/mm/yyyy" sourceLinked="1"/>
        <c:tickLblPos val="nextTo"/>
        <c:txPr>
          <a:bodyPr/>
          <a:lstStyle/>
          <a:p>
            <a:pPr>
              <a:defRPr>
                <a:latin typeface="Times New Roman" pitchFamily="18" charset="0"/>
                <a:cs typeface="Times New Roman" pitchFamily="18" charset="0"/>
              </a:defRPr>
            </a:pPr>
            <a:endParaRPr lang="ru-RU"/>
          </a:p>
        </c:txPr>
        <c:crossAx val="197299200"/>
        <c:crosses val="autoZero"/>
        <c:auto val="1"/>
        <c:lblAlgn val="ctr"/>
        <c:lblOffset val="100"/>
      </c:catAx>
      <c:valAx>
        <c:axId val="197299200"/>
        <c:scaling>
          <c:orientation val="minMax"/>
        </c:scaling>
        <c:delete val="1"/>
        <c:axPos val="l"/>
        <c:numFmt formatCode="0.0" sourceLinked="1"/>
        <c:tickLblPos val="nextTo"/>
        <c:crossAx val="197297664"/>
        <c:crosses val="autoZero"/>
        <c:crossBetween val="midCat"/>
      </c:valAx>
      <c:serAx>
        <c:axId val="191620864"/>
        <c:scaling>
          <c:orientation val="minMax"/>
        </c:scaling>
        <c:delete val="1"/>
        <c:axPos val="b"/>
        <c:tickLblPos val="nextTo"/>
        <c:crossAx val="197299200"/>
        <c:crosses val="autoZero"/>
      </c:serAx>
      <c:spPr>
        <a:noFill/>
        <a:ln>
          <a:noFill/>
        </a:ln>
      </c:spPr>
    </c:plotArea>
    <c:legend>
      <c:legendPos val="r"/>
      <c:layout>
        <c:manualLayout>
          <c:xMode val="edge"/>
          <c:yMode val="edge"/>
          <c:x val="0.71481900359855455"/>
          <c:y val="0.21842340884979919"/>
          <c:w val="0.27131453839890002"/>
          <c:h val="0.54733149871714759"/>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manualLayout>
          <c:layoutTarget val="inner"/>
          <c:xMode val="edge"/>
          <c:yMode val="edge"/>
          <c:x val="4.7136656824689933E-2"/>
          <c:y val="7.0920796665122743E-2"/>
          <c:w val="0.90738718074501423"/>
          <c:h val="0.5757207040296437"/>
        </c:manualLayout>
      </c:layout>
      <c:barChart>
        <c:barDir val="col"/>
        <c:grouping val="clustered"/>
        <c:ser>
          <c:idx val="0"/>
          <c:order val="0"/>
          <c:tx>
            <c:strRef>
              <c:f>Лист1!$A$2</c:f>
              <c:strCache>
                <c:ptCount val="1"/>
                <c:pt idx="0">
                  <c:v>Середньомісячні наявні доходи, грн.</c:v>
                </c:pt>
              </c:strCache>
            </c:strRef>
          </c:tx>
          <c:spPr>
            <a:solidFill>
              <a:srgbClr val="7BA8DF"/>
            </a:solidFill>
            <a:ln>
              <a:solidFill>
                <a:schemeClr val="tx1">
                  <a:lumMod val="75000"/>
                  <a:lumOff val="25000"/>
                </a:schemeClr>
              </a:solidFill>
            </a:ln>
            <a:effectLst>
              <a:outerShdw blurRad="50800" dist="38100" algn="l" rotWithShape="0">
                <a:prstClr val="black">
                  <a:alpha val="40000"/>
                </a:prstClr>
              </a:outerShdw>
            </a:effectLst>
          </c:spPr>
          <c:dLbls>
            <c:txPr>
              <a:bodyPr/>
              <a:lstStyle/>
              <a:p>
                <a:pPr>
                  <a:defRPr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 очік.</c:v>
                </c:pt>
                <c:pt idx="4">
                  <c:v>2012 очік.</c:v>
                </c:pt>
              </c:strCache>
            </c:strRef>
          </c:cat>
          <c:val>
            <c:numRef>
              <c:f>Лист1!$B$2:$F$2</c:f>
              <c:numCache>
                <c:formatCode>General</c:formatCode>
                <c:ptCount val="5"/>
                <c:pt idx="0">
                  <c:v>1352</c:v>
                </c:pt>
                <c:pt idx="1">
                  <c:v>1418</c:v>
                </c:pt>
                <c:pt idx="2">
                  <c:v>1776</c:v>
                </c:pt>
                <c:pt idx="3">
                  <c:v>2052</c:v>
                </c:pt>
                <c:pt idx="4">
                  <c:v>2260</c:v>
                </c:pt>
              </c:numCache>
            </c:numRef>
          </c:val>
        </c:ser>
        <c:axId val="164114432"/>
        <c:axId val="164115200"/>
      </c:barChart>
      <c:lineChart>
        <c:grouping val="stacked"/>
        <c:ser>
          <c:idx val="1"/>
          <c:order val="1"/>
          <c:tx>
            <c:strRef>
              <c:f>Лист1!$A$3</c:f>
              <c:strCache>
                <c:ptCount val="1"/>
                <c:pt idx="0">
                  <c:v>Частка витрат на ЖКП в наявних доходах, %</c:v>
                </c:pt>
              </c:strCache>
            </c:strRef>
          </c:tx>
          <c:spPr>
            <a:ln w="31785">
              <a:solidFill>
                <a:srgbClr val="006600"/>
              </a:solidFill>
            </a:ln>
          </c:spPr>
          <c:marker>
            <c:symbol val="circle"/>
            <c:size val="7"/>
            <c:spPr>
              <a:solidFill>
                <a:schemeClr val="bg1"/>
              </a:solidFill>
              <a:ln>
                <a:solidFill>
                  <a:srgbClr val="006600"/>
                </a:solidFill>
              </a:ln>
            </c:spPr>
          </c:marker>
          <c:dLbls>
            <c:dLbl>
              <c:idx val="2"/>
              <c:layout>
                <c:manualLayout>
                  <c:x val="0"/>
                  <c:y val="2.4577052154826952E-2"/>
                </c:manualLayout>
              </c:layout>
              <c:dLblPos val="t"/>
              <c:showVal val="1"/>
            </c:dLbl>
            <c:dLbl>
              <c:idx val="3"/>
              <c:layout>
                <c:manualLayout>
                  <c:x val="0"/>
                  <c:y val="1.9661641723861596E-2"/>
                </c:manualLayout>
              </c:layout>
              <c:dLblPos val="t"/>
              <c:showVal val="1"/>
            </c:dLbl>
            <c:dLbl>
              <c:idx val="4"/>
              <c:layout>
                <c:manualLayout>
                  <c:x val="0"/>
                  <c:y val="1.9661641723861596E-2"/>
                </c:manualLayout>
              </c:layout>
              <c:dLblPos val="t"/>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 очік.</c:v>
                </c:pt>
                <c:pt idx="4">
                  <c:v>2012 очік.</c:v>
                </c:pt>
              </c:strCache>
            </c:strRef>
          </c:cat>
          <c:val>
            <c:numRef>
              <c:f>Лист1!$B$3:$F$3</c:f>
              <c:numCache>
                <c:formatCode>General</c:formatCode>
                <c:ptCount val="5"/>
                <c:pt idx="0">
                  <c:v>14.3</c:v>
                </c:pt>
                <c:pt idx="1">
                  <c:v>14.7</c:v>
                </c:pt>
                <c:pt idx="2">
                  <c:v>11.9</c:v>
                </c:pt>
                <c:pt idx="3">
                  <c:v>12.6</c:v>
                </c:pt>
                <c:pt idx="4">
                  <c:v>11.6</c:v>
                </c:pt>
              </c:numCache>
            </c:numRef>
          </c:val>
        </c:ser>
        <c:ser>
          <c:idx val="2"/>
          <c:order val="2"/>
          <c:tx>
            <c:strRef>
              <c:f>Лист1!$A$4</c:f>
              <c:strCache>
                <c:ptCount val="1"/>
                <c:pt idx="0">
                  <c:v>Частка витрат на продовольчі товари в наявних доходах, %</c:v>
                </c:pt>
              </c:strCache>
            </c:strRef>
          </c:tx>
          <c:spPr>
            <a:ln w="31785">
              <a:solidFill>
                <a:srgbClr val="6C0000"/>
              </a:solidFill>
            </a:ln>
            <a:effectLst>
              <a:outerShdw blurRad="50800" dist="38100" dir="2700000" algn="tl" rotWithShape="0">
                <a:prstClr val="black">
                  <a:alpha val="40000"/>
                </a:prstClr>
              </a:outerShdw>
            </a:effectLst>
          </c:spPr>
          <c:marker>
            <c:spPr>
              <a:solidFill>
                <a:srgbClr val="FFFF00"/>
              </a:solidFill>
              <a:ln>
                <a:solidFill>
                  <a:srgbClr val="6C0000"/>
                </a:solidFill>
              </a:ln>
              <a:effectLst>
                <a:outerShdw blurRad="50800" dist="38100" dir="2700000" algn="tl" rotWithShape="0">
                  <a:prstClr val="black">
                    <a:alpha val="40000"/>
                  </a:prstClr>
                </a:outerShdw>
              </a:effectLst>
            </c:spPr>
          </c:marker>
          <c:dLbls>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 очік.</c:v>
                </c:pt>
                <c:pt idx="4">
                  <c:v>2012 очік.</c:v>
                </c:pt>
              </c:strCache>
            </c:strRef>
          </c:cat>
          <c:val>
            <c:numRef>
              <c:f>Лист1!$B$4:$F$4</c:f>
              <c:numCache>
                <c:formatCode>General</c:formatCode>
                <c:ptCount val="5"/>
                <c:pt idx="0">
                  <c:v>51.2</c:v>
                </c:pt>
                <c:pt idx="1">
                  <c:v>54.6</c:v>
                </c:pt>
                <c:pt idx="2">
                  <c:v>50.2</c:v>
                </c:pt>
                <c:pt idx="3" formatCode="0.0">
                  <c:v>46</c:v>
                </c:pt>
                <c:pt idx="4">
                  <c:v>42.6</c:v>
                </c:pt>
              </c:numCache>
            </c:numRef>
          </c:val>
        </c:ser>
        <c:marker val="1"/>
        <c:axId val="164116736"/>
        <c:axId val="164126720"/>
      </c:lineChart>
      <c:catAx>
        <c:axId val="16411443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64115200"/>
        <c:crosses val="autoZero"/>
        <c:auto val="1"/>
        <c:lblAlgn val="ctr"/>
        <c:lblOffset val="100"/>
      </c:catAx>
      <c:valAx>
        <c:axId val="164115200"/>
        <c:scaling>
          <c:orientation val="minMax"/>
          <c:max val="2400"/>
          <c:min val="0"/>
        </c:scaling>
        <c:axPos val="l"/>
        <c:numFmt formatCode="General" sourceLinked="1"/>
        <c:tickLblPos val="nextTo"/>
        <c:spPr>
          <a:ln>
            <a:noFill/>
          </a:ln>
        </c:spPr>
        <c:txPr>
          <a:bodyPr/>
          <a:lstStyle/>
          <a:p>
            <a:pPr>
              <a:defRPr sz="100">
                <a:solidFill>
                  <a:schemeClr val="bg1"/>
                </a:solidFill>
              </a:defRPr>
            </a:pPr>
            <a:endParaRPr lang="ru-RU"/>
          </a:p>
        </c:txPr>
        <c:crossAx val="164114432"/>
        <c:crosses val="autoZero"/>
        <c:crossBetween val="between"/>
      </c:valAx>
      <c:catAx>
        <c:axId val="164116736"/>
        <c:scaling>
          <c:orientation val="minMax"/>
        </c:scaling>
        <c:delete val="1"/>
        <c:axPos val="b"/>
        <c:tickLblPos val="nextTo"/>
        <c:crossAx val="164126720"/>
        <c:crosses val="autoZero"/>
        <c:auto val="1"/>
        <c:lblAlgn val="ctr"/>
        <c:lblOffset val="100"/>
      </c:catAx>
      <c:valAx>
        <c:axId val="164126720"/>
        <c:scaling>
          <c:orientation val="minMax"/>
          <c:max val="250"/>
        </c:scaling>
        <c:axPos val="r"/>
        <c:numFmt formatCode="General" sourceLinked="1"/>
        <c:tickLblPos val="nextTo"/>
        <c:spPr>
          <a:ln>
            <a:noFill/>
          </a:ln>
        </c:spPr>
        <c:txPr>
          <a:bodyPr/>
          <a:lstStyle/>
          <a:p>
            <a:pPr>
              <a:defRPr sz="100">
                <a:solidFill>
                  <a:schemeClr val="bg1"/>
                </a:solidFill>
              </a:defRPr>
            </a:pPr>
            <a:endParaRPr lang="ru-RU"/>
          </a:p>
        </c:txPr>
        <c:crossAx val="164116736"/>
        <c:crosses val="max"/>
        <c:crossBetween val="between"/>
      </c:valAx>
      <c:spPr>
        <a:noFill/>
        <a:ln w="25428">
          <a:noFill/>
        </a:ln>
      </c:spPr>
    </c:plotArea>
    <c:legend>
      <c:legendPos val="r"/>
      <c:layout>
        <c:manualLayout>
          <c:xMode val="edge"/>
          <c:yMode val="edge"/>
          <c:x val="0"/>
          <c:y val="0.76870542697323496"/>
          <c:w val="0.98122634168211209"/>
          <c:h val="0.22358104226870487"/>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0131051326917473E-2"/>
          <c:y val="8.6274509803921484E-2"/>
          <c:w val="0.56759660250803656"/>
          <c:h val="0.66691922250979507"/>
        </c:manualLayout>
      </c:layout>
      <c:barChart>
        <c:barDir val="col"/>
        <c:grouping val="clustered"/>
        <c:ser>
          <c:idx val="0"/>
          <c:order val="0"/>
          <c:tx>
            <c:strRef>
              <c:f>Лист1!$A$2</c:f>
              <c:strCache>
                <c:ptCount val="1"/>
                <c:pt idx="0">
                  <c:v>Кількість профільних класів за усіма напрямами, одиниць</c:v>
                </c:pt>
              </c:strCache>
            </c:strRef>
          </c:tx>
          <c:spPr>
            <a:solidFill>
              <a:schemeClr val="accent3">
                <a:lumMod val="75000"/>
              </a:schemeClr>
            </a:solidFill>
            <a:scene3d>
              <a:camera prst="orthographicFront"/>
              <a:lightRig rig="threePt" dir="t"/>
            </a:scene3d>
            <a:sp3d>
              <a:bevelT w="139700" h="139700" prst="divot"/>
            </a:sp3d>
          </c:spPr>
          <c:dLbls>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c:v>2180</c:v>
                </c:pt>
                <c:pt idx="1">
                  <c:v>1981</c:v>
                </c:pt>
                <c:pt idx="2">
                  <c:v>1920</c:v>
                </c:pt>
              </c:numCache>
            </c:numRef>
          </c:val>
        </c:ser>
        <c:axId val="197507328"/>
        <c:axId val="197513216"/>
      </c:barChart>
      <c:lineChart>
        <c:grouping val="stacked"/>
        <c:ser>
          <c:idx val="1"/>
          <c:order val="1"/>
          <c:tx>
            <c:strRef>
              <c:f>Лист1!$A$3</c:f>
              <c:strCache>
                <c:ptCount val="1"/>
                <c:pt idx="0">
                  <c:v>Рівень охоплення учнів профільним навчанням, %</c:v>
                </c:pt>
              </c:strCache>
            </c:strRef>
          </c:tx>
          <c:marker>
            <c:symbol val="circle"/>
            <c:size val="21"/>
            <c:spPr>
              <a:solidFill>
                <a:schemeClr val="bg1">
                  <a:lumMod val="95000"/>
                </a:schemeClr>
              </a:solidFill>
              <a:ln w="31750">
                <a:solidFill>
                  <a:schemeClr val="accent2">
                    <a:lumMod val="50000"/>
                  </a:schemeClr>
                </a:solidFill>
              </a:ln>
              <a:scene3d>
                <a:camera prst="orthographicFront"/>
                <a:lightRig rig="threePt" dir="t"/>
              </a:scene3d>
              <a:sp3d>
                <a:bevelT/>
              </a:sp3d>
            </c:spPr>
          </c:marker>
          <c:dLbls>
            <c:dLbl>
              <c:idx val="2"/>
              <c:layout>
                <c:manualLayout>
                  <c:x val="0"/>
                  <c:y val="0"/>
                </c:manualLayout>
              </c:layout>
              <c:dLblPos val="ctr"/>
              <c:showVal val="1"/>
            </c:dLbl>
            <c:numFmt formatCode="#,##0.0" sourceLinked="0"/>
            <c:txPr>
              <a:bodyPr/>
              <a:lstStyle/>
              <a:p>
                <a:pPr>
                  <a:defRPr b="1">
                    <a:latin typeface="Times New Roman" pitchFamily="18" charset="0"/>
                    <a:cs typeface="Times New Roman" pitchFamily="18" charset="0"/>
                  </a:defRPr>
                </a:pPr>
                <a:endParaRPr lang="ru-RU"/>
              </a:p>
            </c:txPr>
            <c:dLblPos val="ctr"/>
            <c:showVal val="1"/>
          </c:dLbls>
          <c:cat>
            <c:strRef>
              <c:f>Лист1!$B$1:$D$1</c:f>
              <c:strCache>
                <c:ptCount val="3"/>
                <c:pt idx="0">
                  <c:v>2011</c:v>
                </c:pt>
                <c:pt idx="1">
                  <c:v>2012 очік.</c:v>
                </c:pt>
                <c:pt idx="2">
                  <c:v>2013 прогноз</c:v>
                </c:pt>
              </c:strCache>
            </c:strRef>
          </c:cat>
          <c:val>
            <c:numRef>
              <c:f>Лист1!$B$3:$D$3</c:f>
              <c:numCache>
                <c:formatCode>General</c:formatCode>
                <c:ptCount val="3"/>
                <c:pt idx="0">
                  <c:v>93.9</c:v>
                </c:pt>
                <c:pt idx="1">
                  <c:v>94.6</c:v>
                </c:pt>
                <c:pt idx="2">
                  <c:v>96</c:v>
                </c:pt>
              </c:numCache>
            </c:numRef>
          </c:val>
        </c:ser>
        <c:marker val="1"/>
        <c:axId val="197516288"/>
        <c:axId val="197514752"/>
      </c:lineChart>
      <c:catAx>
        <c:axId val="197507328"/>
        <c:scaling>
          <c:orientation val="minMax"/>
        </c:scaling>
        <c:axPos val="b"/>
        <c:tickLblPos val="nextTo"/>
        <c:txPr>
          <a:bodyPr/>
          <a:lstStyle/>
          <a:p>
            <a:pPr>
              <a:defRPr>
                <a:latin typeface="Times New Roman" pitchFamily="18" charset="0"/>
                <a:cs typeface="Times New Roman" pitchFamily="18" charset="0"/>
              </a:defRPr>
            </a:pPr>
            <a:endParaRPr lang="ru-RU"/>
          </a:p>
        </c:txPr>
        <c:crossAx val="197513216"/>
        <c:crosses val="autoZero"/>
        <c:auto val="1"/>
        <c:lblAlgn val="ctr"/>
        <c:lblOffset val="100"/>
      </c:catAx>
      <c:valAx>
        <c:axId val="197513216"/>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97507328"/>
        <c:crosses val="autoZero"/>
        <c:crossBetween val="between"/>
      </c:valAx>
      <c:valAx>
        <c:axId val="197514752"/>
        <c:scaling>
          <c:orientation val="minMax"/>
          <c:max val="350"/>
          <c:min val="0"/>
        </c:scaling>
        <c:axPos val="r"/>
        <c:numFmt formatCode="General" sourceLinked="1"/>
        <c:tickLblPos val="nextTo"/>
        <c:spPr>
          <a:ln>
            <a:noFill/>
          </a:ln>
        </c:spPr>
        <c:txPr>
          <a:bodyPr/>
          <a:lstStyle/>
          <a:p>
            <a:pPr>
              <a:defRPr sz="100">
                <a:solidFill>
                  <a:schemeClr val="bg1"/>
                </a:solidFill>
              </a:defRPr>
            </a:pPr>
            <a:endParaRPr lang="ru-RU"/>
          </a:p>
        </c:txPr>
        <c:crossAx val="197516288"/>
        <c:crosses val="max"/>
        <c:crossBetween val="between"/>
      </c:valAx>
      <c:catAx>
        <c:axId val="197516288"/>
        <c:scaling>
          <c:orientation val="minMax"/>
        </c:scaling>
        <c:delete val="1"/>
        <c:axPos val="b"/>
        <c:tickLblPos val="nextTo"/>
        <c:crossAx val="197514752"/>
        <c:crosses val="autoZero"/>
        <c:auto val="1"/>
        <c:lblAlgn val="ctr"/>
        <c:lblOffset val="100"/>
      </c:catAx>
    </c:plotArea>
    <c:legend>
      <c:legendPos val="r"/>
      <c:layout>
        <c:manualLayout>
          <c:xMode val="edge"/>
          <c:yMode val="edge"/>
          <c:x val="0.65594907407411684"/>
          <c:y val="0.17993144974525851"/>
          <c:w val="0.33016203703704916"/>
          <c:h val="0.71754083680716385"/>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hPercent val="42"/>
      <c:rotY val="9"/>
      <c:depthPercent val="270"/>
      <c:rAngAx val="1"/>
    </c:view3D>
    <c:floor>
      <c:spPr>
        <a:solidFill>
          <a:srgbClr val="C0C0C0"/>
        </a:solidFill>
        <a:ln w="3175">
          <a:solidFill>
            <a:srgbClr val="000000"/>
          </a:solidFill>
          <a:prstDash val="solid"/>
        </a:ln>
      </c:spPr>
    </c:floor>
    <c:sideWall>
      <c:spPr>
        <a:noFill/>
        <a:ln w="12700">
          <a:solidFill>
            <a:srgbClr val="FFFFFF"/>
          </a:solidFill>
          <a:prstDash val="solid"/>
        </a:ln>
      </c:spPr>
    </c:sideWall>
    <c:backWall>
      <c:spPr>
        <a:noFill/>
        <a:ln w="12700">
          <a:solidFill>
            <a:srgbClr val="FFFFFF"/>
          </a:solidFill>
          <a:prstDash val="solid"/>
        </a:ln>
      </c:spPr>
    </c:backWall>
    <c:plotArea>
      <c:layout>
        <c:manualLayout>
          <c:layoutTarget val="inner"/>
          <c:xMode val="edge"/>
          <c:yMode val="edge"/>
          <c:x val="6.7911714770797965E-2"/>
          <c:y val="0"/>
          <c:w val="0.88115449915110355"/>
          <c:h val="0.78385064919295022"/>
        </c:manualLayout>
      </c:layout>
      <c:bar3DChart>
        <c:barDir val="col"/>
        <c:grouping val="clustered"/>
        <c:varyColors val="1"/>
        <c:ser>
          <c:idx val="2"/>
          <c:order val="0"/>
          <c:tx>
            <c:strRef>
              <c:f>Sheet1!$A$4</c:f>
              <c:strCache>
                <c:ptCount val="1"/>
                <c:pt idx="0">
                  <c:v>Север</c:v>
                </c:pt>
              </c:strCache>
            </c:strRef>
          </c:tx>
          <c:spPr>
            <a:solidFill>
              <a:srgbClr val="FF66FF"/>
            </a:solidFill>
            <a:ln w="12679">
              <a:solidFill>
                <a:srgbClr val="000000"/>
              </a:solidFill>
              <a:prstDash val="solid"/>
            </a:ln>
          </c:spPr>
          <c:dLbls>
            <c:dLbl>
              <c:idx val="0"/>
              <c:layout>
                <c:manualLayout>
                  <c:x val="2.2296544035674472E-2"/>
                  <c:y val="-5.1085568326947654E-2"/>
                </c:manualLayout>
              </c:layout>
              <c:showVal val="1"/>
            </c:dLbl>
            <c:dLbl>
              <c:idx val="1"/>
              <c:layout>
                <c:manualLayout>
                  <c:x val="1.5607580824972263E-2"/>
                  <c:y val="-4.5977194027217193E-2"/>
                </c:manualLayout>
              </c:layout>
              <c:showVal val="1"/>
            </c:dLbl>
            <c:dLbl>
              <c:idx val="2"/>
              <c:layout>
                <c:manualLayout>
                  <c:x val="1.3377926421404658E-2"/>
                  <c:y val="-4.5977194027217193E-2"/>
                </c:manualLayout>
              </c:layout>
              <c:showVal val="1"/>
            </c:dLbl>
            <c:dLbl>
              <c:idx val="3"/>
              <c:layout>
                <c:manualLayout>
                  <c:x val="2.8985507246376812E-2"/>
                  <c:y val="-3.5759897828864719E-2"/>
                </c:manualLayout>
              </c:layout>
              <c:showVal val="1"/>
            </c:dLbl>
            <c:dLbl>
              <c:idx val="4"/>
              <c:layout>
                <c:manualLayout>
                  <c:x val="2.2296544035674472E-2"/>
                  <c:y val="-4.5977011494252852E-2"/>
                </c:manualLayout>
              </c:layout>
              <c:showVal val="1"/>
            </c:dLbl>
            <c:dLbl>
              <c:idx val="5"/>
              <c:layout>
                <c:manualLayout>
                  <c:x val="2.0066889632106968E-2"/>
                  <c:y val="-3.3613445378151259E-2"/>
                </c:manualLayout>
              </c:layout>
              <c:showVal val="1"/>
            </c:dLbl>
            <c:spPr>
              <a:noFill/>
              <a:ln w="25358">
                <a:noFill/>
              </a:ln>
            </c:spPr>
            <c:txPr>
              <a:bodyPr/>
              <a:lstStyle/>
              <a:p>
                <a:pPr>
                  <a:defRPr sz="1000" b="1" i="0" u="none" strike="noStrike" baseline="0">
                    <a:solidFill>
                      <a:srgbClr val="000000"/>
                    </a:solidFill>
                    <a:latin typeface="Times New Roman" pitchFamily="18" charset="0"/>
                    <a:ea typeface="Arial"/>
                    <a:cs typeface="Times New Roman" pitchFamily="18" charset="0"/>
                  </a:defRPr>
                </a:pPr>
                <a:endParaRPr lang="ru-RU"/>
              </a:p>
            </c:txPr>
            <c:showVal val="1"/>
          </c:dLbls>
          <c:cat>
            <c:strRef>
              <c:f>Sheet1!$B$1:$G$1</c:f>
              <c:strCache>
                <c:ptCount val="6"/>
                <c:pt idx="0">
                  <c:v>2008</c:v>
                </c:pt>
                <c:pt idx="1">
                  <c:v>2009</c:v>
                </c:pt>
                <c:pt idx="2">
                  <c:v>2010</c:v>
                </c:pt>
                <c:pt idx="3">
                  <c:v>2011</c:v>
                </c:pt>
                <c:pt idx="4">
                  <c:v>2012</c:v>
                </c:pt>
                <c:pt idx="5">
                  <c:v>2013 (прогноз)</c:v>
                </c:pt>
              </c:strCache>
            </c:strRef>
          </c:cat>
          <c:val>
            <c:numRef>
              <c:f>Sheet1!$B$4:$G$4</c:f>
              <c:numCache>
                <c:formatCode>General</c:formatCode>
                <c:ptCount val="6"/>
                <c:pt idx="0">
                  <c:v>938</c:v>
                </c:pt>
                <c:pt idx="1">
                  <c:v>979</c:v>
                </c:pt>
                <c:pt idx="2">
                  <c:v>983</c:v>
                </c:pt>
                <c:pt idx="3">
                  <c:v>996</c:v>
                </c:pt>
                <c:pt idx="4">
                  <c:v>982</c:v>
                </c:pt>
                <c:pt idx="5">
                  <c:v>1004</c:v>
                </c:pt>
              </c:numCache>
            </c:numRef>
          </c:val>
        </c:ser>
        <c:gapWidth val="112"/>
        <c:gapDepth val="160"/>
        <c:shape val="box"/>
        <c:axId val="197814912"/>
        <c:axId val="197816704"/>
        <c:axId val="0"/>
      </c:bar3DChart>
      <c:catAx>
        <c:axId val="197814912"/>
        <c:scaling>
          <c:orientation val="minMax"/>
        </c:scaling>
        <c:axPos val="b"/>
        <c:numFmt formatCode="General" sourceLinked="1"/>
        <c:tickLblPos val="low"/>
        <c:spPr>
          <a:ln w="317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7816704"/>
        <c:crosses val="autoZero"/>
        <c:auto val="1"/>
        <c:lblAlgn val="ctr"/>
        <c:lblOffset val="100"/>
        <c:tickLblSkip val="1"/>
        <c:tickMarkSkip val="1"/>
      </c:catAx>
      <c:valAx>
        <c:axId val="197816704"/>
        <c:scaling>
          <c:orientation val="minMax"/>
          <c:max val="1010"/>
          <c:min val="900"/>
        </c:scaling>
        <c:axPos val="l"/>
        <c:numFmt formatCode="General" sourceLinked="1"/>
        <c:tickLblPos val="nextTo"/>
        <c:spPr>
          <a:ln w="3170">
            <a:noFill/>
            <a:prstDash val="solid"/>
          </a:ln>
        </c:spPr>
        <c:txPr>
          <a:bodyPr rot="0" vert="horz"/>
          <a:lstStyle/>
          <a:p>
            <a:pPr>
              <a:defRPr sz="100" b="0" i="0" u="none" strike="noStrike" baseline="0">
                <a:solidFill>
                  <a:schemeClr val="bg1"/>
                </a:solidFill>
                <a:latin typeface="Arial"/>
                <a:ea typeface="Arial"/>
                <a:cs typeface="Arial"/>
              </a:defRPr>
            </a:pPr>
            <a:endParaRPr lang="ru-RU"/>
          </a:p>
        </c:txPr>
        <c:crossAx val="197814912"/>
        <c:crosses val="autoZero"/>
        <c:crossBetween val="between"/>
      </c:valAx>
      <c:spPr>
        <a:noFill/>
        <a:ln w="25358">
          <a:noFill/>
        </a:ln>
      </c:spPr>
    </c:plotArea>
    <c:plotVisOnly val="1"/>
    <c:dispBlanksAs val="gap"/>
  </c:chart>
  <c:spPr>
    <a:noFill/>
    <a:ln>
      <a:noFill/>
    </a:ln>
  </c:spPr>
  <c:txPr>
    <a:bodyPr/>
    <a:lstStyle/>
    <a:p>
      <a:pPr>
        <a:defRPr sz="1173" b="1" i="0" u="none" strike="noStrike" baseline="0">
          <a:solidFill>
            <a:srgbClr val="000000"/>
          </a:solidFill>
          <a:latin typeface="Arial"/>
          <a:ea typeface="Arial"/>
          <a:cs typeface="Arial"/>
        </a:defRPr>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plotArea>
      <c:layout>
        <c:manualLayout>
          <c:layoutTarget val="inner"/>
          <c:xMode val="edge"/>
          <c:yMode val="edge"/>
          <c:x val="5.5928411633109722E-2"/>
          <c:y val="0.11097112860892389"/>
          <c:w val="0.84116331096194885"/>
          <c:h val="0.61543714012492556"/>
        </c:manualLayout>
      </c:layout>
      <c:lineChart>
        <c:grouping val="standard"/>
        <c:ser>
          <c:idx val="0"/>
          <c:order val="0"/>
          <c:spPr>
            <a:ln w="35563">
              <a:solidFill>
                <a:srgbClr val="1F497D">
                  <a:lumMod val="75000"/>
                </a:srgbClr>
              </a:solidFill>
            </a:ln>
          </c:spPr>
          <c:marker>
            <c:symbol val="circle"/>
            <c:size val="29"/>
            <c:spPr>
              <a:solidFill>
                <a:srgbClr val="FFDDFF"/>
              </a:solidFill>
              <a:ln>
                <a:solidFill>
                  <a:srgbClr val="002060"/>
                </a:solidFill>
              </a:ln>
            </c:spPr>
          </c:marker>
          <c:dLbls>
            <c:dLbl>
              <c:idx val="0"/>
              <c:layout>
                <c:manualLayout>
                  <c:x val="-7.3025945527300878E-2"/>
                  <c:y val="2.1583348593054818E-3"/>
                </c:manualLayout>
              </c:layout>
              <c:dLblPos val="r"/>
              <c:showVal val="1"/>
            </c:dLbl>
            <c:dLbl>
              <c:idx val="1"/>
              <c:layout>
                <c:manualLayout>
                  <c:x val="-7.1903790714685292E-2"/>
                  <c:y val="-1.8096807666483621E-2"/>
                </c:manualLayout>
              </c:layout>
              <c:dLblPos val="r"/>
              <c:showVal val="1"/>
            </c:dLbl>
            <c:dLbl>
              <c:idx val="2"/>
              <c:layout>
                <c:manualLayout>
                  <c:x val="-6.8185017856374514E-2"/>
                  <c:y val="-9.9989826853038727E-3"/>
                </c:manualLayout>
              </c:layout>
              <c:dLblPos val="r"/>
              <c:showVal val="1"/>
            </c:dLbl>
            <c:dLbl>
              <c:idx val="3"/>
              <c:layout>
                <c:manualLayout>
                  <c:x val="-6.4363495546664123E-2"/>
                  <c:y val="-1.4695721174388087E-2"/>
                </c:manualLayout>
              </c:layout>
              <c:dLblPos val="r"/>
              <c:showVal val="1"/>
            </c:dLbl>
            <c:dLbl>
              <c:idx val="4"/>
              <c:layout>
                <c:manualLayout>
                  <c:x val="1.3980315393791643E-2"/>
                  <c:y val="-5.6548754775831177E-2"/>
                </c:manualLayout>
              </c:layout>
              <c:dLblPos val="r"/>
              <c:showVal val="1"/>
            </c:dLbl>
            <c:spPr>
              <a:noFill/>
              <a:ln w="28553">
                <a:noFill/>
              </a:ln>
            </c:spPr>
            <c:txPr>
              <a:bodyPr/>
              <a:lstStyle/>
              <a:p>
                <a:pPr>
                  <a:defRPr b="1">
                    <a:latin typeface="Times New Roman" pitchFamily="18" charset="0"/>
                    <a:cs typeface="Times New Roman" pitchFamily="18" charset="0"/>
                  </a:defRPr>
                </a:pPr>
                <a:endParaRPr lang="ru-RU"/>
              </a:p>
            </c:txPr>
            <c:showVal val="1"/>
          </c:dLbls>
          <c:cat>
            <c:strRef>
              <c:f>Лист3!$C$7:$F$7</c:f>
              <c:strCache>
                <c:ptCount val="4"/>
                <c:pt idx="0">
                  <c:v>2010</c:v>
                </c:pt>
                <c:pt idx="1">
                  <c:v>2011</c:v>
                </c:pt>
                <c:pt idx="2">
                  <c:v>2012</c:v>
                </c:pt>
                <c:pt idx="3">
                  <c:v>2013 прогноз</c:v>
                </c:pt>
              </c:strCache>
            </c:strRef>
          </c:cat>
          <c:val>
            <c:numRef>
              <c:f>Лист3!$C$8:$F$8</c:f>
              <c:numCache>
                <c:formatCode>General</c:formatCode>
                <c:ptCount val="4"/>
                <c:pt idx="0">
                  <c:v>10667</c:v>
                </c:pt>
                <c:pt idx="1">
                  <c:v>10374</c:v>
                </c:pt>
                <c:pt idx="2">
                  <c:v>9970</c:v>
                </c:pt>
                <c:pt idx="3">
                  <c:v>9520</c:v>
                </c:pt>
              </c:numCache>
            </c:numRef>
          </c:val>
          <c:smooth val="1"/>
        </c:ser>
        <c:dLbls>
          <c:showVal val="1"/>
        </c:dLbls>
        <c:marker val="1"/>
        <c:axId val="197492096"/>
        <c:axId val="197837952"/>
      </c:lineChart>
      <c:catAx>
        <c:axId val="197492096"/>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97837952"/>
        <c:crosses val="autoZero"/>
        <c:auto val="1"/>
        <c:lblAlgn val="ctr"/>
        <c:lblOffset val="100"/>
        <c:tickLblSkip val="1"/>
        <c:tickMarkSkip val="1"/>
      </c:catAx>
      <c:valAx>
        <c:axId val="197837952"/>
        <c:scaling>
          <c:orientation val="minMax"/>
          <c:max val="12000"/>
          <c:min val="5000"/>
        </c:scaling>
        <c:delete val="1"/>
        <c:axPos val="l"/>
        <c:numFmt formatCode="General" sourceLinked="1"/>
        <c:tickLblPos val="nextTo"/>
        <c:crossAx val="197492096"/>
        <c:crosses val="autoZero"/>
        <c:crossBetween val="between"/>
      </c:valAx>
      <c:spPr>
        <a:noFill/>
        <a:ln w="28553">
          <a:noFill/>
        </a:ln>
      </c:spPr>
    </c:plotArea>
    <c:plotVisOnly val="1"/>
    <c:dispBlanksAs val="gap"/>
  </c:chart>
  <c:spPr>
    <a:noFill/>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solidFill>
          <a:srgbClr val="8FCADD"/>
        </a:solidFill>
        <a:ln>
          <a:solidFill>
            <a:sysClr val="windowText" lastClr="000000"/>
          </a:solidFill>
        </a:ln>
      </c:spPr>
    </c:floor>
    <c:sideWall>
      <c:spPr>
        <a:noFill/>
        <a:ln>
          <a:noFill/>
        </a:ln>
      </c:spPr>
    </c:sideWall>
    <c:backWall>
      <c:spPr>
        <a:noFill/>
        <a:ln>
          <a:noFill/>
        </a:ln>
      </c:spPr>
    </c:backWall>
    <c:plotArea>
      <c:layout>
        <c:manualLayout>
          <c:layoutTarget val="inner"/>
          <c:xMode val="edge"/>
          <c:yMode val="edge"/>
          <c:x val="0"/>
          <c:y val="0"/>
          <c:w val="1"/>
          <c:h val="0.80821859305886534"/>
        </c:manualLayout>
      </c:layout>
      <c:bar3DChart>
        <c:barDir val="col"/>
        <c:grouping val="clustered"/>
        <c:ser>
          <c:idx val="0"/>
          <c:order val="0"/>
          <c:tx>
            <c:strRef>
              <c:f>Лист1!$A$2</c:f>
              <c:strCache>
                <c:ptCount val="1"/>
                <c:pt idx="0">
                  <c:v>обсяг платних послуг, що надають заклади культури і мистецтва, млн.грн.</c:v>
                </c:pt>
              </c:strCache>
            </c:strRef>
          </c:tx>
          <c:spPr>
            <a:solidFill>
              <a:srgbClr val="FFFF00"/>
            </a:solidFill>
            <a:ln>
              <a:solidFill>
                <a:sysClr val="windowText" lastClr="000000"/>
              </a:solidFill>
            </a:ln>
          </c:spPr>
          <c:dLbls>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c:v>40.5</c:v>
                </c:pt>
                <c:pt idx="1">
                  <c:v>40.6</c:v>
                </c:pt>
                <c:pt idx="2" formatCode="0.0">
                  <c:v>43</c:v>
                </c:pt>
              </c:numCache>
            </c:numRef>
          </c:val>
        </c:ser>
        <c:shape val="pyramid"/>
        <c:axId val="197935872"/>
        <c:axId val="197937408"/>
        <c:axId val="0"/>
      </c:bar3DChart>
      <c:catAx>
        <c:axId val="197935872"/>
        <c:scaling>
          <c:orientation val="minMax"/>
        </c:scaling>
        <c:axPos val="b"/>
        <c:tickLblPos val="nextTo"/>
        <c:txPr>
          <a:bodyPr/>
          <a:lstStyle/>
          <a:p>
            <a:pPr>
              <a:defRPr>
                <a:latin typeface="Times New Roman" pitchFamily="18" charset="0"/>
                <a:cs typeface="Times New Roman" pitchFamily="18" charset="0"/>
              </a:defRPr>
            </a:pPr>
            <a:endParaRPr lang="ru-RU"/>
          </a:p>
        </c:txPr>
        <c:crossAx val="197937408"/>
        <c:crosses val="autoZero"/>
        <c:auto val="1"/>
        <c:lblAlgn val="ctr"/>
        <c:lblOffset val="100"/>
      </c:catAx>
      <c:valAx>
        <c:axId val="197937408"/>
        <c:scaling>
          <c:orientation val="minMax"/>
          <c:min val="30"/>
        </c:scaling>
        <c:delete val="1"/>
        <c:axPos val="l"/>
        <c:numFmt formatCode="General" sourceLinked="1"/>
        <c:tickLblPos val="nextTo"/>
        <c:crossAx val="197935872"/>
        <c:crosses val="autoZero"/>
        <c:crossBetween val="between"/>
      </c:valAx>
      <c:spPr>
        <a:noFill/>
        <a:ln>
          <a:noFill/>
        </a:ln>
      </c:spPr>
    </c:plotArea>
    <c:plotVisOnly val="1"/>
  </c:chart>
  <c:spPr>
    <a:noFill/>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3.7040665752230445E-2"/>
          <c:y val="5.6603773584905662E-2"/>
          <c:w val="0.63926357473592388"/>
          <c:h val="0.74435006842079265"/>
        </c:manualLayout>
      </c:layout>
      <c:barChart>
        <c:barDir val="col"/>
        <c:grouping val="clustered"/>
        <c:ser>
          <c:idx val="0"/>
          <c:order val="0"/>
          <c:tx>
            <c:strRef>
              <c:f>Лист1!$A$3</c:f>
              <c:strCache>
                <c:ptCount val="1"/>
                <c:pt idx="0">
                  <c:v>загальна кількість осіб, що займаються фізичною культурою і спортом, тис.осіб</c:v>
                </c:pt>
              </c:strCache>
            </c:strRef>
          </c:tx>
          <c:spPr>
            <a:solidFill>
              <a:srgbClr val="00BC00"/>
            </a:solidFill>
          </c:spPr>
          <c:dLbls>
            <c:spPr>
              <a:noFill/>
              <a:ln w="26282">
                <a:noFill/>
              </a:ln>
            </c:spPr>
            <c:txPr>
              <a:bodyPr/>
              <a:lstStyle/>
              <a:p>
                <a:pPr>
                  <a:defRPr b="1">
                    <a:latin typeface="Times New Roman" pitchFamily="18" charset="0"/>
                    <a:cs typeface="Times New Roman" pitchFamily="18" charset="0"/>
                  </a:defRPr>
                </a:pPr>
                <a:endParaRPr lang="ru-RU"/>
              </a:p>
            </c:txPr>
            <c:showVal val="1"/>
          </c:dLbls>
          <c:cat>
            <c:strRef>
              <c:f>Лист1!$B$2:$D$2</c:f>
              <c:strCache>
                <c:ptCount val="3"/>
                <c:pt idx="0">
                  <c:v>2011</c:v>
                </c:pt>
                <c:pt idx="1">
                  <c:v>2012 очік</c:v>
                </c:pt>
                <c:pt idx="2">
                  <c:v>2013 прогноз</c:v>
                </c:pt>
              </c:strCache>
            </c:strRef>
          </c:cat>
          <c:val>
            <c:numRef>
              <c:f>Лист1!$B$3:$D$3</c:f>
              <c:numCache>
                <c:formatCode>General</c:formatCode>
                <c:ptCount val="3"/>
                <c:pt idx="0" formatCode="0.0">
                  <c:v>741.1</c:v>
                </c:pt>
                <c:pt idx="1">
                  <c:v>741.7</c:v>
                </c:pt>
                <c:pt idx="2" formatCode="0.0">
                  <c:v>742</c:v>
                </c:pt>
              </c:numCache>
            </c:numRef>
          </c:val>
        </c:ser>
        <c:dLbls>
          <c:showVal val="1"/>
        </c:dLbls>
        <c:gapWidth val="190"/>
        <c:axId val="198238208"/>
        <c:axId val="198239744"/>
      </c:barChart>
      <c:lineChart>
        <c:grouping val="standard"/>
        <c:ser>
          <c:idx val="1"/>
          <c:order val="1"/>
          <c:tx>
            <c:strRef>
              <c:f>Лист1!$A$4</c:f>
              <c:strCache>
                <c:ptCount val="1"/>
                <c:pt idx="0">
                  <c:v>у % до загальної кількості населення області </c:v>
                </c:pt>
              </c:strCache>
            </c:strRef>
          </c:tx>
          <c:spPr>
            <a:ln w="32762">
              <a:solidFill>
                <a:schemeClr val="tx2">
                  <a:lumMod val="75000"/>
                </a:schemeClr>
              </a:solidFill>
            </a:ln>
          </c:spPr>
          <c:marker>
            <c:symbol val="square"/>
            <c:size val="7"/>
            <c:spPr>
              <a:solidFill>
                <a:sysClr val="window" lastClr="FFFFFF"/>
              </a:solidFill>
              <a:ln>
                <a:solidFill>
                  <a:srgbClr val="1F497D">
                    <a:lumMod val="75000"/>
                  </a:srgbClr>
                </a:solidFill>
              </a:ln>
            </c:spPr>
          </c:marker>
          <c:dLbls>
            <c:dLbl>
              <c:idx val="0"/>
              <c:layout>
                <c:manualLayout>
                  <c:x val="-4.0429874150346594E-2"/>
                  <c:y val="0.1162246719160135"/>
                </c:manualLayout>
              </c:layout>
              <c:dLblPos val="r"/>
              <c:showVal val="1"/>
            </c:dLbl>
            <c:dLbl>
              <c:idx val="1"/>
              <c:layout>
                <c:manualLayout>
                  <c:x val="-4.6244027188909055E-2"/>
                  <c:y val="0.12638670166229221"/>
                </c:manualLayout>
              </c:layout>
              <c:dLblPos val="r"/>
              <c:showVal val="1"/>
            </c:dLbl>
            <c:dLbl>
              <c:idx val="2"/>
              <c:layout>
                <c:manualLayout>
                  <c:x val="-4.4773242353795734E-2"/>
                  <c:y val="0.10565931843368478"/>
                </c:manualLayout>
              </c:layout>
              <c:dLblPos val="r"/>
              <c:showVal val="1"/>
            </c:dLbl>
            <c:spPr>
              <a:noFill/>
              <a:ln w="26282">
                <a:noFill/>
              </a:ln>
            </c:spPr>
            <c:txPr>
              <a:bodyPr/>
              <a:lstStyle/>
              <a:p>
                <a:pPr>
                  <a:defRPr b="1">
                    <a:latin typeface="Times New Roman" pitchFamily="18" charset="0"/>
                    <a:cs typeface="Times New Roman" pitchFamily="18" charset="0"/>
                  </a:defRPr>
                </a:pPr>
                <a:endParaRPr lang="ru-RU"/>
              </a:p>
            </c:txPr>
            <c:showVal val="1"/>
          </c:dLbls>
          <c:cat>
            <c:strRef>
              <c:f>Лист1!$B$2:$D$2</c:f>
              <c:strCache>
                <c:ptCount val="3"/>
                <c:pt idx="0">
                  <c:v>2011</c:v>
                </c:pt>
                <c:pt idx="1">
                  <c:v>2012 очік</c:v>
                </c:pt>
                <c:pt idx="2">
                  <c:v>2013 прогноз</c:v>
                </c:pt>
              </c:strCache>
            </c:strRef>
          </c:cat>
          <c:val>
            <c:numRef>
              <c:f>Лист1!$B$4:$D$4</c:f>
              <c:numCache>
                <c:formatCode>General</c:formatCode>
                <c:ptCount val="3"/>
                <c:pt idx="0" formatCode="0.0">
                  <c:v>16.8</c:v>
                </c:pt>
                <c:pt idx="1">
                  <c:v>16.899999999999999</c:v>
                </c:pt>
                <c:pt idx="2" formatCode="0.0">
                  <c:v>17</c:v>
                </c:pt>
              </c:numCache>
            </c:numRef>
          </c:val>
        </c:ser>
        <c:dLbls>
          <c:showVal val="1"/>
        </c:dLbls>
        <c:marker val="1"/>
        <c:axId val="198241280"/>
        <c:axId val="198460160"/>
      </c:lineChart>
      <c:catAx>
        <c:axId val="198238208"/>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98239744"/>
        <c:crosses val="autoZero"/>
        <c:lblAlgn val="ctr"/>
        <c:lblOffset val="100"/>
        <c:tickLblSkip val="1"/>
        <c:tickMarkSkip val="1"/>
      </c:catAx>
      <c:valAx>
        <c:axId val="198239744"/>
        <c:scaling>
          <c:orientation val="minMax"/>
        </c:scaling>
        <c:axPos val="l"/>
        <c:numFmt formatCode="0.0" sourceLinked="1"/>
        <c:majorTickMark val="cross"/>
        <c:tickLblPos val="nextTo"/>
        <c:spPr>
          <a:ln>
            <a:noFill/>
          </a:ln>
        </c:spPr>
        <c:txPr>
          <a:bodyPr rot="0" vert="horz"/>
          <a:lstStyle/>
          <a:p>
            <a:pPr>
              <a:defRPr sz="103">
                <a:solidFill>
                  <a:schemeClr val="bg1"/>
                </a:solidFill>
              </a:defRPr>
            </a:pPr>
            <a:endParaRPr lang="ru-RU"/>
          </a:p>
        </c:txPr>
        <c:crossAx val="198238208"/>
        <c:crosses val="autoZero"/>
        <c:crossBetween val="between"/>
      </c:valAx>
      <c:catAx>
        <c:axId val="198241280"/>
        <c:scaling>
          <c:orientation val="minMax"/>
        </c:scaling>
        <c:delete val="1"/>
        <c:axPos val="b"/>
        <c:tickLblPos val="nextTo"/>
        <c:crossAx val="198460160"/>
        <c:crosses val="autoZero"/>
        <c:lblAlgn val="ctr"/>
        <c:lblOffset val="100"/>
      </c:catAx>
      <c:valAx>
        <c:axId val="198460160"/>
        <c:scaling>
          <c:orientation val="minMax"/>
          <c:max val="19"/>
          <c:min val="16"/>
        </c:scaling>
        <c:axPos val="r"/>
        <c:numFmt formatCode="0.0" sourceLinked="1"/>
        <c:majorTickMark val="cross"/>
        <c:tickLblPos val="nextTo"/>
        <c:spPr>
          <a:ln>
            <a:noFill/>
          </a:ln>
        </c:spPr>
        <c:txPr>
          <a:bodyPr rot="0" vert="horz"/>
          <a:lstStyle/>
          <a:p>
            <a:pPr>
              <a:defRPr sz="103">
                <a:solidFill>
                  <a:schemeClr val="bg1"/>
                </a:solidFill>
              </a:defRPr>
            </a:pPr>
            <a:endParaRPr lang="ru-RU"/>
          </a:p>
        </c:txPr>
        <c:crossAx val="198241280"/>
        <c:crosses val="max"/>
        <c:crossBetween val="between"/>
      </c:valAx>
      <c:spPr>
        <a:noFill/>
        <a:ln w="26282">
          <a:noFill/>
        </a:ln>
      </c:spPr>
    </c:plotArea>
    <c:legend>
      <c:legendPos val="r"/>
      <c:layout>
        <c:manualLayout>
          <c:xMode val="edge"/>
          <c:yMode val="edge"/>
          <c:x val="0.64852564102564103"/>
          <c:y val="6.6724653604345971E-2"/>
          <c:w val="0.33865384615385624"/>
          <c:h val="0.8200390648843313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1.5845070422535221E-2"/>
          <c:y val="0.10112359550561822"/>
          <c:w val="0.64084507042257"/>
          <c:h val="0.60224759405074368"/>
        </c:manualLayout>
      </c:layout>
      <c:barChart>
        <c:barDir val="col"/>
        <c:grouping val="clustered"/>
        <c:ser>
          <c:idx val="1"/>
          <c:order val="0"/>
          <c:tx>
            <c:strRef>
              <c:f>Лист1!$A$2</c:f>
              <c:strCache>
                <c:ptCount val="1"/>
                <c:pt idx="0">
                  <c:v>обсяг туристичних послуг, млн.грн.</c:v>
                </c:pt>
              </c:strCache>
            </c:strRef>
          </c:tx>
          <c:spPr>
            <a:solidFill>
              <a:srgbClr val="FF66CC"/>
            </a:solidFill>
          </c:spPr>
          <c:dLbls>
            <c:dLbl>
              <c:idx val="0"/>
              <c:layout>
                <c:manualLayout>
                  <c:x val="-2.2131018253779434E-3"/>
                  <c:y val="-1.2026337117079362E-2"/>
                </c:manualLayout>
              </c:layout>
              <c:dLblPos val="outEnd"/>
              <c:showVal val="1"/>
            </c:dLbl>
            <c:dLbl>
              <c:idx val="1"/>
              <c:layout>
                <c:manualLayout>
                  <c:x val="1.3445531344182516E-3"/>
                  <c:y val="-2.3669732947971152E-3"/>
                </c:manualLayout>
              </c:layout>
              <c:dLblPos val="outEnd"/>
              <c:showVal val="1"/>
            </c:dLbl>
            <c:dLbl>
              <c:idx val="2"/>
              <c:layout>
                <c:manualLayout>
                  <c:x val="-2.8616531908145781E-3"/>
                  <c:y val="6.3933588297403123E-4"/>
                </c:manualLayout>
              </c:layout>
              <c:dLblPos val="outEnd"/>
              <c:showVal val="1"/>
            </c:dLbl>
            <c:spPr>
              <a:noFill/>
              <a:ln w="25175">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c:v>491.3</c:v>
                </c:pt>
                <c:pt idx="1">
                  <c:v>495.5</c:v>
                </c:pt>
                <c:pt idx="2">
                  <c:v>500.6</c:v>
                </c:pt>
              </c:numCache>
            </c:numRef>
          </c:val>
        </c:ser>
        <c:dLbls>
          <c:showVal val="1"/>
        </c:dLbls>
        <c:axId val="198331008"/>
        <c:axId val="198345088"/>
      </c:barChart>
      <c:lineChart>
        <c:grouping val="standard"/>
        <c:ser>
          <c:idx val="2"/>
          <c:order val="1"/>
          <c:tx>
            <c:strRef>
              <c:f>Лист1!$A$3</c:f>
              <c:strCache>
                <c:ptCount val="1"/>
                <c:pt idx="0">
                  <c:v>загальна чисельність туристів, тис.осіб</c:v>
                </c:pt>
              </c:strCache>
            </c:strRef>
          </c:tx>
          <c:spPr>
            <a:ln w="31441">
              <a:solidFill>
                <a:srgbClr val="006600"/>
              </a:solidFill>
            </a:ln>
          </c:spPr>
          <c:marker>
            <c:symbol val="circle"/>
            <c:size val="26"/>
            <c:spPr>
              <a:solidFill>
                <a:schemeClr val="bg1"/>
              </a:solidFill>
            </c:spPr>
          </c:marker>
          <c:dLbls>
            <c:dLbl>
              <c:idx val="0"/>
              <c:layout>
                <c:manualLayout>
                  <c:x val="-6.8982735289576713E-2"/>
                  <c:y val="-1.6138248205699952E-3"/>
                </c:manualLayout>
              </c:layout>
              <c:dLblPos val="r"/>
              <c:showVal val="1"/>
            </c:dLbl>
            <c:dLbl>
              <c:idx val="1"/>
              <c:layout>
                <c:manualLayout>
                  <c:x val="-6.971927816981352E-2"/>
                  <c:y val="-1.6006999125109361E-2"/>
                </c:manualLayout>
              </c:layout>
              <c:dLblPos val="r"/>
              <c:showVal val="1"/>
            </c:dLbl>
            <c:dLbl>
              <c:idx val="2"/>
              <c:layout>
                <c:manualLayout>
                  <c:x val="-7.0034420437929984E-2"/>
                  <c:y val="-8.1763779527559057E-3"/>
                </c:manualLayout>
              </c:layout>
              <c:dLblPos val="r"/>
              <c:showVal val="1"/>
            </c:dLbl>
            <c:spPr>
              <a:noFill/>
              <a:ln w="25175">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Лист1!$B$3:$D$3</c:f>
              <c:numCache>
                <c:formatCode>0.0</c:formatCode>
                <c:ptCount val="3"/>
                <c:pt idx="0" formatCode="General">
                  <c:v>152.4</c:v>
                </c:pt>
                <c:pt idx="1">
                  <c:v>167.8</c:v>
                </c:pt>
                <c:pt idx="2" formatCode="General">
                  <c:v>161.80000000000001</c:v>
                </c:pt>
              </c:numCache>
            </c:numRef>
          </c:val>
        </c:ser>
        <c:dLbls>
          <c:showVal val="1"/>
        </c:dLbls>
        <c:marker val="1"/>
        <c:axId val="198346624"/>
        <c:axId val="198348160"/>
      </c:lineChart>
      <c:catAx>
        <c:axId val="198331008"/>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98345088"/>
        <c:crosses val="autoZero"/>
        <c:lblAlgn val="ctr"/>
        <c:lblOffset val="100"/>
        <c:tickLblSkip val="1"/>
        <c:tickMarkSkip val="1"/>
      </c:catAx>
      <c:valAx>
        <c:axId val="198345088"/>
        <c:scaling>
          <c:orientation val="minMax"/>
          <c:max val="600"/>
        </c:scaling>
        <c:axPos val="l"/>
        <c:numFmt formatCode="General" sourceLinked="1"/>
        <c:majorTickMark val="none"/>
        <c:tickLblPos val="none"/>
        <c:spPr>
          <a:ln>
            <a:noFill/>
          </a:ln>
        </c:spPr>
        <c:crossAx val="198331008"/>
        <c:crosses val="autoZero"/>
        <c:crossBetween val="between"/>
      </c:valAx>
      <c:catAx>
        <c:axId val="198346624"/>
        <c:scaling>
          <c:orientation val="minMax"/>
        </c:scaling>
        <c:delete val="1"/>
        <c:axPos val="b"/>
        <c:tickLblPos val="nextTo"/>
        <c:crossAx val="198348160"/>
        <c:crossesAt val="50"/>
        <c:lblAlgn val="ctr"/>
        <c:lblOffset val="100"/>
      </c:catAx>
      <c:valAx>
        <c:axId val="198348160"/>
        <c:scaling>
          <c:orientation val="minMax"/>
          <c:max val="500"/>
          <c:min val="0"/>
        </c:scaling>
        <c:axPos val="r"/>
        <c:numFmt formatCode="General" sourceLinked="1"/>
        <c:majorTickMark val="none"/>
        <c:tickLblPos val="none"/>
        <c:spPr>
          <a:ln>
            <a:noFill/>
          </a:ln>
        </c:spPr>
        <c:crossAx val="198346624"/>
        <c:crosses val="max"/>
        <c:crossBetween val="between"/>
      </c:valAx>
      <c:spPr>
        <a:noFill/>
        <a:ln w="25175">
          <a:noFill/>
        </a:ln>
      </c:spPr>
    </c:plotArea>
    <c:legend>
      <c:legendPos val="r"/>
      <c:layout>
        <c:manualLayout>
          <c:xMode val="edge"/>
          <c:yMode val="edge"/>
          <c:x val="0.71146482122260657"/>
          <c:y val="0.13844982340170744"/>
          <c:w val="0.27469434832756634"/>
          <c:h val="0.591413110398219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6929982046678635E-2"/>
          <c:y val="2.7027027027028337E-2"/>
          <c:w val="0.70699725986028383"/>
          <c:h val="0.71535758760082002"/>
        </c:manualLayout>
      </c:layout>
      <c:barChart>
        <c:barDir val="col"/>
        <c:grouping val="clustered"/>
        <c:ser>
          <c:idx val="0"/>
          <c:order val="0"/>
          <c:tx>
            <c:strRef>
              <c:f>Лист3!$A$4</c:f>
              <c:strCache>
                <c:ptCount val="1"/>
                <c:pt idx="0">
                  <c:v>Збір, всього</c:v>
                </c:pt>
              </c:strCache>
            </c:strRef>
          </c:tx>
          <c:spPr>
            <a:solidFill>
              <a:srgbClr val="FF8080"/>
            </a:solidFill>
            <a:ln>
              <a:solidFill>
                <a:srgbClr val="7E0000"/>
              </a:solidFill>
            </a:ln>
          </c:spPr>
          <c:dLbls>
            <c:dLbl>
              <c:idx val="0"/>
              <c:layout>
                <c:manualLayout>
                  <c:x val="0"/>
                  <c:y val="-4.8661800486617855E-2"/>
                </c:manualLayout>
              </c:layout>
              <c:dLblPos val="inBase"/>
              <c:showVal val="1"/>
            </c:dLbl>
            <c:dLbl>
              <c:idx val="1"/>
              <c:layout>
                <c:manualLayout>
                  <c:x val="-4.140786749482402E-3"/>
                  <c:y val="-0.10705596107056002"/>
                </c:manualLayout>
              </c:layout>
              <c:dLblPos val="inBase"/>
              <c:showVal val="1"/>
            </c:dLbl>
            <c:dLbl>
              <c:idx val="2"/>
              <c:layout>
                <c:manualLayout>
                  <c:x val="-2.0703933747412092E-3"/>
                  <c:y val="-0.15571776155717931"/>
                </c:manualLayout>
              </c:layout>
              <c:dLblPos val="inBase"/>
              <c:showVal val="1"/>
            </c:dLbl>
            <c:dLbl>
              <c:idx val="3"/>
              <c:layout>
                <c:manualLayout>
                  <c:x val="-2.0703933747412092E-3"/>
                  <c:y val="-0.19464720194647284"/>
                </c:manualLayout>
              </c:layout>
              <c:dLblPos val="inBase"/>
              <c:showVal val="1"/>
            </c:dLbl>
            <c:dLbl>
              <c:idx val="4"/>
              <c:layout>
                <c:manualLayout>
                  <c:x val="-2.0703933747412092E-3"/>
                  <c:y val="-0.19464720194647284"/>
                </c:manualLayout>
              </c:layout>
              <c:dLblPos val="inBase"/>
              <c:showVal val="1"/>
            </c:dLbl>
            <c:txPr>
              <a:bodyPr/>
              <a:lstStyle/>
              <a:p>
                <a:pPr>
                  <a:defRPr sz="1000" b="1"/>
                </a:pPr>
                <a:endParaRPr lang="ru-RU"/>
              </a:p>
            </c:txPr>
            <c:dLblPos val="inBase"/>
            <c:showVal val="1"/>
          </c:dLbls>
          <c:cat>
            <c:numRef>
              <c:f>Лист3!$B$3:$F$3</c:f>
              <c:numCache>
                <c:formatCode>General</c:formatCode>
                <c:ptCount val="5"/>
                <c:pt idx="0">
                  <c:v>2009</c:v>
                </c:pt>
                <c:pt idx="1">
                  <c:v>2010</c:v>
                </c:pt>
                <c:pt idx="2">
                  <c:v>2011</c:v>
                </c:pt>
                <c:pt idx="3">
                  <c:v>2012</c:v>
                </c:pt>
                <c:pt idx="4">
                  <c:v>2013</c:v>
                </c:pt>
              </c:numCache>
            </c:numRef>
          </c:cat>
          <c:val>
            <c:numRef>
              <c:f>Лист3!$B$4:$F$4</c:f>
              <c:numCache>
                <c:formatCode>General</c:formatCode>
                <c:ptCount val="5"/>
                <c:pt idx="0">
                  <c:v>13.8</c:v>
                </c:pt>
                <c:pt idx="1">
                  <c:v>18.8</c:v>
                </c:pt>
                <c:pt idx="2">
                  <c:v>25.9</c:v>
                </c:pt>
                <c:pt idx="3">
                  <c:v>27.6</c:v>
                </c:pt>
                <c:pt idx="4">
                  <c:v>27.7</c:v>
                </c:pt>
              </c:numCache>
            </c:numRef>
          </c:val>
        </c:ser>
        <c:ser>
          <c:idx val="1"/>
          <c:order val="1"/>
          <c:tx>
            <c:strRef>
              <c:f>Лист3!$A$5</c:f>
              <c:strCache>
                <c:ptCount val="1"/>
                <c:pt idx="0">
                  <c:v>в т.ч. до державного бюджету</c:v>
                </c:pt>
              </c:strCache>
            </c:strRef>
          </c:tx>
          <c:spPr>
            <a:solidFill>
              <a:srgbClr val="264264"/>
            </a:solidFill>
          </c:spPr>
          <c:dLbls>
            <c:spPr>
              <a:noFill/>
              <a:ln w="18503">
                <a:noFill/>
              </a:ln>
            </c:spPr>
            <c:txPr>
              <a:bodyPr/>
              <a:lstStyle/>
              <a:p>
                <a:pPr>
                  <a:defRPr sz="1000" b="1" i="0" u="none" strike="noStrike" baseline="0">
                    <a:solidFill>
                      <a:srgbClr val="FFFFFF"/>
                    </a:solidFill>
                    <a:latin typeface="Times New Roman"/>
                    <a:ea typeface="Times New Roman"/>
                    <a:cs typeface="Times New Roman"/>
                  </a:defRPr>
                </a:pPr>
                <a:endParaRPr lang="ru-RU"/>
              </a:p>
            </c:txPr>
            <c:dLblPos val="ctr"/>
            <c:showVal val="1"/>
          </c:dLbls>
          <c:cat>
            <c:numRef>
              <c:f>Лист3!$B$3:$F$3</c:f>
              <c:numCache>
                <c:formatCode>General</c:formatCode>
                <c:ptCount val="5"/>
                <c:pt idx="0">
                  <c:v>2009</c:v>
                </c:pt>
                <c:pt idx="1">
                  <c:v>2010</c:v>
                </c:pt>
                <c:pt idx="2">
                  <c:v>2011</c:v>
                </c:pt>
                <c:pt idx="3">
                  <c:v>2012</c:v>
                </c:pt>
                <c:pt idx="4">
                  <c:v>2013</c:v>
                </c:pt>
              </c:numCache>
            </c:numRef>
          </c:cat>
          <c:val>
            <c:numRef>
              <c:f>Лист3!$B$5:$F$5</c:f>
              <c:numCache>
                <c:formatCode>General</c:formatCode>
                <c:ptCount val="5"/>
                <c:pt idx="0">
                  <c:v>7.3</c:v>
                </c:pt>
                <c:pt idx="1">
                  <c:v>11.1</c:v>
                </c:pt>
                <c:pt idx="2">
                  <c:v>16.8</c:v>
                </c:pt>
                <c:pt idx="3">
                  <c:v>17.100000000000001</c:v>
                </c:pt>
                <c:pt idx="4">
                  <c:v>16.100000000000001</c:v>
                </c:pt>
              </c:numCache>
            </c:numRef>
          </c:val>
        </c:ser>
        <c:dLbls>
          <c:showVal val="1"/>
        </c:dLbls>
        <c:gapWidth val="55"/>
        <c:axId val="198476160"/>
        <c:axId val="198477696"/>
      </c:barChart>
      <c:catAx>
        <c:axId val="198476160"/>
        <c:scaling>
          <c:orientation val="minMax"/>
        </c:scaling>
        <c:axPos val="b"/>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8477696"/>
        <c:crosses val="autoZero"/>
        <c:auto val="1"/>
        <c:lblAlgn val="ctr"/>
        <c:lblOffset val="100"/>
        <c:tickLblSkip val="1"/>
        <c:tickMarkSkip val="1"/>
      </c:catAx>
      <c:valAx>
        <c:axId val="198477696"/>
        <c:scaling>
          <c:orientation val="minMax"/>
          <c:max val="29"/>
          <c:min val="0"/>
        </c:scaling>
        <c:axPos val="l"/>
        <c:numFmt formatCode="General" sourceLinked="1"/>
        <c:tickLblPos val="nextTo"/>
        <c:spPr>
          <a:ln>
            <a:noFill/>
          </a:ln>
        </c:spPr>
        <c:txPr>
          <a:bodyPr/>
          <a:lstStyle/>
          <a:p>
            <a:pPr>
              <a:defRPr sz="100">
                <a:solidFill>
                  <a:schemeClr val="bg1"/>
                </a:solidFill>
              </a:defRPr>
            </a:pPr>
            <a:endParaRPr lang="ru-RU"/>
          </a:p>
        </c:txPr>
        <c:crossAx val="198476160"/>
        <c:crosses val="autoZero"/>
        <c:crossBetween val="between"/>
      </c:valAx>
      <c:spPr>
        <a:noFill/>
        <a:ln w="18503">
          <a:noFill/>
        </a:ln>
      </c:spPr>
    </c:plotArea>
    <c:legend>
      <c:legendPos val="b"/>
      <c:layout>
        <c:manualLayout>
          <c:xMode val="edge"/>
          <c:yMode val="edge"/>
          <c:x val="0.75760890081900945"/>
          <c:y val="0.17258913032411274"/>
          <c:w val="0.24097650230269441"/>
          <c:h val="0.53497269363070254"/>
        </c:manualLayout>
      </c:layout>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01" b="0" i="0" u="none" strike="noStrike" baseline="0">
          <a:solidFill>
            <a:srgbClr val="000000"/>
          </a:solidFill>
          <a:latin typeface="Times New Roman"/>
          <a:ea typeface="Times New Roman"/>
          <a:cs typeface="Times New Roman"/>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7.3478986422993428E-2"/>
          <c:y val="1.3136374482115507E-3"/>
          <c:w val="0.87023411425423669"/>
          <c:h val="0.52918659955790193"/>
        </c:manualLayout>
      </c:layout>
      <c:barChart>
        <c:barDir val="col"/>
        <c:grouping val="clustered"/>
        <c:ser>
          <c:idx val="0"/>
          <c:order val="0"/>
          <c:tx>
            <c:strRef>
              <c:f>Лист1!$A$2</c:f>
              <c:strCache>
                <c:ptCount val="1"/>
                <c:pt idx="0">
                  <c:v>Кредитні ресурси, млрд. грн.</c:v>
                </c:pt>
              </c:strCache>
            </c:strRef>
          </c:tx>
          <c:spPr>
            <a:solidFill>
              <a:srgbClr val="003A00"/>
            </a:solidFill>
          </c:spPr>
          <c:dLbls>
            <c:dLbl>
              <c:idx val="0"/>
              <c:layout>
                <c:manualLayout>
                  <c:x val="0.51986001749781274"/>
                  <c:y val="8.1195635669508229E-3"/>
                </c:manualLayout>
              </c:layout>
              <c:tx>
                <c:rich>
                  <a:bodyPr/>
                  <a:lstStyle/>
                  <a:p>
                    <a:r>
                      <a:rPr lang="ru-RU" b="1">
                        <a:latin typeface="Times New Roman" pitchFamily="18" charset="0"/>
                        <a:cs typeface="Times New Roman" pitchFamily="18" charset="0"/>
                      </a:rPr>
                      <a:t>52,8</a:t>
                    </a:r>
                  </a:p>
                </c:rich>
              </c:tx>
              <c:dLblPos val="outEnd"/>
            </c:dLbl>
            <c:dLbl>
              <c:idx val="1"/>
              <c:layout>
                <c:manualLayout>
                  <c:x val="-0.17797317002041421"/>
                  <c:y val="-3.7644736556690851E-2"/>
                </c:manualLayout>
              </c:layout>
              <c:tx>
                <c:rich>
                  <a:bodyPr/>
                  <a:lstStyle/>
                  <a:p>
                    <a:r>
                      <a:rPr lang="ru-RU" b="1">
                        <a:latin typeface="Times New Roman" pitchFamily="18" charset="0"/>
                        <a:cs typeface="Times New Roman" pitchFamily="18" charset="0"/>
                      </a:rPr>
                      <a:t>51,6</a:t>
                    </a:r>
                  </a:p>
                </c:rich>
              </c:tx>
              <c:dLblPos val="outEnd"/>
            </c:dLbl>
            <c:dLbl>
              <c:idx val="2"/>
              <c:layout>
                <c:manualLayout>
                  <c:x val="-0.17708904442500445"/>
                  <c:y val="3.1381965684042085E-2"/>
                </c:manualLayout>
              </c:layout>
              <c:tx>
                <c:rich>
                  <a:bodyPr/>
                  <a:lstStyle/>
                  <a:p>
                    <a:r>
                      <a:rPr lang="ru-RU" b="1">
                        <a:latin typeface="Times New Roman" pitchFamily="18" charset="0"/>
                        <a:cs typeface="Times New Roman" pitchFamily="18" charset="0"/>
                      </a:rPr>
                      <a:t>46,6</a:t>
                    </a:r>
                  </a:p>
                </c:rich>
              </c:tx>
              <c:dLblPos val="outEnd"/>
            </c:dLbl>
            <c:dLbl>
              <c:idx val="3"/>
              <c:layout>
                <c:manualLayout>
                  <c:x val="-0.17503143125628048"/>
                  <c:y val="4.05982516648229E-2"/>
                </c:manualLayout>
              </c:layout>
              <c:tx>
                <c:rich>
                  <a:bodyPr/>
                  <a:lstStyle/>
                  <a:p>
                    <a:r>
                      <a:rPr lang="ru-RU" b="1">
                        <a:latin typeface="Times New Roman" pitchFamily="18" charset="0"/>
                        <a:cs typeface="Times New Roman" pitchFamily="18" charset="0"/>
                      </a:rPr>
                      <a:t>48,5</a:t>
                    </a:r>
                  </a:p>
                </c:rich>
              </c:tx>
              <c:dLblPos val="outEnd"/>
            </c:dLbl>
            <c:dLbl>
              <c:idx val="4"/>
              <c:layout>
                <c:manualLayout>
                  <c:x val="-3.5150050602863682E-3"/>
                  <c:y val="3.427370612431912E-4"/>
                </c:manualLayout>
              </c:layout>
              <c:tx>
                <c:rich>
                  <a:bodyPr/>
                  <a:lstStyle/>
                  <a:p>
                    <a:r>
                      <a:rPr lang="ru-RU" b="1">
                        <a:latin typeface="Times New Roman" pitchFamily="18" charset="0"/>
                        <a:cs typeface="Times New Roman" pitchFamily="18" charset="0"/>
                      </a:rPr>
                      <a:t>57,9</a:t>
                    </a:r>
                  </a:p>
                </c:rich>
              </c:tx>
              <c:dLblPos val="outEnd"/>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01.01.2010</c:v>
                </c:pt>
                <c:pt idx="1">
                  <c:v>01.01.2011</c:v>
                </c:pt>
                <c:pt idx="2">
                  <c:v>01.01.2012</c:v>
                </c:pt>
                <c:pt idx="3">
                  <c:v>01.01.2013</c:v>
                </c:pt>
                <c:pt idx="4">
                  <c:v>01.01.2014 прогноз</c:v>
                </c:pt>
              </c:strCache>
            </c:strRef>
          </c:cat>
          <c:val>
            <c:numRef>
              <c:f>Лист1!$B$2:$F$2</c:f>
              <c:numCache>
                <c:formatCode>General</c:formatCode>
                <c:ptCount val="5"/>
                <c:pt idx="0">
                  <c:v>51635</c:v>
                </c:pt>
                <c:pt idx="1">
                  <c:v>46600</c:v>
                </c:pt>
                <c:pt idx="2">
                  <c:v>48500</c:v>
                </c:pt>
                <c:pt idx="3">
                  <c:v>52835</c:v>
                </c:pt>
                <c:pt idx="4">
                  <c:v>57900</c:v>
                </c:pt>
              </c:numCache>
            </c:numRef>
          </c:val>
        </c:ser>
        <c:ser>
          <c:idx val="1"/>
          <c:order val="1"/>
          <c:tx>
            <c:strRef>
              <c:f>Лист1!$A$3</c:f>
              <c:strCache>
                <c:ptCount val="1"/>
                <c:pt idx="0">
                  <c:v>Вклади населення, млрд. грн.</c:v>
                </c:pt>
              </c:strCache>
            </c:strRef>
          </c:tx>
          <c:spPr>
            <a:solidFill>
              <a:schemeClr val="accent3">
                <a:lumMod val="40000"/>
                <a:lumOff val="60000"/>
              </a:schemeClr>
            </a:solidFill>
            <a:ln>
              <a:solidFill>
                <a:sysClr val="windowText" lastClr="000000">
                  <a:lumMod val="95000"/>
                  <a:lumOff val="5000"/>
                </a:sysClr>
              </a:solidFill>
            </a:ln>
          </c:spPr>
          <c:dLbls>
            <c:dLbl>
              <c:idx val="0"/>
              <c:layout>
                <c:manualLayout>
                  <c:x val="0.69547813466154762"/>
                  <c:y val="-0.19381520223768026"/>
                </c:manualLayout>
              </c:layout>
              <c:tx>
                <c:rich>
                  <a:bodyPr/>
                  <a:lstStyle/>
                  <a:p>
                    <a:r>
                      <a:rPr lang="ru-RU" b="1">
                        <a:latin typeface="Times New Roman" pitchFamily="18" charset="0"/>
                        <a:cs typeface="Times New Roman" pitchFamily="18" charset="0"/>
                      </a:rPr>
                      <a:t>44,3</a:t>
                    </a:r>
                  </a:p>
                </c:rich>
              </c:tx>
              <c:dLblPos val="outEnd"/>
            </c:dLbl>
            <c:dLbl>
              <c:idx val="1"/>
              <c:layout>
                <c:manualLayout>
                  <c:x val="-0.16997346992327175"/>
                  <c:y val="0.15506525614798369"/>
                </c:manualLayout>
              </c:layout>
              <c:tx>
                <c:rich>
                  <a:bodyPr/>
                  <a:lstStyle/>
                  <a:p>
                    <a:r>
                      <a:rPr lang="ru-RU" b="1">
                        <a:latin typeface="Times New Roman" pitchFamily="18" charset="0"/>
                        <a:cs typeface="Times New Roman" pitchFamily="18" charset="0"/>
                      </a:rPr>
                      <a:t>17,8
</a:t>
                    </a:r>
                  </a:p>
                </c:rich>
              </c:tx>
              <c:dLblPos val="outEnd"/>
            </c:dLbl>
            <c:dLbl>
              <c:idx val="2"/>
              <c:layout>
                <c:manualLayout>
                  <c:x val="-0.16218512037847119"/>
                  <c:y val="-3.6997028264030012E-3"/>
                </c:manualLayout>
              </c:layout>
              <c:tx>
                <c:rich>
                  <a:bodyPr/>
                  <a:lstStyle/>
                  <a:p>
                    <a:r>
                      <a:rPr lang="ru-RU" b="1">
                        <a:latin typeface="Times New Roman" pitchFamily="18" charset="0"/>
                        <a:cs typeface="Times New Roman" pitchFamily="18" charset="0"/>
                      </a:rPr>
                      <a:t>25,1</a:t>
                    </a:r>
                  </a:p>
                </c:rich>
              </c:tx>
              <c:dLblPos val="outEnd"/>
            </c:dLbl>
            <c:dLbl>
              <c:idx val="3"/>
              <c:layout>
                <c:manualLayout>
                  <c:x val="-0.17203271152471131"/>
                  <c:y val="6.9719141612881938E-2"/>
                </c:manualLayout>
              </c:layout>
              <c:tx>
                <c:rich>
                  <a:bodyPr/>
                  <a:lstStyle/>
                  <a:p>
                    <a:r>
                      <a:rPr lang="ru-RU" b="1">
                        <a:latin typeface="Times New Roman" pitchFamily="18" charset="0"/>
                        <a:cs typeface="Times New Roman" pitchFamily="18" charset="0"/>
                      </a:rPr>
                      <a:t>26,2</a:t>
                    </a:r>
                  </a:p>
                </c:rich>
              </c:tx>
              <c:dLblPos val="outEnd"/>
            </c:dLbl>
            <c:dLbl>
              <c:idx val="4"/>
              <c:layout>
                <c:manualLayout>
                  <c:x val="-0.17408849356794356"/>
                  <c:y val="9.6088154269972456E-2"/>
                </c:manualLayout>
              </c:layout>
              <c:tx>
                <c:rich>
                  <a:bodyPr/>
                  <a:lstStyle/>
                  <a:p>
                    <a:r>
                      <a:rPr lang="ru-RU" b="1">
                        <a:latin typeface="Times New Roman" pitchFamily="18" charset="0"/>
                        <a:cs typeface="Times New Roman" pitchFamily="18" charset="0"/>
                      </a:rPr>
                      <a:t>35,4</a:t>
                    </a:r>
                  </a:p>
                </c:rich>
              </c:tx>
              <c:dLblPos val="outEnd"/>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01.01.2010</c:v>
                </c:pt>
                <c:pt idx="1">
                  <c:v>01.01.2011</c:v>
                </c:pt>
                <c:pt idx="2">
                  <c:v>01.01.2012</c:v>
                </c:pt>
                <c:pt idx="3">
                  <c:v>01.01.2013</c:v>
                </c:pt>
                <c:pt idx="4">
                  <c:v>01.01.2014 прогноз</c:v>
                </c:pt>
              </c:strCache>
            </c:strRef>
          </c:cat>
          <c:val>
            <c:numRef>
              <c:f>Лист1!$B$3:$F$3</c:f>
              <c:numCache>
                <c:formatCode>General</c:formatCode>
                <c:ptCount val="5"/>
                <c:pt idx="0">
                  <c:v>17766</c:v>
                </c:pt>
                <c:pt idx="1">
                  <c:v>25100</c:v>
                </c:pt>
                <c:pt idx="2">
                  <c:v>26200</c:v>
                </c:pt>
                <c:pt idx="3">
                  <c:v>35422.800000000003</c:v>
                </c:pt>
                <c:pt idx="4">
                  <c:v>44250</c:v>
                </c:pt>
              </c:numCache>
            </c:numRef>
          </c:val>
        </c:ser>
        <c:dLbls>
          <c:showVal val="1"/>
        </c:dLbls>
        <c:gapWidth val="81"/>
        <c:axId val="198541312"/>
        <c:axId val="198542848"/>
      </c:barChart>
      <c:lineChart>
        <c:grouping val="standard"/>
        <c:ser>
          <c:idx val="2"/>
          <c:order val="2"/>
          <c:tx>
            <c:strRef>
              <c:f>Лист1!$A$4</c:f>
              <c:strCache>
                <c:ptCount val="1"/>
                <c:pt idx="0">
                  <c:v>Середньозважена кредитна ставка в нац. валюті, %</c:v>
                </c:pt>
              </c:strCache>
            </c:strRef>
          </c:tx>
          <c:spPr>
            <a:ln w="38100">
              <a:solidFill>
                <a:srgbClr val="C00000"/>
              </a:solidFill>
            </a:ln>
          </c:spPr>
          <c:marker>
            <c:spPr>
              <a:solidFill>
                <a:srgbClr val="9BBB59">
                  <a:lumMod val="40000"/>
                  <a:lumOff val="60000"/>
                </a:srgbClr>
              </a:solidFill>
              <a:ln>
                <a:solidFill>
                  <a:srgbClr val="C00000"/>
                </a:solidFill>
              </a:ln>
            </c:spPr>
          </c:marker>
          <c:dLbls>
            <c:dLbl>
              <c:idx val="0"/>
              <c:layout>
                <c:manualLayout>
                  <c:x val="0.45566005638184132"/>
                  <c:y val="-5.7971410598468567E-2"/>
                </c:manualLayout>
              </c:layout>
              <c:tx>
                <c:rich>
                  <a:bodyPr/>
                  <a:lstStyle/>
                  <a:p>
                    <a:pPr>
                      <a:defRPr b="1">
                        <a:solidFill>
                          <a:schemeClr val="bg1"/>
                        </a:solidFill>
                        <a:latin typeface="Times New Roman" pitchFamily="18" charset="0"/>
                        <a:cs typeface="Times New Roman" pitchFamily="18" charset="0"/>
                      </a:defRPr>
                    </a:pPr>
                    <a:r>
                      <a:rPr lang="ru-RU" b="1">
                        <a:solidFill>
                          <a:schemeClr val="bg1"/>
                        </a:solidFill>
                        <a:latin typeface="Times New Roman" pitchFamily="18" charset="0"/>
                        <a:cs typeface="Times New Roman" pitchFamily="18" charset="0"/>
                      </a:rPr>
                      <a:t>20,4</a:t>
                    </a:r>
                  </a:p>
                </c:rich>
              </c:tx>
              <c:spPr/>
              <c:dLblPos val="r"/>
            </c:dLbl>
            <c:dLbl>
              <c:idx val="1"/>
              <c:layout>
                <c:manualLayout>
                  <c:x val="-0.24790415087003936"/>
                  <c:y val="-9.0646189887421097E-2"/>
                </c:manualLayout>
              </c:layout>
              <c:tx>
                <c:rich>
                  <a:bodyPr/>
                  <a:lstStyle/>
                  <a:p>
                    <a:pPr>
                      <a:defRPr b="1">
                        <a:solidFill>
                          <a:schemeClr val="bg1"/>
                        </a:solidFill>
                        <a:latin typeface="Times New Roman" pitchFamily="18" charset="0"/>
                        <a:cs typeface="Times New Roman" pitchFamily="18" charset="0"/>
                      </a:defRPr>
                    </a:pPr>
                    <a:r>
                      <a:rPr lang="ru-RU" b="1">
                        <a:solidFill>
                          <a:schemeClr val="bg1"/>
                        </a:solidFill>
                        <a:latin typeface="Times New Roman" pitchFamily="18" charset="0"/>
                        <a:cs typeface="Times New Roman" pitchFamily="18" charset="0"/>
                      </a:rPr>
                      <a:t>
21,5</a:t>
                    </a:r>
                  </a:p>
                </c:rich>
              </c:tx>
              <c:spPr/>
              <c:dLblPos val="r"/>
            </c:dLbl>
            <c:dLbl>
              <c:idx val="2"/>
              <c:layout>
                <c:manualLayout>
                  <c:x val="-0.24467321214477816"/>
                  <c:y val="-5.6560161384785576E-2"/>
                </c:manualLayout>
              </c:layout>
              <c:tx>
                <c:rich>
                  <a:bodyPr/>
                  <a:lstStyle/>
                  <a:p>
                    <a:pPr>
                      <a:defRPr b="1">
                        <a:solidFill>
                          <a:schemeClr val="bg1"/>
                        </a:solidFill>
                        <a:latin typeface="Times New Roman" pitchFamily="18" charset="0"/>
                        <a:cs typeface="Times New Roman" pitchFamily="18" charset="0"/>
                      </a:defRPr>
                    </a:pPr>
                    <a:r>
                      <a:rPr lang="ru-RU" b="1">
                        <a:solidFill>
                          <a:schemeClr val="bg1"/>
                        </a:solidFill>
                        <a:latin typeface="Times New Roman" pitchFamily="18" charset="0"/>
                        <a:cs typeface="Times New Roman" pitchFamily="18" charset="0"/>
                      </a:rPr>
                      <a:t>19,6</a:t>
                    </a:r>
                  </a:p>
                </c:rich>
              </c:tx>
              <c:spPr/>
              <c:dLblPos val="r"/>
            </c:dLbl>
            <c:dLbl>
              <c:idx val="3"/>
              <c:layout>
                <c:manualLayout>
                  <c:x val="-0.24290463692038494"/>
                  <c:y val="-3.902605149562919E-2"/>
                </c:manualLayout>
              </c:layout>
              <c:tx>
                <c:rich>
                  <a:bodyPr/>
                  <a:lstStyle/>
                  <a:p>
                    <a:r>
                      <a:rPr lang="ru-RU" b="1">
                        <a:solidFill>
                          <a:schemeClr val="bg1"/>
                        </a:solidFill>
                        <a:latin typeface="Times New Roman" pitchFamily="18" charset="0"/>
                        <a:cs typeface="Times New Roman" pitchFamily="18" charset="0"/>
                      </a:rPr>
                      <a:t>19,6</a:t>
                    </a:r>
                  </a:p>
                </c:rich>
              </c:tx>
              <c:dLblPos val="r"/>
            </c:dLbl>
            <c:dLbl>
              <c:idx val="4"/>
              <c:layout>
                <c:manualLayout>
                  <c:x val="-7.0946016007258389E-2"/>
                  <c:y val="-7.1965900956595413E-2"/>
                </c:manualLayout>
              </c:layout>
              <c:tx>
                <c:rich>
                  <a:bodyPr/>
                  <a:lstStyle/>
                  <a:p>
                    <a:pPr>
                      <a:defRPr b="1">
                        <a:solidFill>
                          <a:schemeClr val="bg1"/>
                        </a:solidFill>
                        <a:latin typeface="Times New Roman" pitchFamily="18" charset="0"/>
                        <a:cs typeface="Times New Roman" pitchFamily="18" charset="0"/>
                      </a:defRPr>
                    </a:pPr>
                    <a:r>
                      <a:rPr lang="ru-RU" b="1">
                        <a:solidFill>
                          <a:schemeClr val="bg1"/>
                        </a:solidFill>
                        <a:latin typeface="Times New Roman" pitchFamily="18" charset="0"/>
                        <a:cs typeface="Times New Roman" pitchFamily="18" charset="0"/>
                      </a:rPr>
                      <a:t>20,7</a:t>
                    </a:r>
                  </a:p>
                </c:rich>
              </c:tx>
              <c:spPr/>
              <c:dLblPos val="r"/>
            </c:dLbl>
            <c:numFmt formatCode="0" sourceLinked="0"/>
            <c:txPr>
              <a:bodyPr/>
              <a:lstStyle/>
              <a:p>
                <a:pPr>
                  <a:defRPr b="1">
                    <a:solidFill>
                      <a:schemeClr val="bg1"/>
                    </a:solidFill>
                    <a:latin typeface="Times New Roman" pitchFamily="18" charset="0"/>
                    <a:cs typeface="Times New Roman" pitchFamily="18" charset="0"/>
                  </a:defRPr>
                </a:pPr>
                <a:endParaRPr lang="ru-RU"/>
              </a:p>
            </c:txPr>
            <c:showVal val="1"/>
          </c:dLbls>
          <c:cat>
            <c:strRef>
              <c:f>Лист1!$B$1:$F$1</c:f>
              <c:strCache>
                <c:ptCount val="5"/>
                <c:pt idx="0">
                  <c:v>01.01.2010</c:v>
                </c:pt>
                <c:pt idx="1">
                  <c:v>01.01.2011</c:v>
                </c:pt>
                <c:pt idx="2">
                  <c:v>01.01.2012</c:v>
                </c:pt>
                <c:pt idx="3">
                  <c:v>01.01.2013</c:v>
                </c:pt>
                <c:pt idx="4">
                  <c:v>01.01.2014 прогноз</c:v>
                </c:pt>
              </c:strCache>
            </c:strRef>
          </c:cat>
          <c:val>
            <c:numRef>
              <c:f>Лист1!$B$4:$F$4</c:f>
              <c:numCache>
                <c:formatCode>General</c:formatCode>
                <c:ptCount val="5"/>
                <c:pt idx="0">
                  <c:v>21500</c:v>
                </c:pt>
                <c:pt idx="1">
                  <c:v>19600</c:v>
                </c:pt>
                <c:pt idx="2">
                  <c:v>19600</c:v>
                </c:pt>
                <c:pt idx="3">
                  <c:v>20400</c:v>
                </c:pt>
                <c:pt idx="4">
                  <c:v>20700</c:v>
                </c:pt>
              </c:numCache>
            </c:numRef>
          </c:val>
        </c:ser>
        <c:ser>
          <c:idx val="3"/>
          <c:order val="3"/>
          <c:tx>
            <c:strRef>
              <c:f>Лист1!$A$5</c:f>
              <c:strCache>
                <c:ptCount val="1"/>
                <c:pt idx="0">
                  <c:v>Середньозважена депозитна ставка в нац. валюті, %</c:v>
                </c:pt>
              </c:strCache>
            </c:strRef>
          </c:tx>
          <c:spPr>
            <a:ln w="38100">
              <a:solidFill>
                <a:schemeClr val="tx2">
                  <a:lumMod val="60000"/>
                  <a:lumOff val="40000"/>
                </a:schemeClr>
              </a:solidFill>
            </a:ln>
          </c:spPr>
          <c:marker>
            <c:symbol val="circle"/>
            <c:size val="9"/>
            <c:spPr>
              <a:solidFill>
                <a:schemeClr val="bg1"/>
              </a:solidFill>
              <a:ln>
                <a:solidFill>
                  <a:srgbClr val="0070C0"/>
                </a:solidFill>
              </a:ln>
            </c:spPr>
          </c:marker>
          <c:dLbls>
            <c:dLbl>
              <c:idx val="0"/>
              <c:layout>
                <c:manualLayout>
                  <c:x val="0.50621609798774148"/>
                  <c:y val="1.6497689854883844E-2"/>
                </c:manualLayout>
              </c:layout>
              <c:tx>
                <c:rich>
                  <a:bodyPr/>
                  <a:lstStyle/>
                  <a:p>
                    <a:r>
                      <a:rPr lang="ru-RU" b="1">
                        <a:latin typeface="Times New Roman" pitchFamily="18" charset="0"/>
                        <a:cs typeface="Times New Roman" pitchFamily="18" charset="0"/>
                      </a:rPr>
                      <a:t>17,2</a:t>
                    </a:r>
                  </a:p>
                </c:rich>
              </c:tx>
              <c:dLblPos val="r"/>
            </c:dLbl>
            <c:dLbl>
              <c:idx val="1"/>
              <c:layout>
                <c:manualLayout>
                  <c:x val="-0.19029101821977987"/>
                  <c:y val="6.8303703884607533E-2"/>
                </c:manualLayout>
              </c:layout>
              <c:tx>
                <c:rich>
                  <a:bodyPr/>
                  <a:lstStyle/>
                  <a:p>
                    <a:r>
                      <a:rPr lang="ru-RU" b="1">
                        <a:latin typeface="Times New Roman" pitchFamily="18" charset="0"/>
                        <a:cs typeface="Times New Roman" pitchFamily="18" charset="0"/>
                      </a:rPr>
                      <a:t>14,6
</a:t>
                    </a:r>
                  </a:p>
                </c:rich>
              </c:tx>
              <c:dLblPos val="r"/>
            </c:dLbl>
            <c:dLbl>
              <c:idx val="2"/>
              <c:layout>
                <c:manualLayout>
                  <c:x val="-0.18779122517093097"/>
                  <c:y val="0.10468232793214897"/>
                </c:manualLayout>
              </c:layout>
              <c:tx>
                <c:rich>
                  <a:bodyPr/>
                  <a:lstStyle/>
                  <a:p>
                    <a:r>
                      <a:rPr lang="ru-RU" b="1">
                        <a:latin typeface="Times New Roman" pitchFamily="18" charset="0"/>
                        <a:cs typeface="Times New Roman" pitchFamily="18" charset="0"/>
                      </a:rPr>
                      <a:t>10,8</a:t>
                    </a:r>
                  </a:p>
                </c:rich>
              </c:tx>
              <c:dLblPos val="r"/>
            </c:dLbl>
            <c:dLbl>
              <c:idx val="3"/>
              <c:layout>
                <c:manualLayout>
                  <c:x val="-0.19117510774116198"/>
                  <c:y val="8.8404156092058747E-2"/>
                </c:manualLayout>
              </c:layout>
              <c:tx>
                <c:rich>
                  <a:bodyPr/>
                  <a:lstStyle/>
                  <a:p>
                    <a:r>
                      <a:rPr lang="ru-RU" b="1">
                        <a:latin typeface="Times New Roman" pitchFamily="18" charset="0"/>
                        <a:cs typeface="Times New Roman" pitchFamily="18" charset="0"/>
                      </a:rPr>
                      <a:t>15,5</a:t>
                    </a:r>
                  </a:p>
                </c:rich>
              </c:tx>
              <c:dLblPos val="r"/>
            </c:dLbl>
            <c:dLbl>
              <c:idx val="4"/>
              <c:layout>
                <c:manualLayout>
                  <c:x val="-9.6686095724221027E-3"/>
                  <c:y val="6.0244438405335854E-3"/>
                </c:manualLayout>
              </c:layout>
              <c:tx>
                <c:rich>
                  <a:bodyPr/>
                  <a:lstStyle/>
                  <a:p>
                    <a:r>
                      <a:rPr lang="ru-RU" b="1">
                        <a:latin typeface="Times New Roman" pitchFamily="18" charset="0"/>
                        <a:cs typeface="Times New Roman" pitchFamily="18" charset="0"/>
                      </a:rPr>
                      <a:t>19,8</a:t>
                    </a:r>
                  </a:p>
                </c:rich>
              </c:tx>
              <c:dLblPos val="r"/>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01.01.2010</c:v>
                </c:pt>
                <c:pt idx="1">
                  <c:v>01.01.2011</c:v>
                </c:pt>
                <c:pt idx="2">
                  <c:v>01.01.2012</c:v>
                </c:pt>
                <c:pt idx="3">
                  <c:v>01.01.2013</c:v>
                </c:pt>
                <c:pt idx="4">
                  <c:v>01.01.2014 прогноз</c:v>
                </c:pt>
              </c:strCache>
            </c:strRef>
          </c:cat>
          <c:val>
            <c:numRef>
              <c:f>Лист1!$B$5:$F$5</c:f>
              <c:numCache>
                <c:formatCode>General</c:formatCode>
                <c:ptCount val="5"/>
                <c:pt idx="0">
                  <c:v>14600</c:v>
                </c:pt>
                <c:pt idx="1">
                  <c:v>10800</c:v>
                </c:pt>
                <c:pt idx="2">
                  <c:v>15500</c:v>
                </c:pt>
                <c:pt idx="3">
                  <c:v>17200</c:v>
                </c:pt>
                <c:pt idx="4">
                  <c:v>19800</c:v>
                </c:pt>
              </c:numCache>
            </c:numRef>
          </c:val>
        </c:ser>
        <c:dLbls>
          <c:showVal val="1"/>
        </c:dLbls>
        <c:marker val="1"/>
        <c:axId val="198544384"/>
        <c:axId val="198554368"/>
      </c:lineChart>
      <c:catAx>
        <c:axId val="198541312"/>
        <c:scaling>
          <c:orientation val="minMax"/>
        </c:scaling>
        <c:axPos val="b"/>
        <c:numFmt formatCode="dd/mm/yyyy" sourceLinked="1"/>
        <c:tickLblPos val="nextTo"/>
        <c:txPr>
          <a:bodyPr rot="0" vert="horz"/>
          <a:lstStyle/>
          <a:p>
            <a:pPr>
              <a:defRPr>
                <a:latin typeface="Times New Roman" pitchFamily="18" charset="0"/>
                <a:cs typeface="Times New Roman" pitchFamily="18" charset="0"/>
              </a:defRPr>
            </a:pPr>
            <a:endParaRPr lang="ru-RU"/>
          </a:p>
        </c:txPr>
        <c:crossAx val="198542848"/>
        <c:crosses val="autoZero"/>
        <c:lblAlgn val="ctr"/>
        <c:lblOffset val="100"/>
        <c:tickLblSkip val="1"/>
        <c:tickMarkSkip val="1"/>
      </c:catAx>
      <c:valAx>
        <c:axId val="198542848"/>
        <c:scaling>
          <c:orientation val="minMax"/>
        </c:scaling>
        <c:axPos val="l"/>
        <c:numFmt formatCode="General" sourceLinked="1"/>
        <c:majorTickMark val="none"/>
        <c:tickLblPos val="none"/>
        <c:spPr>
          <a:ln>
            <a:noFill/>
          </a:ln>
        </c:spPr>
        <c:crossAx val="198541312"/>
        <c:crosses val="autoZero"/>
        <c:crossBetween val="between"/>
      </c:valAx>
      <c:catAx>
        <c:axId val="198544384"/>
        <c:scaling>
          <c:orientation val="minMax"/>
        </c:scaling>
        <c:delete val="1"/>
        <c:axPos val="b"/>
        <c:tickLblPos val="nextTo"/>
        <c:crossAx val="198554368"/>
        <c:crosses val="autoZero"/>
        <c:lblAlgn val="ctr"/>
        <c:lblOffset val="100"/>
      </c:catAx>
      <c:valAx>
        <c:axId val="198554368"/>
        <c:scaling>
          <c:orientation val="minMax"/>
          <c:max val="50000"/>
        </c:scaling>
        <c:axPos val="r"/>
        <c:numFmt formatCode="General" sourceLinked="1"/>
        <c:majorTickMark val="none"/>
        <c:tickLblPos val="none"/>
        <c:spPr>
          <a:ln>
            <a:noFill/>
          </a:ln>
        </c:spPr>
        <c:crossAx val="198544384"/>
        <c:crosses val="max"/>
        <c:crossBetween val="between"/>
      </c:valAx>
      <c:spPr>
        <a:noFill/>
        <a:ln>
          <a:noFill/>
        </a:ln>
      </c:spPr>
    </c:plotArea>
    <c:legend>
      <c:legendPos val="r"/>
      <c:layout>
        <c:manualLayout>
          <c:xMode val="edge"/>
          <c:yMode val="edge"/>
          <c:x val="6.759534687793653E-2"/>
          <c:y val="0.69134000487401093"/>
          <c:w val="0.93240465312206344"/>
          <c:h val="0.30865999512599007"/>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solidFill>
          <a:schemeClr val="bg1">
            <a:lumMod val="75000"/>
          </a:schemeClr>
        </a:solidFill>
        <a:ln>
          <a:solidFill>
            <a:schemeClr val="tx1"/>
          </a:solidFill>
        </a:ln>
      </c:spPr>
    </c:floor>
    <c:sideWall>
      <c:spPr>
        <a:noFill/>
        <a:ln>
          <a:noFill/>
        </a:ln>
      </c:spPr>
    </c:sideWall>
    <c:backWall>
      <c:spPr>
        <a:noFill/>
        <a:ln>
          <a:noFill/>
        </a:ln>
      </c:spPr>
    </c:backWall>
    <c:plotArea>
      <c:layout>
        <c:manualLayout>
          <c:layoutTarget val="inner"/>
          <c:xMode val="edge"/>
          <c:yMode val="edge"/>
          <c:x val="0"/>
          <c:y val="2.1661085467765959E-4"/>
          <c:w val="0.98612803051912379"/>
          <c:h val="0.79694814010319082"/>
        </c:manualLayout>
      </c:layout>
      <c:bar3DChart>
        <c:barDir val="col"/>
        <c:grouping val="clustered"/>
        <c:ser>
          <c:idx val="0"/>
          <c:order val="0"/>
          <c:tx>
            <c:strRef>
              <c:f>Лист1!$B$1</c:f>
              <c:strCache>
                <c:ptCount val="1"/>
                <c:pt idx="0">
                  <c:v>Ряд 1</c:v>
                </c:pt>
              </c:strCache>
            </c:strRef>
          </c:tx>
          <c:spPr>
            <a:solidFill>
              <a:schemeClr val="tx2">
                <a:lumMod val="75000"/>
              </a:schemeClr>
            </a:solidFill>
          </c:spPr>
          <c:dLbls>
            <c:dLbl>
              <c:idx val="0"/>
              <c:layout>
                <c:manualLayout>
                  <c:x val="2.0833333333333412E-2"/>
                  <c:y val="-4.9200492004922124E-3"/>
                </c:manualLayout>
              </c:layout>
              <c:showVal val="1"/>
            </c:dLbl>
            <c:dLbl>
              <c:idx val="1"/>
              <c:layout>
                <c:manualLayout>
                  <c:x val="1.388888888888924E-2"/>
                  <c:y val="-2.2988505747126436E-2"/>
                </c:manualLayout>
              </c:layout>
              <c:showVal val="1"/>
            </c:dLbl>
            <c:dLbl>
              <c:idx val="2"/>
              <c:layout>
                <c:manualLayout>
                  <c:x val="2.3148148148148147E-2"/>
                  <c:y val="-4.9200492004922124E-3"/>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Лист1!$A$2:$A$4</c:f>
              <c:strCache>
                <c:ptCount val="3"/>
                <c:pt idx="0">
                  <c:v>2011</c:v>
                </c:pt>
                <c:pt idx="1">
                  <c:v>2012 очік.</c:v>
                </c:pt>
                <c:pt idx="2">
                  <c:v>2013 прогноз</c:v>
                </c:pt>
              </c:strCache>
            </c:strRef>
          </c:cat>
          <c:val>
            <c:numRef>
              <c:f>Лист1!$B$2:$B$4</c:f>
              <c:numCache>
                <c:formatCode>General</c:formatCode>
                <c:ptCount val="3"/>
                <c:pt idx="0">
                  <c:v>27.3</c:v>
                </c:pt>
                <c:pt idx="1">
                  <c:v>29</c:v>
                </c:pt>
                <c:pt idx="2" formatCode="0.0">
                  <c:v>30.5</c:v>
                </c:pt>
              </c:numCache>
            </c:numRef>
          </c:val>
        </c:ser>
        <c:shape val="pyramid"/>
        <c:axId val="198750976"/>
        <c:axId val="198752512"/>
        <c:axId val="0"/>
      </c:bar3DChart>
      <c:catAx>
        <c:axId val="198750976"/>
        <c:scaling>
          <c:orientation val="minMax"/>
        </c:scaling>
        <c:axPos val="b"/>
        <c:tickLblPos val="nextTo"/>
        <c:txPr>
          <a:bodyPr/>
          <a:lstStyle/>
          <a:p>
            <a:pPr>
              <a:defRPr>
                <a:latin typeface="Times New Roman" pitchFamily="18" charset="0"/>
                <a:cs typeface="Times New Roman" pitchFamily="18" charset="0"/>
              </a:defRPr>
            </a:pPr>
            <a:endParaRPr lang="ru-RU"/>
          </a:p>
        </c:txPr>
        <c:crossAx val="198752512"/>
        <c:crosses val="autoZero"/>
        <c:auto val="1"/>
        <c:lblAlgn val="ctr"/>
        <c:lblOffset val="100"/>
      </c:catAx>
      <c:valAx>
        <c:axId val="198752512"/>
        <c:scaling>
          <c:orientation val="minMax"/>
        </c:scaling>
        <c:delete val="1"/>
        <c:axPos val="l"/>
        <c:numFmt formatCode="General" sourceLinked="1"/>
        <c:tickLblPos val="nextTo"/>
        <c:crossAx val="198750976"/>
        <c:crosses val="autoZero"/>
        <c:crossBetween val="between"/>
      </c:valAx>
      <c:spPr>
        <a:noFill/>
        <a:ln>
          <a:noFill/>
        </a:ln>
      </c:spPr>
    </c:plotArea>
    <c:plotVisOnly val="1"/>
  </c:chart>
  <c:spPr>
    <a:noFill/>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6"/>
      <c:depthPercent val="10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7.913328014615311E-4"/>
          <c:y val="1.797085709114002E-3"/>
          <c:w val="0.99862948629423465"/>
          <c:h val="0.85562081612765273"/>
        </c:manualLayout>
      </c:layout>
      <c:bar3DChart>
        <c:barDir val="col"/>
        <c:grouping val="clustered"/>
        <c:ser>
          <c:idx val="0"/>
          <c:order val="0"/>
          <c:tx>
            <c:strRef>
              <c:f>Лист1!$A$3</c:f>
              <c:strCache>
                <c:ptCount val="1"/>
                <c:pt idx="0">
                  <c:v>Обсяг прямих іноземних інвестицій на кінець року (по наростаючому підсумку) </c:v>
                </c:pt>
              </c:strCache>
            </c:strRef>
          </c:tx>
          <c:spPr>
            <a:solidFill>
              <a:srgbClr val="8064A2">
                <a:lumMod val="40000"/>
                <a:lumOff val="60000"/>
              </a:srgbClr>
            </a:solidFill>
            <a:ln w="2497">
              <a:solidFill>
                <a:srgbClr val="000000"/>
              </a:solidFill>
              <a:prstDash val="solid"/>
            </a:ln>
          </c:spPr>
          <c:dLbls>
            <c:dLbl>
              <c:idx val="0"/>
              <c:layout>
                <c:manualLayout>
                  <c:x val="1.7200735370633741E-2"/>
                  <c:y val="-1.8542492533260929E-2"/>
                </c:manualLayout>
              </c:layout>
              <c:showVal val="1"/>
            </c:dLbl>
            <c:dLbl>
              <c:idx val="1"/>
              <c:layout>
                <c:manualLayout>
                  <c:x val="1.8361603477979351E-2"/>
                  <c:y val="-2.7771563037380001E-2"/>
                </c:manualLayout>
              </c:layout>
              <c:showVal val="1"/>
            </c:dLbl>
            <c:dLbl>
              <c:idx val="2"/>
              <c:layout>
                <c:manualLayout>
                  <c:x val="1.2813486419924382E-2"/>
                  <c:y val="-2.5994026608742869E-2"/>
                </c:manualLayout>
              </c:layout>
              <c:showVal val="1"/>
            </c:dLbl>
            <c:dLbl>
              <c:idx val="3"/>
              <c:layout>
                <c:manualLayout>
                  <c:x val="1.7890318776232265E-2"/>
                  <c:y val="-2.4854375961626533E-2"/>
                </c:manualLayout>
              </c:layout>
              <c:showVal val="1"/>
            </c:dLbl>
            <c:dLbl>
              <c:idx val="4"/>
              <c:layout>
                <c:manualLayout>
                  <c:x val="1.9051186883577889E-2"/>
                  <c:y val="-1.5804869218934748E-2"/>
                </c:manualLayout>
              </c:layout>
              <c:showVal val="1"/>
            </c:dLbl>
            <c:spPr>
              <a:noFill/>
              <a:ln w="1998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Лист1!$B$2:$F$2</c:f>
              <c:strCache>
                <c:ptCount val="5"/>
                <c:pt idx="0">
                  <c:v>2009</c:v>
                </c:pt>
                <c:pt idx="1">
                  <c:v>2010</c:v>
                </c:pt>
                <c:pt idx="2">
                  <c:v>2011</c:v>
                </c:pt>
                <c:pt idx="3">
                  <c:v>2012</c:v>
                </c:pt>
                <c:pt idx="4">
                  <c:v>2013 прогноз</c:v>
                </c:pt>
              </c:strCache>
            </c:strRef>
          </c:cat>
          <c:val>
            <c:numRef>
              <c:f>Лист1!$B$3:$F$3</c:f>
              <c:numCache>
                <c:formatCode>0.0</c:formatCode>
                <c:ptCount val="5"/>
                <c:pt idx="0">
                  <c:v>1636.8</c:v>
                </c:pt>
                <c:pt idx="1">
                  <c:v>2278.1999999999998</c:v>
                </c:pt>
                <c:pt idx="2">
                  <c:v>2646.9</c:v>
                </c:pt>
                <c:pt idx="3">
                  <c:v>2981.5</c:v>
                </c:pt>
                <c:pt idx="4">
                  <c:v>3331.5</c:v>
                </c:pt>
              </c:numCache>
            </c:numRef>
          </c:val>
        </c:ser>
        <c:ser>
          <c:idx val="1"/>
          <c:order val="1"/>
          <c:tx>
            <c:strRef>
              <c:f>Лист1!$A$4</c:f>
              <c:strCache>
                <c:ptCount val="1"/>
                <c:pt idx="0">
                  <c:v>Приріст за рік</c:v>
                </c:pt>
              </c:strCache>
            </c:strRef>
          </c:tx>
          <c:spPr>
            <a:solidFill>
              <a:srgbClr val="660066"/>
            </a:solidFill>
            <a:ln w="2497">
              <a:solidFill>
                <a:srgbClr val="000000"/>
              </a:solidFill>
              <a:prstDash val="solid"/>
            </a:ln>
          </c:spPr>
          <c:dLbls>
            <c:dLbl>
              <c:idx val="0"/>
              <c:layout>
                <c:manualLayout>
                  <c:x val="1.8122029900447485E-2"/>
                  <c:y val="-1.3558968112411363E-2"/>
                </c:manualLayout>
              </c:layout>
              <c:showVal val="1"/>
            </c:dLbl>
            <c:dLbl>
              <c:idx val="1"/>
              <c:layout>
                <c:manualLayout>
                  <c:x val="1.9008593276056043E-2"/>
                  <c:y val="3.3140703430066358E-2"/>
                </c:manualLayout>
              </c:layout>
              <c:showVal val="1"/>
            </c:dLbl>
            <c:dLbl>
              <c:idx val="2"/>
              <c:layout>
                <c:manualLayout>
                  <c:x val="1.5814221675526024E-2"/>
                  <c:y val="2.1144005656980012E-3"/>
                </c:manualLayout>
              </c:layout>
              <c:showVal val="1"/>
            </c:dLbl>
            <c:dLbl>
              <c:idx val="3"/>
              <c:layout>
                <c:manualLayout>
                  <c:x val="1.6413873375960748E-2"/>
                  <c:y val="-2.5323558693095237E-3"/>
                </c:manualLayout>
              </c:layout>
              <c:showVal val="1"/>
            </c:dLbl>
            <c:dLbl>
              <c:idx val="4"/>
              <c:layout>
                <c:manualLayout>
                  <c:x val="1.8423046990019579E-2"/>
                  <c:y val="1.371283398181918E-3"/>
                </c:manualLayout>
              </c:layout>
              <c:numFmt formatCode="#,##0.0" sourceLinked="0"/>
              <c:spPr>
                <a:noFill/>
                <a:ln w="19980">
                  <a:noFill/>
                </a:ln>
              </c:spPr>
              <c:txPr>
                <a:bodyPr/>
                <a:lstStyle/>
                <a:p>
                  <a:pPr>
                    <a:defRPr sz="1000" b="1" i="0" u="none" strike="noStrike" baseline="0">
                      <a:solidFill>
                        <a:sysClr val="windowText" lastClr="000000"/>
                      </a:solidFill>
                      <a:latin typeface="Times New Roman"/>
                      <a:ea typeface="Times New Roman"/>
                      <a:cs typeface="Times New Roman"/>
                    </a:defRPr>
                  </a:pPr>
                  <a:endParaRPr lang="ru-RU"/>
                </a:p>
              </c:txPr>
              <c:showVal val="1"/>
            </c:dLbl>
            <c:numFmt formatCode="#,##0.0" sourceLinked="0"/>
            <c:spPr>
              <a:noFill/>
              <a:ln w="1998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Лист1!$B$2:$F$2</c:f>
              <c:strCache>
                <c:ptCount val="5"/>
                <c:pt idx="0">
                  <c:v>2009</c:v>
                </c:pt>
                <c:pt idx="1">
                  <c:v>2010</c:v>
                </c:pt>
                <c:pt idx="2">
                  <c:v>2011</c:v>
                </c:pt>
                <c:pt idx="3">
                  <c:v>2012</c:v>
                </c:pt>
                <c:pt idx="4">
                  <c:v>2013 прогноз</c:v>
                </c:pt>
              </c:strCache>
            </c:strRef>
          </c:cat>
          <c:val>
            <c:numRef>
              <c:f>Лист1!$B$4:$F$4</c:f>
              <c:numCache>
                <c:formatCode>0.0</c:formatCode>
                <c:ptCount val="5"/>
                <c:pt idx="0">
                  <c:v>107.8</c:v>
                </c:pt>
                <c:pt idx="1">
                  <c:v>641.4</c:v>
                </c:pt>
                <c:pt idx="2" formatCode="0">
                  <c:v>368.7</c:v>
                </c:pt>
                <c:pt idx="3" formatCode="0">
                  <c:v>334.6</c:v>
                </c:pt>
                <c:pt idx="4" formatCode="0">
                  <c:v>350</c:v>
                </c:pt>
              </c:numCache>
            </c:numRef>
          </c:val>
          <c:shape val="pyramid"/>
        </c:ser>
        <c:dLbls>
          <c:showVal val="1"/>
        </c:dLbls>
        <c:gapWidth val="100"/>
        <c:shape val="box"/>
        <c:axId val="199200128"/>
        <c:axId val="199210112"/>
        <c:axId val="0"/>
      </c:bar3DChart>
      <c:catAx>
        <c:axId val="199200128"/>
        <c:scaling>
          <c:orientation val="minMax"/>
        </c:scaling>
        <c:axPos val="b"/>
        <c:numFmt formatCode="General" sourceLinked="1"/>
        <c:tickLblPos val="low"/>
        <c:spPr>
          <a:ln w="6331">
            <a:noFill/>
          </a:ln>
        </c:spPr>
        <c:txPr>
          <a:bodyPr rot="0" vert="horz"/>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crossAx val="199210112"/>
        <c:crosses val="autoZero"/>
        <c:auto val="1"/>
        <c:lblAlgn val="ctr"/>
        <c:lblOffset val="100"/>
        <c:tickLblSkip val="1"/>
        <c:tickMarkSkip val="1"/>
      </c:catAx>
      <c:valAx>
        <c:axId val="199210112"/>
        <c:scaling>
          <c:orientation val="minMax"/>
          <c:min val="1"/>
        </c:scaling>
        <c:axPos val="l"/>
        <c:numFmt formatCode="0.0" sourceLinked="1"/>
        <c:majorTickMark val="none"/>
        <c:tickLblPos val="none"/>
        <c:spPr>
          <a:ln w="6331">
            <a:noFill/>
          </a:ln>
        </c:spPr>
        <c:crossAx val="199200128"/>
        <c:crosses val="autoZero"/>
        <c:crossBetween val="between"/>
      </c:valAx>
      <c:spPr>
        <a:noFill/>
        <a:ln w="19980">
          <a:noFill/>
        </a:ln>
      </c:spPr>
    </c:plotArea>
    <c:legend>
      <c:legendPos val="b"/>
      <c:layout>
        <c:manualLayout>
          <c:xMode val="edge"/>
          <c:yMode val="edge"/>
          <c:x val="0.75605236767494277"/>
          <c:y val="3.019503777497546E-2"/>
          <c:w val="0.22965527399649399"/>
          <c:h val="0.81394900590662034"/>
        </c:manualLayout>
      </c:layout>
      <c:spPr>
        <a:solidFill>
          <a:srgbClr val="FFFFFF"/>
        </a:solidFill>
        <a:ln w="16881">
          <a:noFill/>
        </a:ln>
      </c:spPr>
      <c:txPr>
        <a:bodyPr/>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617" b="0" i="0" u="none" strike="noStrike" baseline="0">
          <a:solidFill>
            <a:srgbClr val="000000"/>
          </a:solidFill>
          <a:latin typeface="Times New Roman"/>
          <a:ea typeface="Times New Roman"/>
          <a:cs typeface="Times New Roman"/>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2.6666666666666672E-2"/>
          <c:y val="3.9619450204142703E-2"/>
          <c:w val="0.94666666666666666"/>
          <c:h val="0.64529135760257861"/>
        </c:manualLayout>
      </c:layout>
      <c:barChart>
        <c:barDir val="col"/>
        <c:grouping val="clustered"/>
        <c:ser>
          <c:idx val="0"/>
          <c:order val="0"/>
          <c:tx>
            <c:strRef>
              <c:f>Лист2!$A$2</c:f>
              <c:strCache>
                <c:ptCount val="1"/>
                <c:pt idx="0">
                  <c:v>Кількість лікарняних закладів</c:v>
                </c:pt>
              </c:strCache>
            </c:strRef>
          </c:tx>
          <c:spPr>
            <a:solidFill>
              <a:schemeClr val="accent3">
                <a:lumMod val="75000"/>
              </a:schemeClr>
            </a:solidFill>
            <a:ln w="25332">
              <a:solidFill>
                <a:sysClr val="windowText" lastClr="000000">
                  <a:lumMod val="75000"/>
                  <a:lumOff val="25000"/>
                </a:sysClr>
              </a:solidFill>
              <a:prstDash val="solid"/>
            </a:ln>
            <a:scene3d>
              <a:camera prst="orthographicFront"/>
              <a:lightRig rig="threePt" dir="t"/>
            </a:scene3d>
            <a:sp3d>
              <a:bevelT prst="convex"/>
            </a:sp3d>
          </c:spPr>
          <c:dLbls>
            <c:spPr>
              <a:noFill/>
              <a:ln w="25332">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Лист2!$B$1:$F$1</c:f>
              <c:strCache>
                <c:ptCount val="5"/>
                <c:pt idx="0">
                  <c:v>2008</c:v>
                </c:pt>
                <c:pt idx="1">
                  <c:v>2009</c:v>
                </c:pt>
                <c:pt idx="2">
                  <c:v>2010</c:v>
                </c:pt>
                <c:pt idx="3">
                  <c:v>2011</c:v>
                </c:pt>
                <c:pt idx="4">
                  <c:v>2012 очік.</c:v>
                </c:pt>
              </c:strCache>
            </c:strRef>
          </c:cat>
          <c:val>
            <c:numRef>
              <c:f>Лист2!$B$2:$F$2</c:f>
              <c:numCache>
                <c:formatCode>General</c:formatCode>
                <c:ptCount val="5"/>
                <c:pt idx="0">
                  <c:v>231</c:v>
                </c:pt>
                <c:pt idx="1">
                  <c:v>228</c:v>
                </c:pt>
                <c:pt idx="2">
                  <c:v>225</c:v>
                </c:pt>
                <c:pt idx="3">
                  <c:v>211</c:v>
                </c:pt>
                <c:pt idx="4">
                  <c:v>190</c:v>
                </c:pt>
              </c:numCache>
            </c:numRef>
          </c:val>
        </c:ser>
        <c:ser>
          <c:idx val="1"/>
          <c:order val="1"/>
          <c:tx>
            <c:strRef>
              <c:f>Лист2!$A$3</c:f>
              <c:strCache>
                <c:ptCount val="1"/>
                <c:pt idx="0">
                  <c:v>Кількість амбулаторно-поліклінічних закладів</c:v>
                </c:pt>
              </c:strCache>
            </c:strRef>
          </c:tx>
          <c:spPr>
            <a:solidFill>
              <a:schemeClr val="accent5">
                <a:lumMod val="60000"/>
                <a:lumOff val="40000"/>
              </a:schemeClr>
            </a:solidFill>
            <a:ln w="12666">
              <a:solidFill>
                <a:srgbClr val="002060"/>
              </a:solidFill>
              <a:prstDash val="solid"/>
            </a:ln>
            <a:effectLst>
              <a:outerShdw blurRad="50800" dist="38100" dir="18900000" algn="bl" rotWithShape="0">
                <a:prstClr val="black">
                  <a:alpha val="40000"/>
                </a:prstClr>
              </a:outerShdw>
            </a:effectLst>
            <a:scene3d>
              <a:camera prst="orthographicFront"/>
              <a:lightRig rig="threePt" dir="t"/>
            </a:scene3d>
            <a:sp3d>
              <a:bevelT prst="convex"/>
            </a:sp3d>
          </c:spPr>
          <c:dLbls>
            <c:dLbl>
              <c:idx val="3"/>
              <c:layout>
                <c:manualLayout>
                  <c:x val="0"/>
                  <c:y val="2.6272577996716492E-2"/>
                </c:manualLayout>
              </c:layout>
              <c:showVal val="1"/>
            </c:dLbl>
            <c:spPr>
              <a:noFill/>
              <a:ln w="25332">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Лист2!$B$1:$F$1</c:f>
              <c:strCache>
                <c:ptCount val="5"/>
                <c:pt idx="0">
                  <c:v>2008</c:v>
                </c:pt>
                <c:pt idx="1">
                  <c:v>2009</c:v>
                </c:pt>
                <c:pt idx="2">
                  <c:v>2010</c:v>
                </c:pt>
                <c:pt idx="3">
                  <c:v>2011</c:v>
                </c:pt>
                <c:pt idx="4">
                  <c:v>2012 очік.</c:v>
                </c:pt>
              </c:strCache>
            </c:strRef>
          </c:cat>
          <c:val>
            <c:numRef>
              <c:f>Лист2!$B$3:$F$3</c:f>
              <c:numCache>
                <c:formatCode>General</c:formatCode>
                <c:ptCount val="5"/>
                <c:pt idx="0">
                  <c:v>494</c:v>
                </c:pt>
                <c:pt idx="1">
                  <c:v>542</c:v>
                </c:pt>
                <c:pt idx="2">
                  <c:v>548</c:v>
                </c:pt>
                <c:pt idx="3">
                  <c:v>537</c:v>
                </c:pt>
                <c:pt idx="4">
                  <c:v>418</c:v>
                </c:pt>
              </c:numCache>
            </c:numRef>
          </c:val>
        </c:ser>
        <c:dLbls>
          <c:showVal val="1"/>
        </c:dLbls>
        <c:gapWidth val="108"/>
        <c:axId val="169116416"/>
        <c:axId val="169117952"/>
      </c:barChart>
      <c:catAx>
        <c:axId val="169116416"/>
        <c:scaling>
          <c:orientation val="minMax"/>
        </c:scaling>
        <c:axPos val="b"/>
        <c:numFmt formatCode="General" sourceLinked="1"/>
        <c:tickLblPos val="nextTo"/>
        <c:spPr>
          <a:ln w="3166">
            <a:solidFill>
              <a:srgbClr val="000000"/>
            </a:solidFill>
            <a:prstDash val="solid"/>
          </a:ln>
        </c:spPr>
        <c:txPr>
          <a:bodyPr rot="0" vert="horz"/>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crossAx val="169117952"/>
        <c:crosses val="autoZero"/>
        <c:auto val="1"/>
        <c:lblAlgn val="ctr"/>
        <c:lblOffset val="100"/>
        <c:tickLblSkip val="1"/>
        <c:tickMarkSkip val="1"/>
      </c:catAx>
      <c:valAx>
        <c:axId val="169117952"/>
        <c:scaling>
          <c:orientation val="minMax"/>
        </c:scaling>
        <c:delete val="1"/>
        <c:axPos val="l"/>
        <c:numFmt formatCode="General" sourceLinked="1"/>
        <c:tickLblPos val="nextTo"/>
        <c:crossAx val="169116416"/>
        <c:crosses val="autoZero"/>
        <c:crossBetween val="between"/>
      </c:valAx>
      <c:spPr>
        <a:noFill/>
        <a:ln w="25370">
          <a:noFill/>
        </a:ln>
      </c:spPr>
    </c:plotArea>
    <c:legend>
      <c:legendPos val="b"/>
      <c:layout>
        <c:manualLayout>
          <c:xMode val="edge"/>
          <c:yMode val="edge"/>
          <c:x val="0"/>
          <c:y val="0.83306980208561165"/>
          <c:w val="0.99686890524074856"/>
          <c:h val="0.16310349719798894"/>
        </c:manualLayout>
      </c:layout>
      <c:spPr>
        <a:noFill/>
        <a:ln w="25332">
          <a:noFill/>
        </a:ln>
      </c:spPr>
      <c:txPr>
        <a:bodyPr/>
        <a:lstStyle/>
        <a:p>
          <a:pPr>
            <a:defRPr sz="8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99" b="0" i="0" u="none" strike="noStrike" baseline="0">
          <a:solidFill>
            <a:srgbClr val="000000"/>
          </a:solidFill>
          <a:latin typeface="Times New Roman"/>
          <a:ea typeface="Times New Roman"/>
          <a:cs typeface="Times New Roman"/>
        </a:defRPr>
      </a:pPr>
      <a:endParaRPr lang="ru-RU"/>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view3D>
      <c:hPercent val="27"/>
      <c:depthPercent val="100"/>
      <c:rAngAx val="1"/>
    </c:view3D>
    <c:floor>
      <c:spPr>
        <a:solidFill>
          <a:srgbClr val="D5B8EA"/>
        </a:solidFill>
      </c:spPr>
    </c:floor>
    <c:plotArea>
      <c:layout>
        <c:manualLayout>
          <c:layoutTarget val="inner"/>
          <c:xMode val="edge"/>
          <c:yMode val="edge"/>
          <c:x val="2.2845275181726146E-2"/>
          <c:y val="1.6582871073324706E-3"/>
          <c:w val="0.81060629103605042"/>
          <c:h val="0.84104354173441676"/>
        </c:manualLayout>
      </c:layout>
      <c:bar3DChart>
        <c:barDir val="col"/>
        <c:grouping val="clustered"/>
        <c:ser>
          <c:idx val="0"/>
          <c:order val="0"/>
          <c:tx>
            <c:strRef>
              <c:f>Лист1!$A$5</c:f>
              <c:strCache>
                <c:ptCount val="1"/>
                <c:pt idx="0">
                  <c:v>Рядове вугілля</c:v>
                </c:pt>
              </c:strCache>
            </c:strRef>
          </c:tx>
          <c:spPr>
            <a:solidFill>
              <a:schemeClr val="bg1">
                <a:lumMod val="85000"/>
              </a:schemeClr>
            </a:solidFill>
            <a:ln>
              <a:solidFill>
                <a:schemeClr val="tx1">
                  <a:lumMod val="85000"/>
                  <a:lumOff val="15000"/>
                </a:schemeClr>
              </a:solidFill>
            </a:ln>
          </c:spPr>
          <c:dLbls>
            <c:dLbl>
              <c:idx val="0"/>
              <c:layout>
                <c:manualLayout>
                  <c:x val="1.0833439166878341E-2"/>
                  <c:y val="-2.5364657286691624E-2"/>
                </c:manualLayout>
              </c:layout>
              <c:showVal val="1"/>
            </c:dLbl>
            <c:dLbl>
              <c:idx val="1"/>
              <c:layout>
                <c:manualLayout>
                  <c:x val="9.7436182372364743E-3"/>
                  <c:y val="-5.2871649240566324E-2"/>
                </c:manualLayout>
              </c:layout>
              <c:showVal val="1"/>
            </c:dLbl>
            <c:dLbl>
              <c:idx val="2"/>
              <c:layout>
                <c:manualLayout>
                  <c:x val="8.7749237998476001E-3"/>
                  <c:y val="-3.5958865797513041E-2"/>
                </c:manualLayout>
              </c:layout>
              <c:showVal val="1"/>
            </c:dLbl>
            <c:spPr>
              <a:noFill/>
              <a:ln w="19876">
                <a:noFill/>
              </a:ln>
            </c:spPr>
            <c:txPr>
              <a:bodyPr/>
              <a:lstStyle/>
              <a:p>
                <a:pPr>
                  <a:defRPr b="1">
                    <a:latin typeface="Times New Roman" pitchFamily="18" charset="0"/>
                    <a:cs typeface="Times New Roman" pitchFamily="18" charset="0"/>
                  </a:defRPr>
                </a:pPr>
                <a:endParaRPr lang="ru-RU"/>
              </a:p>
            </c:txPr>
            <c:showVal val="1"/>
          </c:dLbls>
          <c:cat>
            <c:strRef>
              <c:f>Лист1!$B$4:$D$4</c:f>
              <c:strCache>
                <c:ptCount val="3"/>
                <c:pt idx="0">
                  <c:v>2011</c:v>
                </c:pt>
                <c:pt idx="1">
                  <c:v>2012</c:v>
                </c:pt>
                <c:pt idx="2">
                  <c:v>2013 прогноз</c:v>
                </c:pt>
              </c:strCache>
            </c:strRef>
          </c:cat>
          <c:val>
            <c:numRef>
              <c:f>Лист1!$B$5:$D$5</c:f>
              <c:numCache>
                <c:formatCode>General</c:formatCode>
                <c:ptCount val="3"/>
                <c:pt idx="0">
                  <c:v>37.5</c:v>
                </c:pt>
                <c:pt idx="1">
                  <c:v>39.5</c:v>
                </c:pt>
                <c:pt idx="2" formatCode="0.0">
                  <c:v>41</c:v>
                </c:pt>
              </c:numCache>
            </c:numRef>
          </c:val>
        </c:ser>
        <c:ser>
          <c:idx val="1"/>
          <c:order val="1"/>
          <c:tx>
            <c:strRef>
              <c:f>Лист1!$A$6</c:f>
              <c:strCache>
                <c:ptCount val="1"/>
                <c:pt idx="0">
                  <c:v>Готове вугілля</c:v>
                </c:pt>
              </c:strCache>
            </c:strRef>
          </c:tx>
          <c:spPr>
            <a:solidFill>
              <a:srgbClr val="5E5E5E"/>
            </a:solidFill>
            <a:ln>
              <a:solidFill>
                <a:schemeClr val="tx1">
                  <a:lumMod val="85000"/>
                  <a:lumOff val="15000"/>
                </a:schemeClr>
              </a:solidFill>
            </a:ln>
          </c:spPr>
          <c:dLbls>
            <c:dLbl>
              <c:idx val="0"/>
              <c:layout>
                <c:manualLayout>
                  <c:x val="3.0453638550655852E-2"/>
                  <c:y val="-2.8308340438336941E-2"/>
                </c:manualLayout>
              </c:layout>
              <c:showVal val="1"/>
            </c:dLbl>
            <c:dLbl>
              <c:idx val="1"/>
              <c:layout>
                <c:manualLayout>
                  <c:x val="1.24733299466599E-2"/>
                  <c:y val="-3.3835032915967692E-2"/>
                </c:manualLayout>
              </c:layout>
              <c:showVal val="1"/>
            </c:dLbl>
            <c:dLbl>
              <c:idx val="2"/>
              <c:layout>
                <c:manualLayout>
                  <c:x val="1.0164624079248161E-2"/>
                  <c:y val="-3.5045824190009039E-2"/>
                </c:manualLayout>
              </c:layout>
              <c:showVal val="1"/>
            </c:dLbl>
            <c:spPr>
              <a:noFill/>
              <a:ln w="19876">
                <a:noFill/>
              </a:ln>
            </c:spPr>
            <c:txPr>
              <a:bodyPr/>
              <a:lstStyle/>
              <a:p>
                <a:pPr>
                  <a:defRPr b="1">
                    <a:latin typeface="Times New Roman" pitchFamily="18" charset="0"/>
                    <a:cs typeface="Times New Roman" pitchFamily="18" charset="0"/>
                  </a:defRPr>
                </a:pPr>
                <a:endParaRPr lang="ru-RU"/>
              </a:p>
            </c:txPr>
            <c:showVal val="1"/>
          </c:dLbls>
          <c:cat>
            <c:strRef>
              <c:f>Лист1!$B$4:$D$4</c:f>
              <c:strCache>
                <c:ptCount val="3"/>
                <c:pt idx="0">
                  <c:v>2011</c:v>
                </c:pt>
                <c:pt idx="1">
                  <c:v>2012</c:v>
                </c:pt>
                <c:pt idx="2">
                  <c:v>2013 прогноз</c:v>
                </c:pt>
              </c:strCache>
            </c:strRef>
          </c:cat>
          <c:val>
            <c:numRef>
              <c:f>Лист1!$B$6:$D$6</c:f>
              <c:numCache>
                <c:formatCode>General</c:formatCode>
                <c:ptCount val="3"/>
                <c:pt idx="0">
                  <c:v>29.3</c:v>
                </c:pt>
                <c:pt idx="1">
                  <c:v>32.300000000000004</c:v>
                </c:pt>
                <c:pt idx="2">
                  <c:v>33.6</c:v>
                </c:pt>
              </c:numCache>
            </c:numRef>
          </c:val>
        </c:ser>
        <c:dLbls>
          <c:showVal val="1"/>
        </c:dLbls>
        <c:shape val="cone"/>
        <c:axId val="198908160"/>
        <c:axId val="198955008"/>
        <c:axId val="0"/>
      </c:bar3DChart>
      <c:catAx>
        <c:axId val="198908160"/>
        <c:scaling>
          <c:orientation val="minMax"/>
        </c:scaling>
        <c:axPos val="b"/>
        <c:numFmt formatCode="General" sourceLinked="1"/>
        <c:tickLblPos val="low"/>
        <c:txPr>
          <a:bodyPr rot="0" vert="horz"/>
          <a:lstStyle/>
          <a:p>
            <a:pPr>
              <a:defRPr sz="1000">
                <a:latin typeface="Times New Roman" pitchFamily="18" charset="0"/>
                <a:cs typeface="Times New Roman" pitchFamily="18" charset="0"/>
              </a:defRPr>
            </a:pPr>
            <a:endParaRPr lang="ru-RU"/>
          </a:p>
        </c:txPr>
        <c:crossAx val="198955008"/>
        <c:crosses val="autoZero"/>
        <c:auto val="1"/>
        <c:lblAlgn val="ctr"/>
        <c:lblOffset val="100"/>
        <c:tickLblSkip val="1"/>
        <c:tickMarkSkip val="1"/>
      </c:catAx>
      <c:valAx>
        <c:axId val="198955008"/>
        <c:scaling>
          <c:orientation val="minMax"/>
        </c:scaling>
        <c:delete val="1"/>
        <c:axPos val="l"/>
        <c:numFmt formatCode="General" sourceLinked="1"/>
        <c:tickLblPos val="nextTo"/>
        <c:crossAx val="198908160"/>
        <c:crosses val="autoZero"/>
        <c:crossBetween val="between"/>
      </c:valAx>
      <c:spPr>
        <a:noFill/>
        <a:ln w="19876">
          <a:noFill/>
        </a:ln>
      </c:spPr>
    </c:plotArea>
    <c:legend>
      <c:legendPos val="r"/>
      <c:layout>
        <c:manualLayout>
          <c:xMode val="edge"/>
          <c:yMode val="edge"/>
          <c:x val="0.76552440290760004"/>
          <c:y val="0.25565140178373225"/>
          <c:w val="0.20456905503635009"/>
          <c:h val="0.22693566289288494"/>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autoTitleDeleted val="1"/>
    <c:view3D>
      <c:hPercent val="27"/>
      <c:depthPercent val="100"/>
      <c:rAngAx val="1"/>
    </c:view3D>
    <c:floor>
      <c:spPr>
        <a:solidFill>
          <a:srgbClr val="CCFFCC"/>
        </a:solidFill>
        <a:ln w="3175">
          <a:solidFill>
            <a:srgbClr val="808080"/>
          </a:solidFill>
          <a:prstDash val="solid"/>
        </a:ln>
      </c:spPr>
    </c:floor>
    <c:plotArea>
      <c:layout>
        <c:manualLayout>
          <c:layoutTarget val="inner"/>
          <c:xMode val="edge"/>
          <c:yMode val="edge"/>
          <c:x val="2.2869022869022891E-2"/>
          <c:y val="0"/>
          <c:w val="0.97713097713097763"/>
          <c:h val="0.8609152649693107"/>
        </c:manualLayout>
      </c:layout>
      <c:bar3DChart>
        <c:barDir val="col"/>
        <c:grouping val="clustered"/>
        <c:ser>
          <c:idx val="0"/>
          <c:order val="0"/>
          <c:tx>
            <c:strRef>
              <c:f>Лист1!$A$5</c:f>
              <c:strCache>
                <c:ptCount val="1"/>
                <c:pt idx="0">
                  <c:v>дд</c:v>
                </c:pt>
              </c:strCache>
            </c:strRef>
          </c:tx>
          <c:spPr>
            <a:solidFill>
              <a:srgbClr val="4BACC6">
                <a:lumMod val="60000"/>
                <a:lumOff val="40000"/>
              </a:srgbClr>
            </a:solidFill>
            <a:ln w="9934">
              <a:solidFill>
                <a:sysClr val="windowText" lastClr="000000">
                  <a:lumMod val="85000"/>
                  <a:lumOff val="15000"/>
                </a:sysClr>
              </a:solidFill>
              <a:prstDash val="solid"/>
            </a:ln>
            <a:effectLst>
              <a:outerShdw dist="35921" dir="2700000" algn="br">
                <a:srgbClr val="000000"/>
              </a:outerShdw>
            </a:effectLst>
          </c:spPr>
          <c:dLbls>
            <c:dLbl>
              <c:idx val="0"/>
              <c:layout>
                <c:manualLayout>
                  <c:x val="1.8477706526639878E-2"/>
                  <c:y val="-5.7468617679663533E-2"/>
                </c:manualLayout>
              </c:layout>
              <c:showVal val="1"/>
            </c:dLbl>
            <c:dLbl>
              <c:idx val="1"/>
              <c:layout>
                <c:manualLayout>
                  <c:x val="9.7436182372364743E-3"/>
                  <c:y val="-5.2871649240566324E-2"/>
                </c:manualLayout>
              </c:layout>
              <c:showVal val="1"/>
            </c:dLbl>
            <c:dLbl>
              <c:idx val="2"/>
              <c:layout>
                <c:manualLayout>
                  <c:x val="2.8183864829915792E-2"/>
                  <c:y val="-5.5134439695430894E-2"/>
                </c:manualLayout>
              </c:layout>
              <c:showVal val="1"/>
            </c:dLbl>
            <c:spPr>
              <a:noFill/>
              <a:ln w="19867">
                <a:noFill/>
              </a:ln>
            </c:spPr>
            <c:txPr>
              <a:bodyPr/>
              <a:lstStyle/>
              <a:p>
                <a:pPr>
                  <a:defRPr b="1">
                    <a:latin typeface="Times New Roman" pitchFamily="18" charset="0"/>
                    <a:cs typeface="Times New Roman" pitchFamily="18" charset="0"/>
                  </a:defRPr>
                </a:pPr>
                <a:endParaRPr lang="ru-RU"/>
              </a:p>
            </c:txPr>
            <c:showVal val="1"/>
          </c:dLbls>
          <c:cat>
            <c:strRef>
              <c:f>Лист1!$B$4:$D$4</c:f>
              <c:strCache>
                <c:ptCount val="3"/>
                <c:pt idx="0">
                  <c:v>2011</c:v>
                </c:pt>
                <c:pt idx="1">
                  <c:v>2012</c:v>
                </c:pt>
                <c:pt idx="2">
                  <c:v>2013 прогноз</c:v>
                </c:pt>
              </c:strCache>
            </c:strRef>
          </c:cat>
          <c:val>
            <c:numRef>
              <c:f>Лист1!$B$5:$D$5</c:f>
              <c:numCache>
                <c:formatCode>General</c:formatCode>
                <c:ptCount val="3"/>
                <c:pt idx="0">
                  <c:v>28.6</c:v>
                </c:pt>
                <c:pt idx="1">
                  <c:v>28.5</c:v>
                </c:pt>
                <c:pt idx="2" formatCode="0.0">
                  <c:v>29.9</c:v>
                </c:pt>
              </c:numCache>
            </c:numRef>
          </c:val>
        </c:ser>
        <c:dLbls>
          <c:showVal val="1"/>
        </c:dLbls>
        <c:shape val="box"/>
        <c:axId val="199294976"/>
        <c:axId val="199296512"/>
        <c:axId val="0"/>
      </c:bar3DChart>
      <c:catAx>
        <c:axId val="199294976"/>
        <c:scaling>
          <c:orientation val="minMax"/>
        </c:scaling>
        <c:axPos val="b"/>
        <c:numFmt formatCode="General" sourceLinked="1"/>
        <c:tickLblPos val="low"/>
        <c:txPr>
          <a:bodyPr rot="0" vert="horz"/>
          <a:lstStyle/>
          <a:p>
            <a:pPr>
              <a:defRPr sz="1000">
                <a:latin typeface="Times New Roman" pitchFamily="18" charset="0"/>
                <a:cs typeface="Times New Roman" pitchFamily="18" charset="0"/>
              </a:defRPr>
            </a:pPr>
            <a:endParaRPr lang="ru-RU"/>
          </a:p>
        </c:txPr>
        <c:crossAx val="199296512"/>
        <c:crosses val="autoZero"/>
        <c:auto val="1"/>
        <c:lblAlgn val="ctr"/>
        <c:lblOffset val="100"/>
        <c:tickLblSkip val="1"/>
        <c:tickMarkSkip val="1"/>
      </c:catAx>
      <c:valAx>
        <c:axId val="199296512"/>
        <c:scaling>
          <c:orientation val="minMax"/>
        </c:scaling>
        <c:delete val="1"/>
        <c:axPos val="l"/>
        <c:numFmt formatCode="General" sourceLinked="1"/>
        <c:tickLblPos val="nextTo"/>
        <c:crossAx val="199294976"/>
        <c:crosses val="autoZero"/>
        <c:crossBetween val="between"/>
      </c:valAx>
      <c:spPr>
        <a:noFill/>
        <a:ln w="19867">
          <a:noFill/>
        </a:ln>
      </c:spPr>
    </c:plotArea>
    <c:plotVisOnly val="1"/>
    <c:dispBlanksAs val="gap"/>
  </c:chart>
  <c:spPr>
    <a:noFill/>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Лист1!$A$2</c:f>
              <c:strCache>
                <c:ptCount val="1"/>
                <c:pt idx="0">
                  <c:v>Обсяг реалізованої продукції, млрд.грн.</c:v>
                </c:pt>
              </c:strCache>
            </c:strRef>
          </c:tx>
          <c:spPr>
            <a:solidFill>
              <a:schemeClr val="tx2">
                <a:lumMod val="75000"/>
              </a:schemeClr>
            </a:solidFill>
          </c:spPr>
          <c:dLbls>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Лист1!$B$2:$D$2</c:f>
              <c:numCache>
                <c:formatCode>0.0</c:formatCode>
                <c:ptCount val="3"/>
                <c:pt idx="0" formatCode="General">
                  <c:v>246.3</c:v>
                </c:pt>
                <c:pt idx="1">
                  <c:v>222.8</c:v>
                </c:pt>
                <c:pt idx="2">
                  <c:v>230.6</c:v>
                </c:pt>
              </c:numCache>
            </c:numRef>
          </c:val>
        </c:ser>
        <c:axId val="199145728"/>
        <c:axId val="199307264"/>
      </c:barChart>
      <c:lineChart>
        <c:grouping val="standard"/>
        <c:ser>
          <c:idx val="1"/>
          <c:order val="1"/>
          <c:tx>
            <c:strRef>
              <c:f>Лист1!$A$3</c:f>
              <c:strCache>
                <c:ptCount val="1"/>
                <c:pt idx="0">
                  <c:v>Індекс виробництва, % до попереднього року</c:v>
                </c:pt>
              </c:strCache>
            </c:strRef>
          </c:tx>
          <c:spPr>
            <a:ln w="38100"/>
          </c:spPr>
          <c:marker>
            <c:symbol val="square"/>
            <c:size val="8"/>
          </c:marker>
          <c:dLbls>
            <c:txPr>
              <a:bodyPr/>
              <a:lstStyle/>
              <a:p>
                <a:pPr>
                  <a:defRPr b="1">
                    <a:solidFill>
                      <a:schemeClr val="bg1"/>
                    </a:solidFill>
                    <a:latin typeface="Times New Roman" pitchFamily="18" charset="0"/>
                    <a:cs typeface="Times New Roman" pitchFamily="18" charset="0"/>
                  </a:defRPr>
                </a:pPr>
                <a:endParaRPr lang="ru-RU"/>
              </a:p>
            </c:txPr>
            <c:dLblPos val="t"/>
            <c:showVal val="1"/>
          </c:dLbls>
          <c:cat>
            <c:strRef>
              <c:f>Лист1!$B$1:$D$1</c:f>
              <c:strCache>
                <c:ptCount val="3"/>
                <c:pt idx="0">
                  <c:v>2011</c:v>
                </c:pt>
                <c:pt idx="1">
                  <c:v>2012</c:v>
                </c:pt>
                <c:pt idx="2">
                  <c:v>2013 прогноз</c:v>
                </c:pt>
              </c:strCache>
            </c:strRef>
          </c:cat>
          <c:val>
            <c:numRef>
              <c:f>Лист1!$B$3:$D$3</c:f>
              <c:numCache>
                <c:formatCode>0.0</c:formatCode>
                <c:ptCount val="3"/>
                <c:pt idx="0" formatCode="General">
                  <c:v>113.6</c:v>
                </c:pt>
                <c:pt idx="1">
                  <c:v>94.6</c:v>
                </c:pt>
                <c:pt idx="2">
                  <c:v>102.7</c:v>
                </c:pt>
              </c:numCache>
            </c:numRef>
          </c:val>
        </c:ser>
        <c:marker val="1"/>
        <c:axId val="199145728"/>
        <c:axId val="199307264"/>
      </c:lineChart>
      <c:catAx>
        <c:axId val="199145728"/>
        <c:scaling>
          <c:orientation val="minMax"/>
        </c:scaling>
        <c:axPos val="b"/>
        <c:tickLblPos val="nextTo"/>
        <c:txPr>
          <a:bodyPr/>
          <a:lstStyle/>
          <a:p>
            <a:pPr>
              <a:defRPr>
                <a:latin typeface="Times New Roman" pitchFamily="18" charset="0"/>
                <a:cs typeface="Times New Roman" pitchFamily="18" charset="0"/>
              </a:defRPr>
            </a:pPr>
            <a:endParaRPr lang="ru-RU"/>
          </a:p>
        </c:txPr>
        <c:crossAx val="199307264"/>
        <c:crosses val="autoZero"/>
        <c:auto val="1"/>
        <c:lblAlgn val="ctr"/>
        <c:lblOffset val="100"/>
      </c:catAx>
      <c:valAx>
        <c:axId val="199307264"/>
        <c:scaling>
          <c:orientation val="minMax"/>
        </c:scaling>
        <c:delete val="1"/>
        <c:axPos val="l"/>
        <c:numFmt formatCode="General" sourceLinked="1"/>
        <c:tickLblPos val="nextTo"/>
        <c:crossAx val="199145728"/>
        <c:crosses val="autoZero"/>
        <c:crossBetween val="between"/>
      </c:valAx>
      <c:spPr>
        <a:noFill/>
        <a:ln>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hPercent val="29"/>
      <c:rotY val="4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bar3DChart>
        <c:barDir val="col"/>
        <c:grouping val="clustered"/>
        <c:ser>
          <c:idx val="0"/>
          <c:order val="0"/>
          <c:tx>
            <c:strRef>
              <c:f>Лист2!$B$26:$D$26</c:f>
              <c:strCache>
                <c:ptCount val="1"/>
                <c:pt idx="0">
                  <c:v>Чавун</c:v>
                </c:pt>
              </c:strCache>
            </c:strRef>
          </c:tx>
          <c:spPr>
            <a:solidFill>
              <a:sysClr val="window" lastClr="FFFFFF">
                <a:lumMod val="65000"/>
              </a:sysClr>
            </a:solidFill>
            <a:ln w="12609">
              <a:solidFill>
                <a:srgbClr val="000000"/>
              </a:solidFill>
              <a:prstDash val="solid"/>
            </a:ln>
          </c:spPr>
          <c:dLbls>
            <c:dLbl>
              <c:idx val="0"/>
              <c:layout>
                <c:manualLayout>
                  <c:x val="-1.8496217384591632E-2"/>
                  <c:y val="-1.5807086614173241E-2"/>
                </c:manualLayout>
              </c:layout>
              <c:showVal val="1"/>
            </c:dLbl>
            <c:dLbl>
              <c:idx val="1"/>
              <c:layout>
                <c:manualLayout>
                  <c:x val="-2.3546002015881758E-2"/>
                  <c:y val="-7.2925849303801804E-3"/>
                </c:manualLayout>
              </c:layout>
              <c:showVal val="1"/>
            </c:dLbl>
            <c:dLbl>
              <c:idx val="2"/>
              <c:layout>
                <c:manualLayout>
                  <c:x val="-1.8745061711577678E-4"/>
                  <c:y val="-2.7669291338582678E-2"/>
                </c:manualLayout>
              </c:layout>
              <c:showVal val="1"/>
            </c:dLbl>
            <c:dLbl>
              <c:idx val="3"/>
              <c:numFmt formatCode="#,##0.0" sourceLinked="0"/>
              <c:spPr>
                <a:noFill/>
                <a:ln w="25312">
                  <a:noFill/>
                </a:ln>
              </c:spPr>
              <c:txPr>
                <a:bodyPr/>
                <a:lstStyle/>
                <a:p>
                  <a:pPr>
                    <a:defRPr sz="995" b="0" i="0" u="none" strike="noStrike" baseline="0">
                      <a:solidFill>
                        <a:srgbClr val="000000"/>
                      </a:solidFill>
                      <a:latin typeface="Times New Roman" pitchFamily="18" charset="0"/>
                      <a:ea typeface="Times New Roman"/>
                      <a:cs typeface="Times New Roman" pitchFamily="18" charset="0"/>
                    </a:defRPr>
                  </a:pPr>
                  <a:endParaRPr lang="ru-RU"/>
                </a:p>
              </c:txPr>
            </c:dLbl>
            <c:numFmt formatCode="#,##0.0" sourceLinked="0"/>
            <c:spPr>
              <a:noFill/>
              <a:ln w="25312">
                <a:noFill/>
              </a:ln>
            </c:spPr>
            <c:txPr>
              <a:bodyPr/>
              <a:lstStyle/>
              <a:p>
                <a:pP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Лист2!$E$25:$G$25</c:f>
              <c:strCache>
                <c:ptCount val="3"/>
                <c:pt idx="0">
                  <c:v>2011</c:v>
                </c:pt>
                <c:pt idx="1">
                  <c:v>2012</c:v>
                </c:pt>
                <c:pt idx="2">
                  <c:v>2013 прогноз</c:v>
                </c:pt>
              </c:strCache>
            </c:strRef>
          </c:cat>
          <c:val>
            <c:numRef>
              <c:f>Лист2!$E$26:$G$26</c:f>
              <c:numCache>
                <c:formatCode>General</c:formatCode>
                <c:ptCount val="3"/>
                <c:pt idx="0">
                  <c:v>13.6</c:v>
                </c:pt>
                <c:pt idx="1">
                  <c:v>12.3</c:v>
                </c:pt>
                <c:pt idx="2" formatCode="0.00">
                  <c:v>12.450000000000006</c:v>
                </c:pt>
              </c:numCache>
            </c:numRef>
          </c:val>
        </c:ser>
        <c:ser>
          <c:idx val="1"/>
          <c:order val="1"/>
          <c:tx>
            <c:strRef>
              <c:f>Лист2!$B$27:$D$27</c:f>
              <c:strCache>
                <c:ptCount val="1"/>
                <c:pt idx="0">
                  <c:v>Сталь</c:v>
                </c:pt>
              </c:strCache>
            </c:strRef>
          </c:tx>
          <c:spPr>
            <a:solidFill>
              <a:srgbClr val="0000FF"/>
            </a:solidFill>
            <a:ln w="12609">
              <a:solidFill>
                <a:srgbClr val="000000"/>
              </a:solidFill>
              <a:prstDash val="solid"/>
            </a:ln>
          </c:spPr>
          <c:dLbls>
            <c:dLbl>
              <c:idx val="0"/>
              <c:layout>
                <c:manualLayout>
                  <c:x val="3.7052375373495011E-2"/>
                  <c:y val="-2.6597112860892402E-2"/>
                </c:manualLayout>
              </c:layout>
              <c:showVal val="1"/>
            </c:dLbl>
            <c:dLbl>
              <c:idx val="1"/>
              <c:layout>
                <c:manualLayout>
                  <c:x val="2.0027518375337471E-2"/>
                  <c:y val="5.1054719558656734E-3"/>
                </c:manualLayout>
              </c:layout>
              <c:showVal val="1"/>
            </c:dLbl>
            <c:dLbl>
              <c:idx val="2"/>
              <c:layout>
                <c:manualLayout>
                  <c:x val="4.9623080164997793E-2"/>
                  <c:y val="6.6707701747072533E-3"/>
                </c:manualLayout>
              </c:layout>
              <c:showVal val="1"/>
            </c:dLbl>
            <c:dLbl>
              <c:idx val="3"/>
              <c:spPr>
                <a:noFill/>
                <a:ln w="25312">
                  <a:noFill/>
                </a:ln>
              </c:spPr>
              <c:txPr>
                <a:bodyPr/>
                <a:lstStyle/>
                <a:p>
                  <a:pPr algn="r">
                    <a:defRPr sz="995" b="0" i="0" u="none" strike="noStrike" baseline="0">
                      <a:solidFill>
                        <a:srgbClr val="000000"/>
                      </a:solidFill>
                      <a:latin typeface="Times New Roman" pitchFamily="18" charset="0"/>
                      <a:ea typeface="Times New Roman"/>
                      <a:cs typeface="Times New Roman" pitchFamily="18" charset="0"/>
                    </a:defRPr>
                  </a:pPr>
                  <a:endParaRPr lang="ru-RU"/>
                </a:p>
              </c:txPr>
            </c:dLbl>
            <c:spPr>
              <a:noFill/>
              <a:ln w="25312">
                <a:noFill/>
              </a:ln>
            </c:spPr>
            <c:txPr>
              <a:bodyPr/>
              <a:lstStyle/>
              <a:p>
                <a:pPr algn="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Лист2!$E$25:$G$25</c:f>
              <c:strCache>
                <c:ptCount val="3"/>
                <c:pt idx="0">
                  <c:v>2011</c:v>
                </c:pt>
                <c:pt idx="1">
                  <c:v>2012</c:v>
                </c:pt>
                <c:pt idx="2">
                  <c:v>2013 прогноз</c:v>
                </c:pt>
              </c:strCache>
            </c:strRef>
          </c:cat>
          <c:val>
            <c:numRef>
              <c:f>Лист2!$E$27:$G$27</c:f>
              <c:numCache>
                <c:formatCode>0.0</c:formatCode>
                <c:ptCount val="3"/>
                <c:pt idx="0" formatCode="General">
                  <c:v>16.7</c:v>
                </c:pt>
                <c:pt idx="1">
                  <c:v>13.9</c:v>
                </c:pt>
                <c:pt idx="2">
                  <c:v>14.3</c:v>
                </c:pt>
              </c:numCache>
            </c:numRef>
          </c:val>
        </c:ser>
        <c:ser>
          <c:idx val="2"/>
          <c:order val="2"/>
          <c:tx>
            <c:strRef>
              <c:f>Лист2!$B$28:$D$28</c:f>
              <c:strCache>
                <c:ptCount val="1"/>
                <c:pt idx="0">
                  <c:v>Готовий прокат чорних металів</c:v>
                </c:pt>
              </c:strCache>
            </c:strRef>
          </c:tx>
          <c:spPr>
            <a:solidFill>
              <a:srgbClr val="4BACC6">
                <a:lumMod val="40000"/>
                <a:lumOff val="60000"/>
              </a:srgbClr>
            </a:solidFill>
            <a:ln>
              <a:solidFill>
                <a:sysClr val="windowText" lastClr="000000">
                  <a:lumMod val="75000"/>
                  <a:lumOff val="25000"/>
                </a:sysClr>
              </a:solidFill>
            </a:ln>
          </c:spPr>
          <c:dLbls>
            <c:dLbl>
              <c:idx val="0"/>
              <c:layout>
                <c:manualLayout>
                  <c:x val="4.6906429083907804E-2"/>
                  <c:y val="-9.9068241469816298E-3"/>
                </c:manualLayout>
              </c:layout>
              <c:showVal val="1"/>
            </c:dLbl>
            <c:dLbl>
              <c:idx val="1"/>
              <c:layout>
                <c:manualLayout>
                  <c:x val="3.4495191298722486E-2"/>
                  <c:y val="-2.2482548073098612E-3"/>
                </c:manualLayout>
              </c:layout>
              <c:showVal val="1"/>
            </c:dLbl>
            <c:dLbl>
              <c:idx val="2"/>
              <c:layout>
                <c:manualLayout>
                  <c:x val="5.5774744772374367E-2"/>
                  <c:y val="-4.9617967334504133E-3"/>
                </c:manualLayout>
              </c:layout>
              <c:showVal val="1"/>
            </c:dLbl>
            <c:spPr>
              <a:noFill/>
              <a:ln w="25312">
                <a:noFill/>
              </a:ln>
            </c:spPr>
            <c:txPr>
              <a:bodyPr/>
              <a:lstStyle/>
              <a:p>
                <a:pP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Лист2!$E$25:$G$25</c:f>
              <c:strCache>
                <c:ptCount val="3"/>
                <c:pt idx="0">
                  <c:v>2011</c:v>
                </c:pt>
                <c:pt idx="1">
                  <c:v>2012</c:v>
                </c:pt>
                <c:pt idx="2">
                  <c:v>2013 прогноз</c:v>
                </c:pt>
              </c:strCache>
            </c:strRef>
          </c:cat>
          <c:val>
            <c:numRef>
              <c:f>Лист2!$E$28:$G$28</c:f>
              <c:numCache>
                <c:formatCode>0.0</c:formatCode>
                <c:ptCount val="3"/>
                <c:pt idx="0" formatCode="General">
                  <c:v>9.3000000000000007</c:v>
                </c:pt>
                <c:pt idx="1">
                  <c:v>8</c:v>
                </c:pt>
                <c:pt idx="2">
                  <c:v>8.2000000000000011</c:v>
                </c:pt>
              </c:numCache>
            </c:numRef>
          </c:val>
        </c:ser>
        <c:dLbls>
          <c:showVal val="1"/>
        </c:dLbls>
        <c:shape val="box"/>
        <c:axId val="199478272"/>
        <c:axId val="199566080"/>
        <c:axId val="0"/>
      </c:bar3DChart>
      <c:catAx>
        <c:axId val="199478272"/>
        <c:scaling>
          <c:orientation val="minMax"/>
        </c:scaling>
        <c:axPos val="b"/>
        <c:numFmt formatCode="General" sourceLinked="1"/>
        <c:tickLblPos val="low"/>
        <c:spPr>
          <a:ln w="3153">
            <a:solidFill>
              <a:srgbClr val="000000"/>
            </a:solidFill>
            <a:prstDash val="solid"/>
          </a:ln>
        </c:spPr>
        <c:txPr>
          <a:bodyPr rot="0" vert="horz"/>
          <a:lstStyle/>
          <a:p>
            <a:pPr>
              <a:defRPr sz="895" b="0" i="0" u="none" strike="noStrike" baseline="0">
                <a:solidFill>
                  <a:srgbClr val="000000"/>
                </a:solidFill>
                <a:latin typeface="Times New Roman" pitchFamily="18" charset="0"/>
                <a:ea typeface="Times New Roman"/>
                <a:cs typeface="Times New Roman" pitchFamily="18" charset="0"/>
              </a:defRPr>
            </a:pPr>
            <a:endParaRPr lang="ru-RU"/>
          </a:p>
        </c:txPr>
        <c:crossAx val="199566080"/>
        <c:crosses val="autoZero"/>
        <c:auto val="1"/>
        <c:lblAlgn val="ctr"/>
        <c:lblOffset val="100"/>
        <c:tickLblSkip val="1"/>
        <c:tickMarkSkip val="1"/>
      </c:catAx>
      <c:valAx>
        <c:axId val="199566080"/>
        <c:scaling>
          <c:orientation val="minMax"/>
        </c:scaling>
        <c:delete val="1"/>
        <c:axPos val="l"/>
        <c:numFmt formatCode="General" sourceLinked="1"/>
        <c:tickLblPos val="nextTo"/>
        <c:crossAx val="199478272"/>
        <c:crosses val="autoZero"/>
        <c:crossBetween val="between"/>
      </c:valAx>
      <c:spPr>
        <a:noFill/>
        <a:ln w="25312">
          <a:noFill/>
        </a:ln>
      </c:spPr>
    </c:plotArea>
    <c:legend>
      <c:legendPos val="b"/>
      <c:layout>
        <c:manualLayout>
          <c:xMode val="edge"/>
          <c:yMode val="edge"/>
          <c:x val="0.11046756631943384"/>
          <c:y val="0.87253105861768065"/>
          <c:w val="0.82743129038449714"/>
          <c:h val="9.4135608048994068E-2"/>
        </c:manualLayout>
      </c:layout>
      <c:spPr>
        <a:solidFill>
          <a:srgbClr val="FFFFFF"/>
        </a:solidFill>
        <a:ln w="25220">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solidFill>
      <a:srgbClr val="FFFFFF"/>
    </a:solidFill>
    <a:ln>
      <a:noFill/>
    </a:ln>
  </c:spPr>
  <c:txPr>
    <a:bodyPr/>
    <a:lstStyle/>
    <a:p>
      <a:pPr algn="l">
        <a:defRPr sz="797" b="0" i="0" u="none" strike="noStrike" baseline="0">
          <a:solidFill>
            <a:srgbClr val="000000"/>
          </a:solidFill>
          <a:latin typeface="Times New Roman"/>
          <a:ea typeface="Times New Roman"/>
          <a:cs typeface="Times New Roman"/>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
          <c:y val="0.12087912087912089"/>
          <c:w val="0.74155405405405461"/>
          <c:h val="0.65446435759949484"/>
        </c:manualLayout>
      </c:layout>
      <c:barChart>
        <c:barDir val="col"/>
        <c:grouping val="clustered"/>
        <c:ser>
          <c:idx val="0"/>
          <c:order val="0"/>
          <c:tx>
            <c:strRef>
              <c:f>Лист1!$A$2</c:f>
              <c:strCache>
                <c:ptCount val="1"/>
                <c:pt idx="0">
                  <c:v>Валова продукція сільського господарства, млн. грн </c:v>
                </c:pt>
              </c:strCache>
            </c:strRef>
          </c:tx>
          <c:spPr>
            <a:ln>
              <a:solidFill>
                <a:sysClr val="windowText" lastClr="000000">
                  <a:lumMod val="75000"/>
                  <a:lumOff val="25000"/>
                </a:sysClr>
              </a:solidFill>
            </a:ln>
            <a:effectLst>
              <a:outerShdw blurRad="50800" dist="38100" algn="l" rotWithShape="0">
                <a:prstClr val="black">
                  <a:alpha val="40000"/>
                </a:prstClr>
              </a:outerShdw>
            </a:effectLst>
          </c:spPr>
          <c:dLbls>
            <c:dLbl>
              <c:idx val="0"/>
              <c:layout>
                <c:manualLayout>
                  <c:x val="-1.8872889892749113E-3"/>
                  <c:y val="2.2456851984411042E-2"/>
                </c:manualLayout>
              </c:layout>
              <c:dLblPos val="outEnd"/>
              <c:showVal val="1"/>
            </c:dLbl>
            <c:dLbl>
              <c:idx val="1"/>
              <c:layout>
                <c:manualLayout>
                  <c:x val="0"/>
                  <c:y val="8.4175084175084746E-3"/>
                </c:manualLayout>
              </c:layout>
              <c:dLblPos val="outEnd"/>
              <c:showVal val="1"/>
            </c:dLbl>
            <c:dLbl>
              <c:idx val="2"/>
              <c:layout>
                <c:manualLayout>
                  <c:x val="8.9197017703464547E-4"/>
                  <c:y val="0"/>
                </c:manualLayout>
              </c:layout>
              <c:dLblPos val="outEnd"/>
              <c:showVal val="1"/>
            </c:dLbl>
            <c:numFmt formatCode="0" sourceLinked="0"/>
            <c:spPr>
              <a:noFill/>
              <a:ln w="22374">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c:v>
                </c:pt>
                <c:pt idx="2">
                  <c:v>2013 прогноз</c:v>
                </c:pt>
              </c:strCache>
            </c:strRef>
          </c:cat>
          <c:val>
            <c:numRef>
              <c:f>Лист1!$B$2:$D$2</c:f>
              <c:numCache>
                <c:formatCode>0.0</c:formatCode>
                <c:ptCount val="3"/>
                <c:pt idx="0" formatCode="General">
                  <c:v>11464.5</c:v>
                </c:pt>
                <c:pt idx="1">
                  <c:v>10800</c:v>
                </c:pt>
                <c:pt idx="2">
                  <c:v>11600</c:v>
                </c:pt>
              </c:numCache>
            </c:numRef>
          </c:val>
        </c:ser>
        <c:dLbls>
          <c:showVal val="1"/>
        </c:dLbls>
        <c:axId val="199772800"/>
        <c:axId val="199786880"/>
      </c:barChart>
      <c:lineChart>
        <c:grouping val="standard"/>
        <c:ser>
          <c:idx val="1"/>
          <c:order val="1"/>
          <c:tx>
            <c:strRef>
              <c:f>Лист1!$A$3</c:f>
              <c:strCache>
                <c:ptCount val="1"/>
                <c:pt idx="0">
                  <c:v>Індекс виробництва валової продукції, % до попереднього року</c:v>
                </c:pt>
              </c:strCache>
            </c:strRef>
          </c:tx>
          <c:spPr>
            <a:ln w="58632">
              <a:noFill/>
            </a:ln>
            <a:effectLst>
              <a:outerShdw blurRad="50800" dist="38100" algn="l" rotWithShape="0">
                <a:prstClr val="black">
                  <a:alpha val="40000"/>
                </a:prstClr>
              </a:outerShdw>
            </a:effectLst>
          </c:spPr>
          <c:marker>
            <c:symbol val="circle"/>
            <c:size val="25"/>
            <c:spPr>
              <a:solidFill>
                <a:srgbClr val="FFFF00"/>
              </a:solidFill>
              <a:effectLst>
                <a:outerShdw blurRad="50800" dist="38100" algn="l" rotWithShape="0">
                  <a:prstClr val="black">
                    <a:alpha val="40000"/>
                  </a:prstClr>
                </a:outerShdw>
              </a:effectLst>
            </c:spPr>
          </c:marker>
          <c:dLbls>
            <c:dLbl>
              <c:idx val="0"/>
              <c:layout>
                <c:manualLayout>
                  <c:x val="-8.6917417598511279E-2"/>
                  <c:y val="-6.7772379516390533E-3"/>
                </c:manualLayout>
              </c:layout>
              <c:dLblPos val="r"/>
              <c:showVal val="1"/>
            </c:dLbl>
            <c:dLbl>
              <c:idx val="1"/>
              <c:layout>
                <c:manualLayout>
                  <c:x val="-7.8189723002348999E-2"/>
                  <c:y val="-5.413525436979952E-3"/>
                </c:manualLayout>
              </c:layout>
              <c:dLblPos val="r"/>
              <c:showVal val="1"/>
            </c:dLbl>
            <c:dLbl>
              <c:idx val="2"/>
              <c:layout>
                <c:manualLayout>
                  <c:x val="-9.0891067500588701E-2"/>
                  <c:y val="-1.3474492159068353E-2"/>
                </c:manualLayout>
              </c:layout>
              <c:dLblPos val="r"/>
              <c:showVal val="1"/>
            </c:dLbl>
            <c:spPr>
              <a:noFill/>
              <a:ln w="22374">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c:v>
                </c:pt>
                <c:pt idx="2">
                  <c:v>2013 прогноз</c:v>
                </c:pt>
              </c:strCache>
            </c:strRef>
          </c:cat>
          <c:val>
            <c:numRef>
              <c:f>Лист1!$B$3:$D$3</c:f>
              <c:numCache>
                <c:formatCode>0.0</c:formatCode>
                <c:ptCount val="3"/>
                <c:pt idx="0" formatCode="General">
                  <c:v>119.7</c:v>
                </c:pt>
                <c:pt idx="1">
                  <c:v>94.2</c:v>
                </c:pt>
                <c:pt idx="2" formatCode="General">
                  <c:v>107.4</c:v>
                </c:pt>
              </c:numCache>
            </c:numRef>
          </c:val>
        </c:ser>
        <c:dLbls>
          <c:showVal val="1"/>
        </c:dLbls>
        <c:marker val="1"/>
        <c:axId val="199788416"/>
        <c:axId val="199789952"/>
      </c:lineChart>
      <c:catAx>
        <c:axId val="199772800"/>
        <c:scaling>
          <c:orientation val="minMax"/>
        </c:scaling>
        <c:axPos val="b"/>
        <c:numFmt formatCode="General" sourceLinked="1"/>
        <c:majorTickMark val="cross"/>
        <c:tickLblPos val="nextTo"/>
        <c:spPr>
          <a:ln>
            <a:solidFill>
              <a:schemeClr val="tx1"/>
            </a:solidFill>
          </a:ln>
        </c:spPr>
        <c:txPr>
          <a:bodyPr rot="0" vert="horz"/>
          <a:lstStyle/>
          <a:p>
            <a:pPr>
              <a:defRPr>
                <a:latin typeface="Times New Roman" pitchFamily="18" charset="0"/>
                <a:cs typeface="Times New Roman" pitchFamily="18" charset="0"/>
              </a:defRPr>
            </a:pPr>
            <a:endParaRPr lang="ru-RU"/>
          </a:p>
        </c:txPr>
        <c:crossAx val="199786880"/>
        <c:crosses val="autoZero"/>
        <c:lblAlgn val="ctr"/>
        <c:lblOffset val="100"/>
        <c:tickLblSkip val="1"/>
        <c:tickMarkSkip val="1"/>
      </c:catAx>
      <c:valAx>
        <c:axId val="199786880"/>
        <c:scaling>
          <c:orientation val="minMax"/>
          <c:max val="12000"/>
          <c:min val="2000"/>
        </c:scaling>
        <c:axPos val="l"/>
        <c:numFmt formatCode="General" sourceLinked="1"/>
        <c:majorTickMark val="none"/>
        <c:tickLblPos val="none"/>
        <c:spPr>
          <a:ln>
            <a:noFill/>
          </a:ln>
        </c:spPr>
        <c:crossAx val="199772800"/>
        <c:crosses val="autoZero"/>
        <c:crossBetween val="between"/>
      </c:valAx>
      <c:catAx>
        <c:axId val="199788416"/>
        <c:scaling>
          <c:orientation val="minMax"/>
        </c:scaling>
        <c:delete val="1"/>
        <c:axPos val="b"/>
        <c:tickLblPos val="nextTo"/>
        <c:crossAx val="199789952"/>
        <c:crosses val="autoZero"/>
        <c:lblAlgn val="ctr"/>
        <c:lblOffset val="100"/>
      </c:catAx>
      <c:valAx>
        <c:axId val="199789952"/>
        <c:scaling>
          <c:orientation val="minMax"/>
          <c:max val="170"/>
          <c:min val="75"/>
        </c:scaling>
        <c:axPos val="r"/>
        <c:numFmt formatCode="General" sourceLinked="1"/>
        <c:majorTickMark val="none"/>
        <c:tickLblPos val="none"/>
        <c:spPr>
          <a:ln>
            <a:noFill/>
          </a:ln>
        </c:spPr>
        <c:crossAx val="199788416"/>
        <c:crosses val="max"/>
        <c:crossBetween val="between"/>
      </c:valAx>
      <c:spPr>
        <a:noFill/>
        <a:ln w="22374">
          <a:noFill/>
        </a:ln>
      </c:spPr>
    </c:plotArea>
    <c:legend>
      <c:legendPos val="r"/>
      <c:legendEntry>
        <c:idx val="0"/>
        <c:delete val="1"/>
      </c:legendEntry>
      <c:legendEntry>
        <c:idx val="1"/>
        <c:txPr>
          <a:bodyPr/>
          <a:lstStyle/>
          <a:p>
            <a:pPr>
              <a:defRPr>
                <a:latin typeface="Times New Roman" pitchFamily="18" charset="0"/>
                <a:cs typeface="Times New Roman" pitchFamily="18" charset="0"/>
              </a:defRPr>
            </a:pPr>
            <a:endParaRPr lang="ru-RU"/>
          </a:p>
        </c:txPr>
      </c:legendEntry>
      <c:layout>
        <c:manualLayout>
          <c:xMode val="edge"/>
          <c:yMode val="edge"/>
          <c:x val="0.69901870581273706"/>
          <c:y val="9.0806590352678768E-2"/>
          <c:w val="0.28777454240539374"/>
          <c:h val="0.6524590308564376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4.3591790609507144E-2"/>
          <c:y val="9.4017094017094044E-2"/>
          <c:w val="0.69950787173759998"/>
          <c:h val="0.67974358974360005"/>
        </c:manualLayout>
      </c:layout>
      <c:barChart>
        <c:barDir val="col"/>
        <c:grouping val="clustered"/>
        <c:ser>
          <c:idx val="0"/>
          <c:order val="0"/>
          <c:tx>
            <c:strRef>
              <c:f>Лист1!$A$2</c:f>
              <c:strCache>
                <c:ptCount val="1"/>
                <c:pt idx="0">
                  <c:v>свині</c:v>
                </c:pt>
              </c:strCache>
            </c:strRef>
          </c:tx>
          <c:dLbls>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Лист1!$B$2:$D$2</c:f>
              <c:numCache>
                <c:formatCode>0.0</c:formatCode>
                <c:ptCount val="3"/>
                <c:pt idx="0" formatCode="General">
                  <c:v>501.4</c:v>
                </c:pt>
                <c:pt idx="1">
                  <c:v>533</c:v>
                </c:pt>
                <c:pt idx="2">
                  <c:v>585</c:v>
                </c:pt>
              </c:numCache>
            </c:numRef>
          </c:val>
        </c:ser>
        <c:ser>
          <c:idx val="1"/>
          <c:order val="1"/>
          <c:tx>
            <c:strRef>
              <c:f>Лист1!$A$3</c:f>
              <c:strCache>
                <c:ptCount val="1"/>
                <c:pt idx="0">
                  <c:v>ВРХ</c:v>
                </c:pt>
              </c:strCache>
            </c:strRef>
          </c:tx>
          <c:dLbls>
            <c:dLbl>
              <c:idx val="0"/>
              <c:layout>
                <c:manualLayout>
                  <c:x val="0"/>
                  <c:y val="2.5641025641026549E-2"/>
                </c:manualLayout>
              </c:layout>
              <c:dLblPos val="outEnd"/>
              <c:showVal val="1"/>
            </c:dLbl>
            <c:dLbl>
              <c:idx val="1"/>
              <c:layout>
                <c:manualLayout>
                  <c:x val="-4.243778136007233E-17"/>
                  <c:y val="2.5641025641026549E-2"/>
                </c:manualLayout>
              </c:layout>
              <c:dLblPos val="outEnd"/>
              <c:showVal val="1"/>
            </c:dLbl>
            <c:dLbl>
              <c:idx val="2"/>
              <c:layout>
                <c:manualLayout>
                  <c:x val="4.6296296296297014E-3"/>
                  <c:y val="2.5641025641026549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Лист1!$B$3:$D$3</c:f>
              <c:numCache>
                <c:formatCode>0.0</c:formatCode>
                <c:ptCount val="3"/>
                <c:pt idx="0" formatCode="General">
                  <c:v>139.19999999999999</c:v>
                </c:pt>
                <c:pt idx="1">
                  <c:v>131.30000000000001</c:v>
                </c:pt>
                <c:pt idx="2">
                  <c:v>144</c:v>
                </c:pt>
              </c:numCache>
            </c:numRef>
          </c:val>
        </c:ser>
        <c:ser>
          <c:idx val="2"/>
          <c:order val="2"/>
          <c:tx>
            <c:strRef>
              <c:f>Лист1!$A$4</c:f>
              <c:strCache>
                <c:ptCount val="1"/>
                <c:pt idx="0">
                  <c:v>в т.ч. корови</c:v>
                </c:pt>
              </c:strCache>
            </c:strRef>
          </c:tx>
          <c:dLbls>
            <c:dLbl>
              <c:idx val="0"/>
              <c:layout>
                <c:manualLayout>
                  <c:x val="1.3888888888889355E-2"/>
                  <c:y val="1.7094017094017103E-2"/>
                </c:manualLayout>
              </c:layout>
              <c:dLblPos val="outEnd"/>
              <c:showVal val="1"/>
            </c:dLbl>
            <c:dLbl>
              <c:idx val="1"/>
              <c:layout>
                <c:manualLayout>
                  <c:x val="6.944444444444673E-3"/>
                  <c:y val="2.5641025641026549E-2"/>
                </c:manualLayout>
              </c:layout>
              <c:dLblPos val="outEnd"/>
              <c:showVal val="1"/>
            </c:dLbl>
            <c:dLbl>
              <c:idx val="2"/>
              <c:layout>
                <c:manualLayout>
                  <c:x val="6.9444444444445638E-3"/>
                  <c:y val="2.5641025641026549E-2"/>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Лист1!$B$4:$D$4</c:f>
              <c:numCache>
                <c:formatCode>General</c:formatCode>
                <c:ptCount val="3"/>
                <c:pt idx="0">
                  <c:v>71</c:v>
                </c:pt>
                <c:pt idx="1">
                  <c:v>67.900000000000006</c:v>
                </c:pt>
                <c:pt idx="2" formatCode="0.0">
                  <c:v>70</c:v>
                </c:pt>
              </c:numCache>
            </c:numRef>
          </c:val>
        </c:ser>
        <c:axId val="199688960"/>
        <c:axId val="199690496"/>
      </c:barChart>
      <c:lineChart>
        <c:grouping val="standard"/>
        <c:ser>
          <c:idx val="3"/>
          <c:order val="3"/>
          <c:tx>
            <c:strRef>
              <c:f>Лист1!$A$5</c:f>
              <c:strCache>
                <c:ptCount val="1"/>
                <c:pt idx="0">
                  <c:v>птиця, млн. гол.</c:v>
                </c:pt>
              </c:strCache>
            </c:strRef>
          </c:tx>
          <c:spPr>
            <a:ln w="31750"/>
          </c:spPr>
          <c:marker>
            <c:symbol val="circle"/>
            <c:size val="9"/>
            <c:spPr>
              <a:solidFill>
                <a:srgbClr val="4BACC6">
                  <a:lumMod val="40000"/>
                  <a:lumOff val="60000"/>
                </a:srgbClr>
              </a:solidFill>
            </c:spPr>
          </c:marker>
          <c:dLbls>
            <c:txPr>
              <a:bodyPr/>
              <a:lstStyle/>
              <a:p>
                <a:pPr>
                  <a:defRPr b="1">
                    <a:latin typeface="Times New Roman" pitchFamily="18" charset="0"/>
                    <a:cs typeface="Times New Roman" pitchFamily="18" charset="0"/>
                  </a:defRPr>
                </a:pPr>
                <a:endParaRPr lang="ru-RU"/>
              </a:p>
            </c:txPr>
            <c:dLblPos val="t"/>
            <c:showVal val="1"/>
          </c:dLbls>
          <c:cat>
            <c:strRef>
              <c:f>Лист1!$B$1:$D$1</c:f>
              <c:strCache>
                <c:ptCount val="3"/>
                <c:pt idx="0">
                  <c:v>2011</c:v>
                </c:pt>
                <c:pt idx="1">
                  <c:v>2012</c:v>
                </c:pt>
                <c:pt idx="2">
                  <c:v>2013 прогноз</c:v>
                </c:pt>
              </c:strCache>
            </c:strRef>
          </c:cat>
          <c:val>
            <c:numRef>
              <c:f>Лист1!$B$5:$D$5</c:f>
              <c:numCache>
                <c:formatCode>0.0</c:formatCode>
                <c:ptCount val="3"/>
                <c:pt idx="0" formatCode="General">
                  <c:v>14.5</c:v>
                </c:pt>
                <c:pt idx="1">
                  <c:v>13.1</c:v>
                </c:pt>
                <c:pt idx="2">
                  <c:v>14</c:v>
                </c:pt>
              </c:numCache>
            </c:numRef>
          </c:val>
        </c:ser>
        <c:marker val="1"/>
        <c:axId val="199714304"/>
        <c:axId val="199712768"/>
      </c:lineChart>
      <c:catAx>
        <c:axId val="199688960"/>
        <c:scaling>
          <c:orientation val="minMax"/>
        </c:scaling>
        <c:axPos val="b"/>
        <c:tickLblPos val="nextTo"/>
        <c:txPr>
          <a:bodyPr/>
          <a:lstStyle/>
          <a:p>
            <a:pPr>
              <a:defRPr>
                <a:latin typeface="Times New Roman" pitchFamily="18" charset="0"/>
                <a:cs typeface="Times New Roman" pitchFamily="18" charset="0"/>
              </a:defRPr>
            </a:pPr>
            <a:endParaRPr lang="ru-RU"/>
          </a:p>
        </c:txPr>
        <c:crossAx val="199690496"/>
        <c:crosses val="autoZero"/>
        <c:auto val="1"/>
        <c:lblAlgn val="ctr"/>
        <c:lblOffset val="100"/>
      </c:catAx>
      <c:valAx>
        <c:axId val="199690496"/>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99688960"/>
        <c:crosses val="autoZero"/>
        <c:crossBetween val="between"/>
      </c:valAx>
      <c:valAx>
        <c:axId val="199712768"/>
        <c:scaling>
          <c:orientation val="minMax"/>
          <c:max val="27"/>
          <c:min val="5"/>
        </c:scaling>
        <c:axPos val="r"/>
        <c:numFmt formatCode="General" sourceLinked="1"/>
        <c:tickLblPos val="nextTo"/>
        <c:spPr>
          <a:ln>
            <a:noFill/>
          </a:ln>
        </c:spPr>
        <c:txPr>
          <a:bodyPr/>
          <a:lstStyle/>
          <a:p>
            <a:pPr>
              <a:defRPr sz="100">
                <a:solidFill>
                  <a:schemeClr val="bg1"/>
                </a:solidFill>
              </a:defRPr>
            </a:pPr>
            <a:endParaRPr lang="ru-RU"/>
          </a:p>
        </c:txPr>
        <c:crossAx val="199714304"/>
        <c:crosses val="max"/>
        <c:crossBetween val="between"/>
      </c:valAx>
      <c:catAx>
        <c:axId val="199714304"/>
        <c:scaling>
          <c:orientation val="minMax"/>
        </c:scaling>
        <c:delete val="1"/>
        <c:axPos val="b"/>
        <c:tickLblPos val="nextTo"/>
        <c:crossAx val="199712768"/>
        <c:crosses val="autoZero"/>
        <c:auto val="1"/>
        <c:lblAlgn val="ctr"/>
        <c:lblOffset val="100"/>
      </c:catAx>
    </c:plotArea>
    <c:legend>
      <c:legendPos val="r"/>
      <c:layout>
        <c:manualLayout>
          <c:xMode val="edge"/>
          <c:yMode val="edge"/>
          <c:x val="0.73237819939605409"/>
          <c:y val="0.23991262970453248"/>
          <c:w val="0.20344887502595771"/>
          <c:h val="0.49121851009934353"/>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solidFill>
          <a:sysClr val="window" lastClr="FFFFFF"/>
        </a:solidFill>
        <a:ln>
          <a:solidFill>
            <a:schemeClr val="tx1">
              <a:lumMod val="95000"/>
              <a:lumOff val="5000"/>
            </a:schemeClr>
          </a:solidFill>
        </a:ln>
      </c:spPr>
    </c:floor>
    <c:plotArea>
      <c:layout>
        <c:manualLayout>
          <c:layoutTarget val="inner"/>
          <c:xMode val="edge"/>
          <c:yMode val="edge"/>
          <c:x val="2.354639364311421E-2"/>
          <c:y val="0"/>
          <c:w val="0.9529072127137852"/>
          <c:h val="0.78882486744391478"/>
        </c:manualLayout>
      </c:layout>
      <c:bar3DChart>
        <c:barDir val="col"/>
        <c:grouping val="clustered"/>
        <c:ser>
          <c:idx val="0"/>
          <c:order val="0"/>
          <c:tx>
            <c:strRef>
              <c:f>Лист1!$A$2</c:f>
              <c:strCache>
                <c:ptCount val="1"/>
                <c:pt idx="0">
                  <c:v>Категория 1</c:v>
                </c:pt>
              </c:strCache>
            </c:strRef>
          </c:tx>
          <c:spPr>
            <a:effectLst>
              <a:outerShdw blurRad="50800" dist="38100" algn="l" rotWithShape="0">
                <a:prstClr val="black">
                  <a:alpha val="40000"/>
                </a:prstClr>
              </a:outerShdw>
            </a:effectLst>
          </c:spPr>
          <c:dLbls>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c:v>
                </c:pt>
                <c:pt idx="2">
                  <c:v>2013 прогноз</c:v>
                </c:pt>
              </c:strCache>
            </c:strRef>
          </c:cat>
          <c:val>
            <c:numRef>
              <c:f>Лист1!$B$2:$D$2</c:f>
              <c:numCache>
                <c:formatCode>General</c:formatCode>
                <c:ptCount val="3"/>
                <c:pt idx="0">
                  <c:v>16.8</c:v>
                </c:pt>
                <c:pt idx="1">
                  <c:v>21.1</c:v>
                </c:pt>
                <c:pt idx="2">
                  <c:v>22.2</c:v>
                </c:pt>
              </c:numCache>
            </c:numRef>
          </c:val>
        </c:ser>
        <c:shape val="cone"/>
        <c:axId val="199321088"/>
        <c:axId val="199322624"/>
        <c:axId val="0"/>
      </c:bar3DChart>
      <c:catAx>
        <c:axId val="199321088"/>
        <c:scaling>
          <c:orientation val="minMax"/>
        </c:scaling>
        <c:axPos val="b"/>
        <c:tickLblPos val="nextTo"/>
        <c:txPr>
          <a:bodyPr/>
          <a:lstStyle/>
          <a:p>
            <a:pPr>
              <a:defRPr>
                <a:latin typeface="Times New Roman" pitchFamily="18" charset="0"/>
                <a:cs typeface="Times New Roman" pitchFamily="18" charset="0"/>
              </a:defRPr>
            </a:pPr>
            <a:endParaRPr lang="ru-RU"/>
          </a:p>
        </c:txPr>
        <c:crossAx val="199322624"/>
        <c:crosses val="autoZero"/>
        <c:auto val="1"/>
        <c:lblAlgn val="ctr"/>
        <c:lblOffset val="100"/>
      </c:catAx>
      <c:valAx>
        <c:axId val="199322624"/>
        <c:scaling>
          <c:orientation val="minMax"/>
        </c:scaling>
        <c:delete val="1"/>
        <c:axPos val="l"/>
        <c:numFmt formatCode="General" sourceLinked="1"/>
        <c:tickLblPos val="nextTo"/>
        <c:crossAx val="199321088"/>
        <c:crosses val="autoZero"/>
        <c:crossBetween val="between"/>
      </c:valAx>
    </c:plotArea>
    <c:plotVisOnly val="1"/>
  </c:chart>
  <c:spPr>
    <a:noFill/>
    <a:ln>
      <a:noFill/>
    </a:ln>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view3D>
      <c:hPercent val="39"/>
      <c:depthPercent val="100"/>
      <c:rAngAx val="1"/>
    </c:view3D>
    <c:floor>
      <c:spPr>
        <a:solidFill>
          <a:srgbClr val="C0C0C0"/>
        </a:solidFill>
        <a:ln w="3175">
          <a:solidFill>
            <a:srgbClr val="000000"/>
          </a:solidFill>
          <a:prstDash val="solid"/>
        </a:ln>
      </c:spPr>
    </c:floor>
    <c:sideWall>
      <c:spPr>
        <a:noFill/>
        <a:ln w="25400">
          <a:noFill/>
        </a:ln>
      </c:spPr>
    </c:sideWall>
    <c:backWall>
      <c:spPr>
        <a:solidFill>
          <a:srgbClr val="FFFFFF"/>
        </a:solidFill>
        <a:ln w="25400">
          <a:noFill/>
        </a:ln>
      </c:spPr>
    </c:backWall>
    <c:plotArea>
      <c:layout>
        <c:manualLayout>
          <c:layoutTarget val="inner"/>
          <c:xMode val="edge"/>
          <c:yMode val="edge"/>
          <c:x val="1.5847860538827283E-2"/>
          <c:y val="2.9585798816568049E-2"/>
          <c:w val="0.96671949286848502"/>
          <c:h val="0.67907775415704374"/>
        </c:manualLayout>
      </c:layout>
      <c:bar3DChart>
        <c:barDir val="col"/>
        <c:grouping val="clustered"/>
        <c:ser>
          <c:idx val="0"/>
          <c:order val="0"/>
          <c:tx>
            <c:strRef>
              <c:f>Лист1!$B$1</c:f>
              <c:strCache>
                <c:ptCount val="1"/>
                <c:pt idx="0">
                  <c:v>Всього введено житла, тис.кв.м</c:v>
                </c:pt>
              </c:strCache>
            </c:strRef>
          </c:tx>
          <c:spPr>
            <a:solidFill>
              <a:schemeClr val="accent5">
                <a:lumMod val="60000"/>
                <a:lumOff val="40000"/>
              </a:schemeClr>
            </a:solidFill>
            <a:ln w="12695">
              <a:solidFill>
                <a:srgbClr val="000000"/>
              </a:solidFill>
              <a:prstDash val="solid"/>
            </a:ln>
          </c:spPr>
          <c:dLbls>
            <c:dLbl>
              <c:idx val="0"/>
              <c:layout>
                <c:manualLayout>
                  <c:x val="1.5221269441236421E-2"/>
                  <c:y val="-1.4623631294255845E-2"/>
                </c:manualLayout>
              </c:layout>
              <c:showVal val="1"/>
            </c:dLbl>
            <c:dLbl>
              <c:idx val="1"/>
              <c:layout>
                <c:manualLayout>
                  <c:x val="1.3916651035486761E-2"/>
                  <c:y val="-2.2519112809187211E-2"/>
                </c:manualLayout>
              </c:layout>
              <c:showVal val="1"/>
            </c:dLbl>
            <c:dLbl>
              <c:idx val="2"/>
              <c:layout>
                <c:manualLayout>
                  <c:x val="1.2742594860250547E-2"/>
                  <c:y val="-4.7750396904422086E-2"/>
                </c:manualLayout>
              </c:layout>
              <c:showVal val="1"/>
            </c:dLbl>
            <c:spPr>
              <a:noFill/>
              <a:ln w="2539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Лист1!$A$2:$A$4</c:f>
              <c:strCache>
                <c:ptCount val="3"/>
                <c:pt idx="0">
                  <c:v>2011</c:v>
                </c:pt>
                <c:pt idx="1">
                  <c:v>2012</c:v>
                </c:pt>
                <c:pt idx="2">
                  <c:v>2013 (прогноз)</c:v>
                </c:pt>
              </c:strCache>
            </c:strRef>
          </c:cat>
          <c:val>
            <c:numRef>
              <c:f>Лист1!$B$2:$B$4</c:f>
              <c:numCache>
                <c:formatCode>General</c:formatCode>
                <c:ptCount val="3"/>
                <c:pt idx="0">
                  <c:v>289.10000000000002</c:v>
                </c:pt>
                <c:pt idx="1">
                  <c:v>345.8</c:v>
                </c:pt>
                <c:pt idx="2">
                  <c:v>300.3</c:v>
                </c:pt>
              </c:numCache>
            </c:numRef>
          </c:val>
        </c:ser>
        <c:ser>
          <c:idx val="1"/>
          <c:order val="1"/>
          <c:tx>
            <c:strRef>
              <c:f>Лист1!$C$1</c:f>
              <c:strCache>
                <c:ptCount val="1"/>
                <c:pt idx="0">
                  <c:v>у тому числі індивідуальне житлове будівництво, тис.кв.м</c:v>
                </c:pt>
              </c:strCache>
            </c:strRef>
          </c:tx>
          <c:spPr>
            <a:solidFill>
              <a:schemeClr val="accent4">
                <a:lumMod val="75000"/>
              </a:schemeClr>
            </a:solidFill>
            <a:ln w="12695">
              <a:solidFill>
                <a:srgbClr val="000000"/>
              </a:solidFill>
              <a:prstDash val="solid"/>
            </a:ln>
          </c:spPr>
          <c:dLbls>
            <c:dLbl>
              <c:idx val="0"/>
              <c:layout>
                <c:manualLayout>
                  <c:x val="2.4806897804615292E-2"/>
                  <c:y val="-1.3476964417342903E-2"/>
                </c:manualLayout>
              </c:layout>
              <c:showVal val="1"/>
            </c:dLbl>
            <c:dLbl>
              <c:idx val="1"/>
              <c:layout>
                <c:manualLayout>
                  <c:x val="2.5086901598502982E-2"/>
                  <c:y val="-2.8561057281597024E-2"/>
                </c:manualLayout>
              </c:layout>
              <c:showVal val="1"/>
            </c:dLbl>
            <c:dLbl>
              <c:idx val="2"/>
              <c:layout>
                <c:manualLayout>
                  <c:x val="1.7573701207736141E-2"/>
                  <c:y val="-2.3334050285904608E-2"/>
                </c:manualLayout>
              </c:layout>
              <c:showVal val="1"/>
            </c:dLbl>
            <c:spPr>
              <a:noFill/>
              <a:ln w="2539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Лист1!$A$2:$A$4</c:f>
              <c:strCache>
                <c:ptCount val="3"/>
                <c:pt idx="0">
                  <c:v>2011</c:v>
                </c:pt>
                <c:pt idx="1">
                  <c:v>2012</c:v>
                </c:pt>
                <c:pt idx="2">
                  <c:v>2013 (прогноз)</c:v>
                </c:pt>
              </c:strCache>
            </c:strRef>
          </c:cat>
          <c:val>
            <c:numRef>
              <c:f>Лист1!$C$2:$C$4</c:f>
              <c:numCache>
                <c:formatCode>General</c:formatCode>
                <c:ptCount val="3"/>
                <c:pt idx="0">
                  <c:v>164.4</c:v>
                </c:pt>
                <c:pt idx="1">
                  <c:v>266.2</c:v>
                </c:pt>
                <c:pt idx="2">
                  <c:v>159.9</c:v>
                </c:pt>
              </c:numCache>
            </c:numRef>
          </c:val>
        </c:ser>
        <c:ser>
          <c:idx val="2"/>
          <c:order val="2"/>
          <c:tx>
            <c:strRef>
              <c:f>Лист1!$D$1</c:f>
              <c:strCache>
                <c:ptCount val="1"/>
                <c:pt idx="0">
                  <c:v>у % до попереднього року</c:v>
                </c:pt>
              </c:strCache>
            </c:strRef>
          </c:tx>
          <c:spPr>
            <a:solidFill>
              <a:srgbClr val="FFFFFF"/>
            </a:solidFill>
            <a:ln w="12695">
              <a:solidFill>
                <a:srgbClr val="000000"/>
              </a:solidFill>
              <a:prstDash val="solid"/>
            </a:ln>
          </c:spPr>
          <c:dLbls>
            <c:spPr>
              <a:noFill/>
              <a:ln w="25390">
                <a:noFill/>
              </a:ln>
            </c:spPr>
            <c:txPr>
              <a:bodyPr/>
              <a:lstStyle/>
              <a:p>
                <a:pPr>
                  <a:defRPr sz="1125" b="0" i="0" u="none" strike="noStrike" baseline="0">
                    <a:solidFill>
                      <a:srgbClr val="000000"/>
                    </a:solidFill>
                    <a:latin typeface="Arial Cyr"/>
                    <a:ea typeface="Arial Cyr"/>
                    <a:cs typeface="Arial Cyr"/>
                  </a:defRPr>
                </a:pPr>
                <a:endParaRPr lang="ru-RU"/>
              </a:p>
            </c:txPr>
            <c:showVal val="1"/>
          </c:dLbls>
          <c:cat>
            <c:strRef>
              <c:f>Лист1!$A$2:$A$4</c:f>
              <c:strCache>
                <c:ptCount val="3"/>
                <c:pt idx="0">
                  <c:v>2011</c:v>
                </c:pt>
                <c:pt idx="1">
                  <c:v>2012</c:v>
                </c:pt>
                <c:pt idx="2">
                  <c:v>2013 (прогноз)</c:v>
                </c:pt>
              </c:strCache>
            </c:strRef>
          </c:cat>
          <c:val>
            <c:numRef>
              <c:f>Лист1!$D$2:$D$4</c:f>
              <c:numCache>
                <c:formatCode>General</c:formatCode>
                <c:ptCount val="3"/>
              </c:numCache>
            </c:numRef>
          </c:val>
        </c:ser>
        <c:dLbls>
          <c:showVal val="1"/>
        </c:dLbls>
        <c:shape val="cylinder"/>
        <c:axId val="200197248"/>
        <c:axId val="200198784"/>
        <c:axId val="0"/>
      </c:bar3DChart>
      <c:catAx>
        <c:axId val="200197248"/>
        <c:scaling>
          <c:orientation val="minMax"/>
        </c:scaling>
        <c:axPos val="b"/>
        <c:numFmt formatCode="General" sourceLinked="1"/>
        <c:tickLblPos val="low"/>
        <c:spPr>
          <a:ln w="3174">
            <a:solidFill>
              <a:srgbClr val="000000"/>
            </a:solidFill>
            <a:prstDash val="solid"/>
          </a:ln>
        </c:spPr>
        <c:txPr>
          <a:bodyPr rot="0" vert="horz"/>
          <a:lstStyle/>
          <a:p>
            <a:pPr>
              <a:defRPr sz="1125" b="0" i="0" u="none" strike="noStrike" baseline="0">
                <a:solidFill>
                  <a:srgbClr val="000000"/>
                </a:solidFill>
                <a:latin typeface="Times New Roman" pitchFamily="18" charset="0"/>
                <a:ea typeface="Arial Cyr"/>
                <a:cs typeface="Times New Roman" pitchFamily="18" charset="0"/>
              </a:defRPr>
            </a:pPr>
            <a:endParaRPr lang="ru-RU"/>
          </a:p>
        </c:txPr>
        <c:crossAx val="200198784"/>
        <c:crosses val="autoZero"/>
        <c:auto val="1"/>
        <c:lblAlgn val="ctr"/>
        <c:lblOffset val="100"/>
        <c:tickLblSkip val="1"/>
        <c:tickMarkSkip val="1"/>
      </c:catAx>
      <c:valAx>
        <c:axId val="200198784"/>
        <c:scaling>
          <c:orientation val="minMax"/>
        </c:scaling>
        <c:delete val="1"/>
        <c:axPos val="l"/>
        <c:numFmt formatCode="General" sourceLinked="1"/>
        <c:tickLblPos val="nextTo"/>
        <c:crossAx val="200197248"/>
        <c:crosses val="autoZero"/>
        <c:crossBetween val="between"/>
      </c:valAx>
      <c:spPr>
        <a:noFill/>
        <a:ln w="25390">
          <a:noFill/>
        </a:ln>
      </c:spPr>
    </c:plotArea>
    <c:legend>
      <c:legendPos val="b"/>
      <c:layout>
        <c:manualLayout>
          <c:xMode val="edge"/>
          <c:yMode val="edge"/>
          <c:x val="0.16957210776545173"/>
          <c:y val="0.83136094674556216"/>
          <c:w val="0.65768621236134961"/>
          <c:h val="0.15680473372781437"/>
        </c:manualLayout>
      </c:layout>
      <c:spPr>
        <a:solidFill>
          <a:srgbClr val="FFFFFF"/>
        </a:solidFill>
        <a:ln w="25390">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125" b="0" i="0" u="none" strike="noStrike" baseline="0">
          <a:solidFill>
            <a:srgbClr val="000000"/>
          </a:solidFill>
          <a:latin typeface="Arial Cyr"/>
          <a:ea typeface="Arial Cyr"/>
          <a:cs typeface="Arial Cyr"/>
        </a:defRPr>
      </a:pPr>
      <a:endParaRPr lang="ru-RU"/>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47606809565569E-2"/>
          <c:y val="4.3650793650793704E-2"/>
          <c:w val="0.64764205261746999"/>
          <c:h val="0.72471665873980562"/>
        </c:manualLayout>
      </c:layout>
      <c:barChart>
        <c:barDir val="col"/>
        <c:grouping val="clustered"/>
        <c:ser>
          <c:idx val="0"/>
          <c:order val="0"/>
          <c:tx>
            <c:strRef>
              <c:f>Лист1!$A$2</c:f>
              <c:strCache>
                <c:ptCount val="1"/>
                <c:pt idx="0">
                  <c:v>Заборгованість, млн.грн.</c:v>
                </c:pt>
              </c:strCache>
            </c:strRef>
          </c:tx>
          <c:spPr>
            <a:ln>
              <a:solidFill>
                <a:sysClr val="windowText" lastClr="000000">
                  <a:lumMod val="75000"/>
                  <a:lumOff val="25000"/>
                </a:sysClr>
              </a:solidFill>
            </a:ln>
            <a:effectLst>
              <a:outerShdw blurRad="50800" dist="38100" algn="l" rotWithShape="0">
                <a:prstClr val="black">
                  <a:alpha val="40000"/>
                </a:prstClr>
              </a:outerShdw>
            </a:effectLst>
            <a:scene3d>
              <a:camera prst="orthographicFront"/>
              <a:lightRig rig="threePt" dir="t"/>
            </a:scene3d>
            <a:sp3d>
              <a:bevelT w="165100" prst="coolSlant"/>
            </a:sp3d>
          </c:spPr>
          <c:dLbls>
            <c:spPr>
              <a:noFill/>
              <a:ln w="25468">
                <a:noFill/>
              </a:ln>
            </c:spPr>
            <c:txPr>
              <a:bodyPr/>
              <a:lstStyle/>
              <a:p>
                <a:pPr>
                  <a:defRPr lang="ru-RU"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c:v>
                </c:pt>
              </c:strCache>
            </c:strRef>
          </c:cat>
          <c:val>
            <c:numRef>
              <c:f>Лист1!$B$2:$F$2</c:f>
              <c:numCache>
                <c:formatCode>General</c:formatCode>
                <c:ptCount val="5"/>
                <c:pt idx="0">
                  <c:v>1580</c:v>
                </c:pt>
                <c:pt idx="1">
                  <c:v>1810.1</c:v>
                </c:pt>
                <c:pt idx="2">
                  <c:v>1849.3</c:v>
                </c:pt>
                <c:pt idx="3">
                  <c:v>1980.9</c:v>
                </c:pt>
                <c:pt idx="4">
                  <c:v>2111.1</c:v>
                </c:pt>
              </c:numCache>
            </c:numRef>
          </c:val>
        </c:ser>
        <c:axId val="200434432"/>
        <c:axId val="200435968"/>
      </c:barChart>
      <c:lineChart>
        <c:grouping val="stacked"/>
        <c:ser>
          <c:idx val="1"/>
          <c:order val="1"/>
          <c:tx>
            <c:strRef>
              <c:f>Лист1!$A$3</c:f>
              <c:strCache>
                <c:ptCount val="1"/>
                <c:pt idx="0">
                  <c:v>Рівень сплати, %</c:v>
                </c:pt>
              </c:strCache>
            </c:strRef>
          </c:tx>
          <c:spPr>
            <a:ln w="31787">
              <a:solidFill>
                <a:schemeClr val="accent2">
                  <a:lumMod val="50000"/>
                </a:schemeClr>
              </a:solidFill>
            </a:ln>
          </c:spPr>
          <c:marker>
            <c:symbol val="diamond"/>
            <c:size val="8"/>
            <c:spPr>
              <a:solidFill>
                <a:srgbClr val="FF99CC"/>
              </a:solidFill>
              <a:ln>
                <a:solidFill>
                  <a:srgbClr val="C0504D">
                    <a:lumMod val="50000"/>
                  </a:srgbClr>
                </a:solidFill>
              </a:ln>
            </c:spPr>
          </c:marker>
          <c:dLbls>
            <c:spPr>
              <a:noFill/>
              <a:ln w="25468">
                <a:noFill/>
              </a:ln>
            </c:spPr>
            <c:txPr>
              <a:bodyPr/>
              <a:lstStyle/>
              <a:p>
                <a:pPr>
                  <a:defRPr lang="ru-RU"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c:v>
                </c:pt>
              </c:strCache>
            </c:strRef>
          </c:cat>
          <c:val>
            <c:numRef>
              <c:f>Лист1!$B$3:$F$3</c:f>
              <c:numCache>
                <c:formatCode>General</c:formatCode>
                <c:ptCount val="5"/>
                <c:pt idx="0">
                  <c:v>94.1</c:v>
                </c:pt>
                <c:pt idx="1">
                  <c:v>91.5</c:v>
                </c:pt>
                <c:pt idx="2">
                  <c:v>96.4</c:v>
                </c:pt>
                <c:pt idx="3">
                  <c:v>95.9</c:v>
                </c:pt>
                <c:pt idx="4">
                  <c:v>96.2</c:v>
                </c:pt>
              </c:numCache>
            </c:numRef>
          </c:val>
        </c:ser>
        <c:marker val="1"/>
        <c:axId val="200445952"/>
        <c:axId val="200447488"/>
      </c:lineChart>
      <c:catAx>
        <c:axId val="200434432"/>
        <c:scaling>
          <c:orientation val="minMax"/>
        </c:scaling>
        <c:axPos val="b"/>
        <c:numFmt formatCode="General" sourceLinked="1"/>
        <c:tickLblPos val="nextTo"/>
        <c:spPr>
          <a:ln>
            <a:solidFill>
              <a:schemeClr val="tx1"/>
            </a:solidFill>
          </a:ln>
        </c:spPr>
        <c:txPr>
          <a:bodyPr/>
          <a:lstStyle/>
          <a:p>
            <a:pPr>
              <a:defRPr lang="ru-RU">
                <a:latin typeface="Times New Roman" pitchFamily="18" charset="0"/>
                <a:cs typeface="Times New Roman" pitchFamily="18" charset="0"/>
              </a:defRPr>
            </a:pPr>
            <a:endParaRPr lang="ru-RU"/>
          </a:p>
        </c:txPr>
        <c:crossAx val="200435968"/>
        <c:crosses val="autoZero"/>
        <c:auto val="1"/>
        <c:lblAlgn val="ctr"/>
        <c:lblOffset val="100"/>
      </c:catAx>
      <c:valAx>
        <c:axId val="200435968"/>
        <c:scaling>
          <c:orientation val="minMax"/>
        </c:scaling>
        <c:axPos val="l"/>
        <c:numFmt formatCode="General" sourceLinked="1"/>
        <c:tickLblPos val="nextTo"/>
        <c:spPr>
          <a:noFill/>
          <a:ln>
            <a:noFill/>
          </a:ln>
        </c:spPr>
        <c:txPr>
          <a:bodyPr/>
          <a:lstStyle/>
          <a:p>
            <a:pPr>
              <a:defRPr lang="ru-RU" sz="100">
                <a:solidFill>
                  <a:schemeClr val="bg1"/>
                </a:solidFill>
              </a:defRPr>
            </a:pPr>
            <a:endParaRPr lang="ru-RU"/>
          </a:p>
        </c:txPr>
        <c:crossAx val="200434432"/>
        <c:crosses val="autoZero"/>
        <c:crossBetween val="between"/>
      </c:valAx>
      <c:catAx>
        <c:axId val="200445952"/>
        <c:scaling>
          <c:orientation val="minMax"/>
        </c:scaling>
        <c:delete val="1"/>
        <c:axPos val="b"/>
        <c:tickLblPos val="nextTo"/>
        <c:crossAx val="200447488"/>
        <c:crosses val="autoZero"/>
        <c:auto val="1"/>
        <c:lblAlgn val="ctr"/>
        <c:lblOffset val="100"/>
      </c:catAx>
      <c:valAx>
        <c:axId val="200447488"/>
        <c:scaling>
          <c:orientation val="minMax"/>
          <c:max val="180"/>
          <c:min val="50"/>
        </c:scaling>
        <c:axPos val="r"/>
        <c:numFmt formatCode="General" sourceLinked="1"/>
        <c:tickLblPos val="nextTo"/>
        <c:spPr>
          <a:ln>
            <a:noFill/>
          </a:ln>
        </c:spPr>
        <c:txPr>
          <a:bodyPr/>
          <a:lstStyle/>
          <a:p>
            <a:pPr>
              <a:defRPr lang="ru-RU" sz="100">
                <a:solidFill>
                  <a:schemeClr val="bg1"/>
                </a:solidFill>
              </a:defRPr>
            </a:pPr>
            <a:endParaRPr lang="ru-RU"/>
          </a:p>
        </c:txPr>
        <c:crossAx val="200445952"/>
        <c:crosses val="max"/>
        <c:crossBetween val="between"/>
      </c:valAx>
      <c:spPr>
        <a:noFill/>
        <a:ln w="25468">
          <a:noFill/>
        </a:ln>
      </c:spPr>
    </c:plotArea>
    <c:legend>
      <c:legendPos val="r"/>
      <c:layout>
        <c:manualLayout>
          <c:xMode val="edge"/>
          <c:yMode val="edge"/>
          <c:x val="0.69924533449066895"/>
          <c:y val="0.20032051282051117"/>
          <c:w val="0.30003860541055088"/>
          <c:h val="0.28685897435898916"/>
        </c:manualLayout>
      </c:layout>
      <c:txPr>
        <a:bodyPr/>
        <a:lstStyle/>
        <a:p>
          <a:pPr>
            <a:defRPr lang="ru-RU">
              <a:latin typeface="Times New Roman" pitchFamily="18" charset="0"/>
              <a:cs typeface="Times New Roman" pitchFamily="18" charset="0"/>
            </a:defRPr>
          </a:pPr>
          <a:endParaRPr lang="ru-RU"/>
        </a:p>
      </c:txPr>
    </c:legend>
    <c:plotVisOnly val="1"/>
    <c:dispBlanksAs val="zero"/>
  </c:chart>
  <c:spPr>
    <a:noFill/>
    <a:ln>
      <a:noFill/>
    </a:ln>
  </c:sp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2"/>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1.4285714285714285E-2"/>
          <c:y val="2.6567153039519342E-2"/>
          <c:w val="0.87780976872841165"/>
          <c:h val="0.80566481322536165"/>
        </c:manualLayout>
      </c:layout>
      <c:bar3DChart>
        <c:barDir val="col"/>
        <c:grouping val="clustered"/>
        <c:ser>
          <c:idx val="0"/>
          <c:order val="0"/>
          <c:tx>
            <c:strRef>
              <c:f>Лист1!$A$3</c:f>
              <c:strCache>
                <c:ptCount val="1"/>
                <c:pt idx="0">
                  <c:v>експорт</c:v>
                </c:pt>
              </c:strCache>
            </c:strRef>
          </c:tx>
          <c:spPr>
            <a:solidFill>
              <a:srgbClr val="95B850"/>
            </a:solidFill>
            <a:ln w="12660">
              <a:solidFill>
                <a:srgbClr val="000000"/>
              </a:solidFill>
              <a:prstDash val="solid"/>
            </a:ln>
          </c:spPr>
          <c:dLbls>
            <c:dLbl>
              <c:idx val="0"/>
              <c:layout>
                <c:manualLayout>
                  <c:x val="8.0402173703050094E-3"/>
                  <c:y val="-3.0323960656376492E-2"/>
                </c:manualLayout>
              </c:layout>
              <c:showVal val="1"/>
            </c:dLbl>
            <c:dLbl>
              <c:idx val="1"/>
              <c:layout>
                <c:manualLayout>
                  <c:x val="1.1645058563263724E-2"/>
                  <c:y val="-2.9560095455994032E-2"/>
                </c:manualLayout>
              </c:layout>
              <c:showVal val="1"/>
            </c:dLbl>
            <c:dLbl>
              <c:idx val="2"/>
              <c:layout>
                <c:manualLayout>
                  <c:x val="1.6837366937965857E-2"/>
                  <c:y val="-3.4222652279939508E-2"/>
                </c:manualLayout>
              </c:layout>
              <c:showVal val="1"/>
            </c:dLbl>
            <c:spPr>
              <a:noFill/>
              <a:ln w="2532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Лист1!$B$2:$D$2</c:f>
              <c:strCache>
                <c:ptCount val="3"/>
                <c:pt idx="0">
                  <c:v>2011</c:v>
                </c:pt>
                <c:pt idx="1">
                  <c:v>2012</c:v>
                </c:pt>
                <c:pt idx="2">
                  <c:v>2013 прогноз</c:v>
                </c:pt>
              </c:strCache>
            </c:strRef>
          </c:cat>
          <c:val>
            <c:numRef>
              <c:f>Лист1!$B$3:$D$3</c:f>
              <c:numCache>
                <c:formatCode>General</c:formatCode>
                <c:ptCount val="3"/>
                <c:pt idx="0">
                  <c:v>17.2</c:v>
                </c:pt>
                <c:pt idx="1">
                  <c:v>14.1</c:v>
                </c:pt>
                <c:pt idx="2" formatCode="0.0">
                  <c:v>15</c:v>
                </c:pt>
              </c:numCache>
            </c:numRef>
          </c:val>
        </c:ser>
        <c:ser>
          <c:idx val="1"/>
          <c:order val="1"/>
          <c:tx>
            <c:strRef>
              <c:f>Лист1!$A$4</c:f>
              <c:strCache>
                <c:ptCount val="1"/>
                <c:pt idx="0">
                  <c:v>імпорт</c:v>
                </c:pt>
              </c:strCache>
            </c:strRef>
          </c:tx>
          <c:spPr>
            <a:solidFill>
              <a:schemeClr val="accent5">
                <a:lumMod val="50000"/>
              </a:schemeClr>
            </a:solidFill>
            <a:ln w="12660">
              <a:solidFill>
                <a:srgbClr val="000000"/>
              </a:solidFill>
              <a:prstDash val="solid"/>
            </a:ln>
          </c:spPr>
          <c:dLbls>
            <c:dLbl>
              <c:idx val="0"/>
              <c:layout>
                <c:manualLayout>
                  <c:x val="1.0535654652001349E-2"/>
                  <c:y val="-4.2409372081276632E-2"/>
                </c:manualLayout>
              </c:layout>
              <c:showVal val="1"/>
            </c:dLbl>
            <c:dLbl>
              <c:idx val="1"/>
              <c:layout>
                <c:manualLayout>
                  <c:x val="2.3664470963211597E-2"/>
                  <c:y val="-3.5797967013685442E-2"/>
                </c:manualLayout>
              </c:layout>
              <c:showVal val="1"/>
            </c:dLbl>
            <c:dLbl>
              <c:idx val="2"/>
              <c:layout>
                <c:manualLayout>
                  <c:x val="2.885677933791406E-2"/>
                  <c:y val="-4.1418559746983052E-2"/>
                </c:manualLayout>
              </c:layout>
              <c:showVal val="1"/>
            </c:dLbl>
            <c:spPr>
              <a:noFill/>
              <a:ln w="25320">
                <a:noFill/>
              </a:ln>
            </c:spPr>
            <c:txPr>
              <a:bodyPr/>
              <a:lstStyle/>
              <a:p>
                <a:pPr>
                  <a:defRPr sz="1000" b="1" i="1" u="none" strike="noStrike" baseline="0">
                    <a:solidFill>
                      <a:srgbClr val="000000"/>
                    </a:solidFill>
                    <a:latin typeface="Times New Roman"/>
                    <a:ea typeface="Times New Roman"/>
                    <a:cs typeface="Times New Roman"/>
                  </a:defRPr>
                </a:pPr>
                <a:endParaRPr lang="ru-RU"/>
              </a:p>
            </c:txPr>
            <c:showVal val="1"/>
          </c:dLbls>
          <c:cat>
            <c:strRef>
              <c:f>Лист1!$B$2:$D$2</c:f>
              <c:strCache>
                <c:ptCount val="3"/>
                <c:pt idx="0">
                  <c:v>2011</c:v>
                </c:pt>
                <c:pt idx="1">
                  <c:v>2012</c:v>
                </c:pt>
                <c:pt idx="2">
                  <c:v>2013 прогноз</c:v>
                </c:pt>
              </c:strCache>
            </c:strRef>
          </c:cat>
          <c:val>
            <c:numRef>
              <c:f>Лист1!$B$4:$D$4</c:f>
              <c:numCache>
                <c:formatCode>General</c:formatCode>
                <c:ptCount val="3"/>
                <c:pt idx="0">
                  <c:v>4.5999999999999996</c:v>
                </c:pt>
                <c:pt idx="1">
                  <c:v>5.3</c:v>
                </c:pt>
                <c:pt idx="2">
                  <c:v>5.4</c:v>
                </c:pt>
              </c:numCache>
            </c:numRef>
          </c:val>
        </c:ser>
        <c:dLbls>
          <c:showVal val="1"/>
        </c:dLbls>
        <c:gapWidth val="179"/>
        <c:shape val="box"/>
        <c:axId val="200247936"/>
        <c:axId val="200262016"/>
        <c:axId val="0"/>
      </c:bar3DChart>
      <c:catAx>
        <c:axId val="200247936"/>
        <c:scaling>
          <c:orientation val="minMax"/>
        </c:scaling>
        <c:axPos val="b"/>
        <c:numFmt formatCode="General" sourceLinked="1"/>
        <c:tickLblPos val="low"/>
        <c:spPr>
          <a:ln w="316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0262016"/>
        <c:crosses val="autoZero"/>
        <c:auto val="1"/>
        <c:lblAlgn val="ctr"/>
        <c:lblOffset val="100"/>
        <c:tickLblSkip val="1"/>
        <c:tickMarkSkip val="1"/>
      </c:catAx>
      <c:valAx>
        <c:axId val="200262016"/>
        <c:scaling>
          <c:orientation val="minMax"/>
        </c:scaling>
        <c:delete val="1"/>
        <c:axPos val="l"/>
        <c:numFmt formatCode="General" sourceLinked="1"/>
        <c:tickLblPos val="nextTo"/>
        <c:crossAx val="200247936"/>
        <c:crosses val="autoZero"/>
        <c:crossBetween val="between"/>
      </c:valAx>
      <c:spPr>
        <a:noFill/>
        <a:ln w="25320">
          <a:noFill/>
        </a:ln>
      </c:spPr>
    </c:plotArea>
    <c:legend>
      <c:legendPos val="b"/>
      <c:layout>
        <c:manualLayout>
          <c:xMode val="edge"/>
          <c:yMode val="edge"/>
          <c:x val="0.82279308146420005"/>
          <c:y val="0.13390304884875173"/>
          <c:w val="0.12409498497230714"/>
          <c:h val="0.29593063900187838"/>
        </c:manualLayout>
      </c:layout>
      <c:spPr>
        <a:solidFill>
          <a:srgbClr val="FFFFFF"/>
        </a:solidFill>
        <a:ln w="2532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797" b="0" i="0" u="none" strike="noStrike" baseline="0">
          <a:solidFill>
            <a:srgbClr val="000000"/>
          </a:solidFill>
          <a:latin typeface="Times New Roman"/>
          <a:ea typeface="Times New Roman"/>
          <a:cs typeface="Times New Roman"/>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6160420775805391E-2"/>
          <c:y val="6.198929275852353E-2"/>
          <c:w val="0.91190006574619997"/>
          <c:h val="0.43078024337868598"/>
        </c:manualLayout>
      </c:layout>
      <c:lineChart>
        <c:grouping val="standard"/>
        <c:ser>
          <c:idx val="0"/>
          <c:order val="0"/>
          <c:tx>
            <c:strRef>
              <c:f>Лист1!$A$2</c:f>
              <c:strCache>
                <c:ptCount val="1"/>
                <c:pt idx="0">
                  <c:v>Материнська смертність (на 100 тис.дітей, народжених живими)</c:v>
                </c:pt>
              </c:strCache>
            </c:strRef>
          </c:tx>
          <c:spPr>
            <a:ln w="38100"/>
          </c:spPr>
          <c:marker>
            <c:symbol val="diamond"/>
            <c:size val="9"/>
          </c:marker>
          <c:dLbls>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Лист1!$B$2:$F$2</c:f>
              <c:numCache>
                <c:formatCode>General</c:formatCode>
                <c:ptCount val="5"/>
                <c:pt idx="0">
                  <c:v>24.8</c:v>
                </c:pt>
                <c:pt idx="1">
                  <c:v>22.9</c:v>
                </c:pt>
                <c:pt idx="2">
                  <c:v>21.7</c:v>
                </c:pt>
                <c:pt idx="3">
                  <c:v>19.100000000000001</c:v>
                </c:pt>
                <c:pt idx="4">
                  <c:v>18.8</c:v>
                </c:pt>
              </c:numCache>
            </c:numRef>
          </c:val>
        </c:ser>
        <c:ser>
          <c:idx val="1"/>
          <c:order val="1"/>
          <c:tx>
            <c:strRef>
              <c:f>Лист1!$A$3</c:f>
              <c:strCache>
                <c:ptCount val="1"/>
                <c:pt idx="0">
                  <c:v>Малюкова смертність (на 1 тис.дітей, народжених живими)</c:v>
                </c:pt>
              </c:strCache>
            </c:strRef>
          </c:tx>
          <c:spPr>
            <a:ln w="38100"/>
          </c:spPr>
          <c:marker>
            <c:symbol val="circle"/>
            <c:size val="22"/>
            <c:spPr>
              <a:solidFill>
                <a:sysClr val="window" lastClr="FFFFFF"/>
              </a:solidFill>
            </c:spPr>
          </c:marker>
          <c:dLbls>
            <c:dLbl>
              <c:idx val="0"/>
              <c:layout>
                <c:manualLayout>
                  <c:x val="-8.5470085470085472E-2"/>
                  <c:y val="5.5818022747156923E-3"/>
                </c:manualLayout>
              </c:layout>
              <c:dLblPos val="r"/>
              <c:showVal val="1"/>
            </c:dLbl>
            <c:dLbl>
              <c:idx val="1"/>
              <c:layout>
                <c:manualLayout>
                  <c:x val="-8.8757396449705248E-2"/>
                  <c:y val="1.7668523141924961E-4"/>
                </c:manualLayout>
              </c:layout>
              <c:dLblPos val="r"/>
              <c:showVal val="1"/>
            </c:dLbl>
            <c:dLbl>
              <c:idx val="2"/>
              <c:layout>
                <c:manualLayout>
                  <c:x val="-8.2183033333851019E-2"/>
                  <c:y val="1.8394042208139181E-4"/>
                </c:manualLayout>
              </c:layout>
              <c:dLblPos val="r"/>
              <c:showVal val="1"/>
            </c:dLbl>
            <c:dLbl>
              <c:idx val="3"/>
              <c:layout>
                <c:manualLayout>
                  <c:x val="-8.5470085470085472E-2"/>
                  <c:y val="5.6039946226233914E-3"/>
                </c:manualLayout>
              </c:layout>
              <c:dLblPos val="r"/>
              <c:showVal val="1"/>
            </c:dLbl>
            <c:dLbl>
              <c:idx val="4"/>
              <c:layout>
                <c:manualLayout>
                  <c:x val="-8.8757396449705248E-2"/>
                  <c:y val="5.5967394319614934E-3"/>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12.7</c:v>
                </c:pt>
                <c:pt idx="1">
                  <c:v>11.9</c:v>
                </c:pt>
                <c:pt idx="2">
                  <c:v>11.8</c:v>
                </c:pt>
                <c:pt idx="3">
                  <c:v>11.4</c:v>
                </c:pt>
                <c:pt idx="4">
                  <c:v>12.2</c:v>
                </c:pt>
              </c:numCache>
            </c:numRef>
          </c:val>
        </c:ser>
        <c:dLbls>
          <c:showVal val="1"/>
        </c:dLbls>
        <c:marker val="1"/>
        <c:axId val="169270272"/>
        <c:axId val="169276160"/>
      </c:lineChart>
      <c:catAx>
        <c:axId val="169270272"/>
        <c:scaling>
          <c:orientation val="minMax"/>
        </c:scaling>
        <c:axPos val="b"/>
        <c:numFmt formatCode="General" sourceLinked="1"/>
        <c:tickLblPos val="nextTo"/>
        <c:txPr>
          <a:bodyPr/>
          <a:lstStyle/>
          <a:p>
            <a:pPr>
              <a:defRPr sz="1000">
                <a:latin typeface="Times New Roman" pitchFamily="18" charset="0"/>
                <a:cs typeface="Times New Roman" pitchFamily="18" charset="0"/>
              </a:defRPr>
            </a:pPr>
            <a:endParaRPr lang="ru-RU"/>
          </a:p>
        </c:txPr>
        <c:crossAx val="169276160"/>
        <c:crosses val="autoZero"/>
        <c:auto val="1"/>
        <c:lblAlgn val="ctr"/>
        <c:lblOffset val="100"/>
      </c:catAx>
      <c:valAx>
        <c:axId val="169276160"/>
        <c:scaling>
          <c:orientation val="minMax"/>
          <c:min val="5"/>
        </c:scaling>
        <c:delete val="1"/>
        <c:axPos val="l"/>
        <c:numFmt formatCode="General" sourceLinked="1"/>
        <c:tickLblPos val="nextTo"/>
        <c:crossAx val="169270272"/>
        <c:crosses val="autoZero"/>
        <c:crossBetween val="between"/>
      </c:valAx>
    </c:plotArea>
    <c:legend>
      <c:legendPos val="r"/>
      <c:layout>
        <c:manualLayout>
          <c:xMode val="edge"/>
          <c:yMode val="edge"/>
          <c:x val="0"/>
          <c:y val="0.65011747863069813"/>
          <c:w val="0.98227794943353597"/>
          <c:h val="0.32183305963759878"/>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4"/>
  <c:clrMapOvr bg1="lt1" tx1="dk1" bg2="lt2" tx2="dk2" accent1="accent1" accent2="accent2" accent3="accent3" accent4="accent4" accent5="accent5" accent6="accent6" hlink="hlink" folHlink="folHlink"/>
  <c:chart>
    <c:plotArea>
      <c:layout>
        <c:manualLayout>
          <c:layoutTarget val="inner"/>
          <c:xMode val="edge"/>
          <c:yMode val="edge"/>
          <c:x val="3.6036036036036036E-2"/>
          <c:y val="7.4766355140187132E-2"/>
          <c:w val="0.92792792792792556"/>
          <c:h val="0.53999847786313249"/>
        </c:manualLayout>
      </c:layout>
      <c:lineChart>
        <c:grouping val="standard"/>
        <c:ser>
          <c:idx val="0"/>
          <c:order val="0"/>
          <c:tx>
            <c:strRef>
              <c:f>Лист1!$A$2</c:f>
              <c:strCache>
                <c:ptCount val="1"/>
                <c:pt idx="0">
                  <c:v>Туберкульоз (без пенітенціарної системи)</c:v>
                </c:pt>
              </c:strCache>
            </c:strRef>
          </c:tx>
          <c:spPr>
            <a:ln w="38100">
              <a:solidFill>
                <a:srgbClr val="C00000"/>
              </a:solidFill>
            </a:ln>
          </c:spPr>
          <c:marker>
            <c:symbol val="diamond"/>
            <c:size val="9"/>
            <c:spPr>
              <a:solidFill>
                <a:srgbClr val="FF0000"/>
              </a:solidFill>
              <a:ln>
                <a:solidFill>
                  <a:srgbClr val="C00000"/>
                </a:solidFill>
              </a:ln>
            </c:spPr>
          </c:marker>
          <c:dLbls>
            <c:dLbl>
              <c:idx val="1"/>
              <c:layout>
                <c:manualLayout>
                  <c:x val="-8.1980652565994447E-2"/>
                  <c:y val="6.6397203015274311E-2"/>
                </c:manualLayout>
              </c:layout>
              <c:dLblPos val="r"/>
              <c:showVal val="1"/>
            </c:dLbl>
            <c:dLbl>
              <c:idx val="2"/>
              <c:layout>
                <c:manualLayout>
                  <c:x val="-7.5422200360714869E-2"/>
                  <c:y val="7.1474633835279439E-2"/>
                </c:manualLayout>
              </c:layout>
              <c:dLblPos val="r"/>
              <c:showVal val="1"/>
            </c:dLbl>
            <c:dLbl>
              <c:idx val="3"/>
              <c:layout>
                <c:manualLayout>
                  <c:x val="-7.2142974258075504E-2"/>
                  <c:y val="6.6955320607772456E-2"/>
                </c:manualLayout>
              </c:layout>
              <c:dLblPos val="r"/>
              <c:showVal val="1"/>
            </c:dLbl>
            <c:dLbl>
              <c:idx val="4"/>
              <c:layout>
                <c:manualLayout>
                  <c:x val="1.6362255703147983E-2"/>
                  <c:y val="0.19645465857417849"/>
                </c:manualLayout>
              </c:layout>
              <c:dLblPos val="t"/>
              <c:showVal val="1"/>
            </c:dLbl>
            <c:numFmt formatCode="#,##0.0" sourceLinked="0"/>
            <c:txPr>
              <a:bodyPr/>
              <a:lstStyle/>
              <a:p>
                <a:pPr>
                  <a:defRPr b="1" i="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Лист1!$B$2:$F$2</c:f>
              <c:numCache>
                <c:formatCode>General</c:formatCode>
                <c:ptCount val="5"/>
                <c:pt idx="0">
                  <c:v>82</c:v>
                </c:pt>
                <c:pt idx="1">
                  <c:v>75.599999999999994</c:v>
                </c:pt>
                <c:pt idx="2">
                  <c:v>71.3</c:v>
                </c:pt>
                <c:pt idx="3">
                  <c:v>67.400000000000006</c:v>
                </c:pt>
                <c:pt idx="4">
                  <c:v>66</c:v>
                </c:pt>
              </c:numCache>
            </c:numRef>
          </c:val>
        </c:ser>
        <c:ser>
          <c:idx val="1"/>
          <c:order val="1"/>
          <c:tx>
            <c:strRef>
              <c:f>Лист1!$A$3</c:f>
              <c:strCache>
                <c:ptCount val="1"/>
                <c:pt idx="0">
                  <c:v>ВІЛ</c:v>
                </c:pt>
              </c:strCache>
            </c:strRef>
          </c:tx>
          <c:spPr>
            <a:ln w="38100">
              <a:solidFill>
                <a:srgbClr val="8064A2">
                  <a:lumMod val="60000"/>
                  <a:lumOff val="40000"/>
                </a:srgbClr>
              </a:solidFill>
            </a:ln>
          </c:spPr>
          <c:marker>
            <c:symbol val="circle"/>
            <c:size val="9"/>
            <c:spPr>
              <a:solidFill>
                <a:schemeClr val="accent4">
                  <a:lumMod val="75000"/>
                </a:schemeClr>
              </a:solidFill>
              <a:ln>
                <a:solidFill>
                  <a:schemeClr val="accent4">
                    <a:lumMod val="50000"/>
                  </a:schemeClr>
                </a:solidFill>
              </a:ln>
            </c:spPr>
          </c:marker>
          <c:dLbls>
            <c:dLbl>
              <c:idx val="0"/>
              <c:layout>
                <c:manualLayout>
                  <c:x val="-7.545628146996447E-2"/>
                  <c:y val="0.1236272150649476"/>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86</c:v>
                </c:pt>
                <c:pt idx="1">
                  <c:v>90.8</c:v>
                </c:pt>
                <c:pt idx="2">
                  <c:v>90.8</c:v>
                </c:pt>
                <c:pt idx="3">
                  <c:v>90.7</c:v>
                </c:pt>
                <c:pt idx="4">
                  <c:v>86</c:v>
                </c:pt>
              </c:numCache>
            </c:numRef>
          </c:val>
        </c:ser>
        <c:dLbls>
          <c:showVal val="1"/>
        </c:dLbls>
        <c:marker val="1"/>
        <c:axId val="169248256"/>
        <c:axId val="169249792"/>
      </c:lineChart>
      <c:catAx>
        <c:axId val="169248256"/>
        <c:scaling>
          <c:orientation val="minMax"/>
        </c:scaling>
        <c:axPos val="b"/>
        <c:numFmt formatCode="General" sourceLinked="1"/>
        <c:tickLblPos val="nextTo"/>
        <c:txPr>
          <a:bodyPr/>
          <a:lstStyle/>
          <a:p>
            <a:pPr>
              <a:defRPr sz="1000">
                <a:latin typeface="Times New Roman" pitchFamily="18" charset="0"/>
                <a:cs typeface="Times New Roman" pitchFamily="18" charset="0"/>
              </a:defRPr>
            </a:pPr>
            <a:endParaRPr lang="ru-RU"/>
          </a:p>
        </c:txPr>
        <c:crossAx val="169249792"/>
        <c:crosses val="autoZero"/>
        <c:auto val="1"/>
        <c:lblAlgn val="ctr"/>
        <c:lblOffset val="100"/>
      </c:catAx>
      <c:valAx>
        <c:axId val="169249792"/>
        <c:scaling>
          <c:orientation val="minMax"/>
          <c:min val="50"/>
        </c:scaling>
        <c:delete val="1"/>
        <c:axPos val="l"/>
        <c:numFmt formatCode="General" sourceLinked="1"/>
        <c:tickLblPos val="nextTo"/>
        <c:crossAx val="169248256"/>
        <c:crosses val="autoZero"/>
        <c:crossBetween val="between"/>
      </c:valAx>
    </c:plotArea>
    <c:legend>
      <c:legendPos val="b"/>
      <c:layout>
        <c:manualLayout>
          <c:xMode val="edge"/>
          <c:yMode val="edge"/>
          <c:x val="6.9056449266829533E-4"/>
          <c:y val="0.83073837870146849"/>
          <c:w val="0.94930958567206758"/>
          <c:h val="0.12759095850691984"/>
        </c:manualLayout>
      </c:layout>
      <c:spPr>
        <a:noFill/>
        <a:ln>
          <a:no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drawings/drawing1.xml><?xml version="1.0" encoding="utf-8"?>
<c:userShapes xmlns:c="http://schemas.openxmlformats.org/drawingml/2006/chart">
  <cdr:relSizeAnchor xmlns:cdr="http://schemas.openxmlformats.org/drawingml/2006/chartDrawing">
    <cdr:from>
      <cdr:x>0.19481</cdr:x>
      <cdr:y>0.83631</cdr:y>
    </cdr:from>
    <cdr:to>
      <cdr:x>0.92224</cdr:x>
      <cdr:y>0.97758</cdr:y>
    </cdr:to>
    <cdr:sp macro="" textlink="">
      <cdr:nvSpPr>
        <cdr:cNvPr id="2" name="Прямоугольник 1"/>
        <cdr:cNvSpPr/>
      </cdr:nvSpPr>
      <cdr:spPr>
        <a:xfrm xmlns:a="http://schemas.openxmlformats.org/drawingml/2006/main">
          <a:off x="752475" y="1776382"/>
          <a:ext cx="2809875" cy="3000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l"/>
          <a:r>
            <a:rPr lang="ru-RU" sz="1000">
              <a:solidFill>
                <a:schemeClr val="tx1"/>
              </a:solidFill>
              <a:latin typeface="Times New Roman" pitchFamily="18" charset="0"/>
              <a:cs typeface="Times New Roman" pitchFamily="18" charset="0"/>
            </a:rPr>
            <a:t>Питома вага забруднених стічних вод області у загальноукраїнському показнику, %</a:t>
          </a:r>
        </a:p>
      </cdr:txBody>
    </cdr:sp>
  </cdr:relSizeAnchor>
</c:userShapes>
</file>

<file path=word/drawings/drawing2.xml><?xml version="1.0" encoding="utf-8"?>
<c:userShapes xmlns:c="http://schemas.openxmlformats.org/drawingml/2006/chart">
  <cdr:relSizeAnchor xmlns:cdr="http://schemas.openxmlformats.org/drawingml/2006/chartDrawing">
    <cdr:from>
      <cdr:x>0.76151</cdr:x>
      <cdr:y>0.80412</cdr:y>
    </cdr:from>
    <cdr:to>
      <cdr:x>1</cdr:x>
      <cdr:y>1</cdr:y>
    </cdr:to>
    <cdr:sp macro="" textlink="">
      <cdr:nvSpPr>
        <cdr:cNvPr id="2" name="Прямоугольник 1"/>
        <cdr:cNvSpPr/>
      </cdr:nvSpPr>
      <cdr:spPr>
        <a:xfrm xmlns:a="http://schemas.openxmlformats.org/drawingml/2006/main">
          <a:off x="2736700" y="829339"/>
          <a:ext cx="857104" cy="20201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800">
              <a:solidFill>
                <a:schemeClr val="tx1"/>
              </a:solidFill>
              <a:latin typeface="Times New Roman" pitchFamily="18" charset="0"/>
              <a:cs typeface="Times New Roman" pitchFamily="18" charset="0"/>
            </a:rPr>
            <a:t>попередні дані</a:t>
          </a:r>
        </a:p>
      </cdr:txBody>
    </cdr:sp>
  </cdr:relSizeAnchor>
</c:userShapes>
</file>

<file path=word/drawings/drawing3.xml><?xml version="1.0" encoding="utf-8"?>
<c:userShapes xmlns:c="http://schemas.openxmlformats.org/drawingml/2006/chart">
  <cdr:relSizeAnchor xmlns:cdr="http://schemas.openxmlformats.org/drawingml/2006/chartDrawing">
    <cdr:from>
      <cdr:x>0.77334</cdr:x>
      <cdr:y>0.75039</cdr:y>
    </cdr:from>
    <cdr:to>
      <cdr:x>1</cdr:x>
      <cdr:y>0.86822</cdr:y>
    </cdr:to>
    <cdr:sp macro="" textlink="">
      <cdr:nvSpPr>
        <cdr:cNvPr id="2" name="Прямоугольник 1"/>
        <cdr:cNvSpPr/>
      </cdr:nvSpPr>
      <cdr:spPr>
        <a:xfrm xmlns:a="http://schemas.openxmlformats.org/drawingml/2006/main">
          <a:off x="2928086" y="1286539"/>
          <a:ext cx="857104" cy="202019"/>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4.xml><?xml version="1.0" encoding="utf-8"?>
<c:userShapes xmlns:c="http://schemas.openxmlformats.org/drawingml/2006/chart">
  <cdr:relSizeAnchor xmlns:cdr="http://schemas.openxmlformats.org/drawingml/2006/chartDrawing">
    <cdr:from>
      <cdr:x>0.77239</cdr:x>
      <cdr:y>0.65116</cdr:y>
    </cdr:from>
    <cdr:to>
      <cdr:x>0.99848</cdr:x>
      <cdr:y>0.76899</cdr:y>
    </cdr:to>
    <cdr:sp macro="" textlink="">
      <cdr:nvSpPr>
        <cdr:cNvPr id="2" name="Прямоугольник 1"/>
        <cdr:cNvSpPr/>
      </cdr:nvSpPr>
      <cdr:spPr>
        <a:xfrm xmlns:a="http://schemas.openxmlformats.org/drawingml/2006/main">
          <a:off x="2928086" y="1116419"/>
          <a:ext cx="857104" cy="202019"/>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5.xml><?xml version="1.0" encoding="utf-8"?>
<c:userShapes xmlns:c="http://schemas.openxmlformats.org/drawingml/2006/chart">
  <cdr:relSizeAnchor xmlns:cdr="http://schemas.openxmlformats.org/drawingml/2006/chartDrawing">
    <cdr:from>
      <cdr:x>0.75664</cdr:x>
      <cdr:y>0.7996</cdr:y>
    </cdr:from>
    <cdr:to>
      <cdr:x>0.99128</cdr:x>
      <cdr:y>0.94979</cdr:y>
    </cdr:to>
    <cdr:sp macro="" textlink="">
      <cdr:nvSpPr>
        <cdr:cNvPr id="3" name="Прямоугольник 2"/>
        <cdr:cNvSpPr/>
      </cdr:nvSpPr>
      <cdr:spPr>
        <a:xfrm xmlns:a="http://schemas.openxmlformats.org/drawingml/2006/main">
          <a:off x="2767497" y="1073888"/>
          <a:ext cx="858206" cy="201706"/>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6.xml><?xml version="1.0" encoding="utf-8"?>
<c:userShapes xmlns:c="http://schemas.openxmlformats.org/drawingml/2006/chart">
  <cdr:relSizeAnchor xmlns:cdr="http://schemas.openxmlformats.org/drawingml/2006/chartDrawing">
    <cdr:from>
      <cdr:x>0.75966</cdr:x>
      <cdr:y>0.78378</cdr:y>
    </cdr:from>
    <cdr:to>
      <cdr:x>0.99706</cdr:x>
      <cdr:y>0.95469</cdr:y>
    </cdr:to>
    <cdr:sp macro="" textlink="">
      <cdr:nvSpPr>
        <cdr:cNvPr id="2" name="Прямоугольник 1"/>
        <cdr:cNvSpPr/>
      </cdr:nvSpPr>
      <cdr:spPr>
        <a:xfrm xmlns:a="http://schemas.openxmlformats.org/drawingml/2006/main">
          <a:off x="2746231" y="925032"/>
          <a:ext cx="858206" cy="201706"/>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7.xml><?xml version="1.0" encoding="utf-8"?>
<c:userShapes xmlns:c="http://schemas.openxmlformats.org/drawingml/2006/chart">
  <cdr:relSizeAnchor xmlns:cdr="http://schemas.openxmlformats.org/drawingml/2006/chartDrawing">
    <cdr:from>
      <cdr:x>0.69407</cdr:x>
      <cdr:y>0.88656</cdr:y>
    </cdr:from>
    <cdr:to>
      <cdr:x>0.92653</cdr:x>
      <cdr:y>0.96941</cdr:y>
    </cdr:to>
    <cdr:sp macro="" textlink="">
      <cdr:nvSpPr>
        <cdr:cNvPr id="2" name="Прямоугольник 1"/>
        <cdr:cNvSpPr/>
      </cdr:nvSpPr>
      <cdr:spPr>
        <a:xfrm xmlns:a="http://schemas.openxmlformats.org/drawingml/2006/main">
          <a:off x="2562446" y="2158409"/>
          <a:ext cx="858206" cy="201706"/>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0.16388</cdr:y>
    </cdr:from>
    <cdr:to>
      <cdr:x>0.18653</cdr:x>
      <cdr:y>0.24414</cdr:y>
    </cdr:to>
    <cdr:sp macro="" textlink="">
      <cdr:nvSpPr>
        <cdr:cNvPr id="2" name="Прямоугольник 1"/>
        <cdr:cNvSpPr/>
      </cdr:nvSpPr>
      <cdr:spPr>
        <a:xfrm xmlns:a="http://schemas.openxmlformats.org/drawingml/2006/main">
          <a:off x="0" y="466725"/>
          <a:ext cx="685800" cy="22859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a:solidFill>
                <a:sysClr val="windowText" lastClr="000000"/>
              </a:solidFill>
              <a:latin typeface="Times New Roman" pitchFamily="18" charset="0"/>
              <a:cs typeface="Times New Roman" pitchFamily="18" charset="0"/>
            </a:rPr>
            <a:t>2009 рік</a:t>
          </a:r>
        </a:p>
      </cdr:txBody>
    </cdr:sp>
  </cdr:relSizeAnchor>
  <cdr:relSizeAnchor xmlns:cdr="http://schemas.openxmlformats.org/drawingml/2006/chartDrawing">
    <cdr:from>
      <cdr:x>0</cdr:x>
      <cdr:y>0.46488</cdr:y>
    </cdr:from>
    <cdr:to>
      <cdr:x>0.18653</cdr:x>
      <cdr:y>0.54515</cdr:y>
    </cdr:to>
    <cdr:sp macro="" textlink="">
      <cdr:nvSpPr>
        <cdr:cNvPr id="3" name="Прямоугольник 2"/>
        <cdr:cNvSpPr/>
      </cdr:nvSpPr>
      <cdr:spPr>
        <a:xfrm xmlns:a="http://schemas.openxmlformats.org/drawingml/2006/main">
          <a:off x="0" y="1323967"/>
          <a:ext cx="685800" cy="22862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2011 рік</a:t>
          </a:r>
        </a:p>
      </cdr:txBody>
    </cdr:sp>
  </cdr:relSizeAnchor>
  <cdr:relSizeAnchor xmlns:cdr="http://schemas.openxmlformats.org/drawingml/2006/chartDrawing">
    <cdr:from>
      <cdr:x>0</cdr:x>
      <cdr:y>0.31104</cdr:y>
    </cdr:from>
    <cdr:to>
      <cdr:x>0.18653</cdr:x>
      <cdr:y>0.3913</cdr:y>
    </cdr:to>
    <cdr:sp macro="" textlink="">
      <cdr:nvSpPr>
        <cdr:cNvPr id="4" name="Прямоугольник 3"/>
        <cdr:cNvSpPr/>
      </cdr:nvSpPr>
      <cdr:spPr>
        <a:xfrm xmlns:a="http://schemas.openxmlformats.org/drawingml/2006/main">
          <a:off x="0" y="885833"/>
          <a:ext cx="685800" cy="228591"/>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2010 рік</a:t>
          </a:r>
        </a:p>
      </cdr:txBody>
    </cdr:sp>
  </cdr:relSizeAnchor>
  <cdr:relSizeAnchor xmlns:cdr="http://schemas.openxmlformats.org/drawingml/2006/chartDrawing">
    <cdr:from>
      <cdr:x>0</cdr:x>
      <cdr:y>0</cdr:y>
    </cdr:from>
    <cdr:to>
      <cdr:x>0.18653</cdr:x>
      <cdr:y>0.08026</cdr:y>
    </cdr:to>
    <cdr:sp macro="" textlink="">
      <cdr:nvSpPr>
        <cdr:cNvPr id="5" name="Прямоугольник 4"/>
        <cdr:cNvSpPr/>
      </cdr:nvSpPr>
      <cdr:spPr>
        <a:xfrm xmlns:a="http://schemas.openxmlformats.org/drawingml/2006/main">
          <a:off x="0" y="0"/>
          <a:ext cx="685800" cy="22859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2008 рік</a:t>
          </a:r>
        </a:p>
      </cdr:txBody>
    </cdr:sp>
  </cdr:relSizeAnchor>
  <cdr:relSizeAnchor xmlns:cdr="http://schemas.openxmlformats.org/drawingml/2006/chartDrawing">
    <cdr:from>
      <cdr:x>0</cdr:x>
      <cdr:y>0.61908</cdr:y>
    </cdr:from>
    <cdr:to>
      <cdr:x>0.18653</cdr:x>
      <cdr:y>0.74122</cdr:y>
    </cdr:to>
    <cdr:sp macro="" textlink="">
      <cdr:nvSpPr>
        <cdr:cNvPr id="6" name="Прямоугольник 5"/>
        <cdr:cNvSpPr/>
      </cdr:nvSpPr>
      <cdr:spPr>
        <a:xfrm xmlns:a="http://schemas.openxmlformats.org/drawingml/2006/main">
          <a:off x="0" y="1704159"/>
          <a:ext cx="685806" cy="33621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2012 рік 9 </a:t>
          </a:r>
          <a:r>
            <a:rPr lang="uk-UA" sz="1000">
              <a:solidFill>
                <a:sysClr val="windowText" lastClr="000000"/>
              </a:solidFill>
              <a:latin typeface="Times New Roman" pitchFamily="18" charset="0"/>
              <a:cs typeface="Times New Roman" pitchFamily="18" charset="0"/>
            </a:rPr>
            <a:t> міс.</a:t>
          </a:r>
          <a:endParaRPr lang="ru-RU" sz="1000">
            <a:solidFill>
              <a:sysClr val="windowText" lastClr="000000"/>
            </a:solidFill>
            <a:latin typeface="Times New Roman" pitchFamily="18" charset="0"/>
            <a:cs typeface="Times New Roman"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0.10764</cdr:x>
      <cdr:y>0.21017</cdr:y>
    </cdr:from>
    <cdr:to>
      <cdr:x>0.75014</cdr:x>
      <cdr:y>0.4492</cdr:y>
    </cdr:to>
    <cdr:grpSp>
      <cdr:nvGrpSpPr>
        <cdr:cNvPr id="41" name="Группа 40"/>
        <cdr:cNvGrpSpPr/>
      </cdr:nvGrpSpPr>
      <cdr:grpSpPr>
        <a:xfrm xmlns:a="http://schemas.openxmlformats.org/drawingml/2006/main">
          <a:off x="590556" y="350839"/>
          <a:ext cx="3525012" cy="399016"/>
          <a:chOff x="590550" y="374346"/>
          <a:chExt cx="3525042" cy="425753"/>
        </a:xfrm>
      </cdr:grpSpPr>
      <cdr:grpSp>
        <cdr:nvGrpSpPr>
          <cdr:cNvPr id="28" name="Группа 27"/>
          <cdr:cNvGrpSpPr/>
        </cdr:nvGrpSpPr>
        <cdr:grpSpPr>
          <a:xfrm xmlns:a="http://schemas.openxmlformats.org/drawingml/2006/main">
            <a:off x="590550" y="377998"/>
            <a:ext cx="581817" cy="422101"/>
            <a:chOff x="-3046174" y="477843"/>
            <a:chExt cx="725104" cy="361943"/>
          </a:xfrm>
        </cdr:grpSpPr>
        <cdr:sp macro="" textlink="">
          <cdr:nvSpPr>
            <cdr:cNvPr id="29" name="Прямая со стрелкой 28"/>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0" name="Прямоугольник 29"/>
            <cdr:cNvSpPr/>
          </cdr:nvSpPr>
          <cdr:spPr>
            <a:xfrm xmlns:a="http://schemas.openxmlformats.org/drawingml/2006/main">
              <a:off x="-3021445" y="496100"/>
              <a:ext cx="700375" cy="188505"/>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- 10,3</a:t>
              </a:r>
            </a:p>
          </cdr:txBody>
        </cdr:sp>
      </cdr:grpSp>
      <cdr:grpSp>
        <cdr:nvGrpSpPr>
          <cdr:cNvPr id="31" name="Группа 30"/>
          <cdr:cNvGrpSpPr/>
        </cdr:nvGrpSpPr>
        <cdr:grpSpPr>
          <a:xfrm xmlns:a="http://schemas.openxmlformats.org/drawingml/2006/main">
            <a:off x="1581150" y="381522"/>
            <a:ext cx="581817" cy="317326"/>
            <a:chOff x="-3046174" y="477843"/>
            <a:chExt cx="725104" cy="361943"/>
          </a:xfrm>
        </cdr:grpSpPr>
        <cdr:sp macro="" textlink="">
          <cdr:nvSpPr>
            <cdr:cNvPr id="32" name="Прямая со стрелкой 31"/>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3" name="Прямоугольник 32"/>
            <cdr:cNvSpPr/>
          </cdr:nvSpPr>
          <cdr:spPr>
            <a:xfrm xmlns:a="http://schemas.openxmlformats.org/drawingml/2006/main">
              <a:off x="-3021445" y="496100"/>
              <a:ext cx="700375" cy="228596"/>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- 7,3</a:t>
              </a:r>
            </a:p>
          </cdr:txBody>
        </cdr:sp>
      </cdr:grpSp>
      <cdr:grpSp>
        <cdr:nvGrpSpPr>
          <cdr:cNvPr id="34" name="Группа 33"/>
          <cdr:cNvGrpSpPr/>
        </cdr:nvGrpSpPr>
        <cdr:grpSpPr>
          <a:xfrm xmlns:a="http://schemas.openxmlformats.org/drawingml/2006/main">
            <a:off x="3533775" y="389873"/>
            <a:ext cx="581817" cy="317326"/>
            <a:chOff x="-3046174" y="477843"/>
            <a:chExt cx="725104" cy="361943"/>
          </a:xfrm>
        </cdr:grpSpPr>
        <cdr:sp macro="" textlink="">
          <cdr:nvSpPr>
            <cdr:cNvPr id="35" name="Прямая со стрелкой 34"/>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6" name="Прямоугольник 35"/>
            <cdr:cNvSpPr/>
          </cdr:nvSpPr>
          <cdr:spPr>
            <a:xfrm xmlns:a="http://schemas.openxmlformats.org/drawingml/2006/main">
              <a:off x="-3021445" y="496100"/>
              <a:ext cx="700375" cy="228596"/>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- 6,1</a:t>
              </a:r>
            </a:p>
          </cdr:txBody>
        </cdr:sp>
      </cdr:grpSp>
      <cdr:grpSp>
        <cdr:nvGrpSpPr>
          <cdr:cNvPr id="37" name="Группа 36"/>
          <cdr:cNvGrpSpPr/>
        </cdr:nvGrpSpPr>
        <cdr:grpSpPr>
          <a:xfrm xmlns:a="http://schemas.openxmlformats.org/drawingml/2006/main">
            <a:off x="2552700" y="374346"/>
            <a:ext cx="561975" cy="317326"/>
            <a:chOff x="-3046174" y="477843"/>
            <a:chExt cx="700375" cy="361943"/>
          </a:xfrm>
        </cdr:grpSpPr>
        <cdr:sp macro="" textlink="">
          <cdr:nvSpPr>
            <cdr:cNvPr id="38" name="Прямая со стрелкой 37"/>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9" name="Прямоугольник 38"/>
            <cdr:cNvSpPr/>
          </cdr:nvSpPr>
          <cdr:spPr>
            <a:xfrm xmlns:a="http://schemas.openxmlformats.org/drawingml/2006/main">
              <a:off x="-3046174" y="496101"/>
              <a:ext cx="700375" cy="228596"/>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- 6,6</a:t>
              </a:r>
            </a:p>
          </cdr:txBody>
        </cdr:sp>
      </cdr:grpSp>
    </cdr:grp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188F3-7BA8-422E-BDDF-D070FDB95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89</Pages>
  <Words>27838</Words>
  <Characters>158682</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Digital HOME</Company>
  <LinksUpToDate>false</LinksUpToDate>
  <CharactersWithSpaces>186148</CharactersWithSpaces>
  <SharedDoc>false</SharedDoc>
  <HLinks>
    <vt:vector size="90" baseType="variant">
      <vt:variant>
        <vt:i4>2032689</vt:i4>
      </vt:variant>
      <vt:variant>
        <vt:i4>264</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_Toc130175726</vt:lpwstr>
      </vt:variant>
      <vt:variant>
        <vt:i4>1705009</vt:i4>
      </vt:variant>
      <vt:variant>
        <vt:i4>261</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_Toc130175773</vt:lpwstr>
      </vt:variant>
      <vt:variant>
        <vt:i4>1639473</vt:i4>
      </vt:variant>
      <vt:variant>
        <vt:i4>258</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_Toc130175740</vt:lpwstr>
      </vt:variant>
      <vt:variant>
        <vt:i4>2032689</vt:i4>
      </vt:variant>
      <vt:variant>
        <vt:i4>234</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_Toc130175727</vt:lpwstr>
      </vt:variant>
      <vt:variant>
        <vt:i4>2032689</vt:i4>
      </vt:variant>
      <vt:variant>
        <vt:i4>225</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_Toc130175725</vt:lpwstr>
      </vt:variant>
      <vt:variant>
        <vt:i4>2032689</vt:i4>
      </vt:variant>
      <vt:variant>
        <vt:i4>222</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_Toc130175726</vt:lpwstr>
      </vt:variant>
      <vt:variant>
        <vt:i4>1376305</vt:i4>
      </vt:variant>
      <vt:variant>
        <vt:i4>219</vt:i4>
      </vt:variant>
      <vt:variant>
        <vt:i4>0</vt:i4>
      </vt:variant>
      <vt:variant>
        <vt:i4>5</vt:i4>
      </vt:variant>
      <vt:variant>
        <vt:lpwstr/>
      </vt:variant>
      <vt:variant>
        <vt:lpwstr>_Toc130175757</vt:lpwstr>
      </vt:variant>
      <vt:variant>
        <vt:i4>1639473</vt:i4>
      </vt:variant>
      <vt:variant>
        <vt:i4>198</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_Toc130175746</vt:lpwstr>
      </vt:variant>
      <vt:variant>
        <vt:i4>1705009</vt:i4>
      </vt:variant>
      <vt:variant>
        <vt:i4>18</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_Toc130175773</vt:lpwstr>
      </vt:variant>
      <vt:variant>
        <vt:i4>1639473</vt:i4>
      </vt:variant>
      <vt:variant>
        <vt:i4>15</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_Toc130175740</vt:lpwstr>
      </vt:variant>
      <vt:variant>
        <vt:i4>2032689</vt:i4>
      </vt:variant>
      <vt:variant>
        <vt:i4>12</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_Toc130175727</vt:lpwstr>
      </vt:variant>
      <vt:variant>
        <vt:i4>2032689</vt:i4>
      </vt:variant>
      <vt:variant>
        <vt:i4>9</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_Toc130175725</vt:lpwstr>
      </vt:variant>
      <vt:variant>
        <vt:i4>2032689</vt:i4>
      </vt:variant>
      <vt:variant>
        <vt:i4>6</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_Toc130175726</vt:lpwstr>
      </vt:variant>
      <vt:variant>
        <vt:i4>1376305</vt:i4>
      </vt:variant>
      <vt:variant>
        <vt:i4>3</vt:i4>
      </vt:variant>
      <vt:variant>
        <vt:i4>0</vt:i4>
      </vt:variant>
      <vt:variant>
        <vt:i4>5</vt:i4>
      </vt:variant>
      <vt:variant>
        <vt:lpwstr/>
      </vt:variant>
      <vt:variant>
        <vt:lpwstr>_Toc130175757</vt:lpwstr>
      </vt:variant>
      <vt:variant>
        <vt:i4>1639473</vt:i4>
      </vt:variant>
      <vt:variant>
        <vt:i4>0</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Soft</dc:creator>
  <cp:keywords/>
  <dc:description/>
  <cp:lastModifiedBy>Rich Soft</cp:lastModifiedBy>
  <cp:revision>139</cp:revision>
  <cp:lastPrinted>2013-02-19T10:09:00Z</cp:lastPrinted>
  <dcterms:created xsi:type="dcterms:W3CDTF">2012-12-16T10:16:00Z</dcterms:created>
  <dcterms:modified xsi:type="dcterms:W3CDTF">2013-02-25T16:57:00Z</dcterms:modified>
</cp:coreProperties>
</file>