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70" w:rsidRPr="00D36396" w:rsidRDefault="00195187" w:rsidP="00C55757">
      <w:pPr>
        <w:jc w:val="center"/>
        <w:rPr>
          <w:b/>
          <w:color w:val="000000" w:themeColor="text1"/>
          <w:lang w:val="uk-UA"/>
        </w:rPr>
      </w:pPr>
      <w:r w:rsidRPr="00D36396">
        <w:rPr>
          <w:b/>
          <w:color w:val="000000" w:themeColor="text1"/>
          <w:lang w:val="uk-UA"/>
        </w:rPr>
        <w:t>Довідка</w:t>
      </w:r>
      <w:r w:rsidR="007126ED" w:rsidRPr="00D36396">
        <w:rPr>
          <w:b/>
          <w:color w:val="000000" w:themeColor="text1"/>
          <w:lang w:val="uk-UA"/>
        </w:rPr>
        <w:t xml:space="preserve"> </w:t>
      </w:r>
    </w:p>
    <w:p w:rsidR="00C55757" w:rsidRPr="00D36396" w:rsidRDefault="00195187" w:rsidP="00C55757">
      <w:pPr>
        <w:jc w:val="center"/>
        <w:rPr>
          <w:b/>
          <w:color w:val="000000" w:themeColor="text1"/>
          <w:lang w:val="uk-UA"/>
        </w:rPr>
      </w:pPr>
      <w:r w:rsidRPr="00D36396">
        <w:rPr>
          <w:b/>
          <w:color w:val="000000" w:themeColor="text1"/>
          <w:lang w:val="uk-UA"/>
        </w:rPr>
        <w:t xml:space="preserve">про виконання </w:t>
      </w:r>
      <w:r w:rsidR="005E6E70" w:rsidRPr="00D36396">
        <w:rPr>
          <w:b/>
          <w:color w:val="000000" w:themeColor="text1"/>
          <w:lang w:val="uk-UA"/>
        </w:rPr>
        <w:t>з</w:t>
      </w:r>
      <w:r w:rsidR="00791D52" w:rsidRPr="00D36396">
        <w:rPr>
          <w:b/>
          <w:color w:val="000000" w:themeColor="text1"/>
          <w:lang w:val="uk-UA"/>
        </w:rPr>
        <w:t xml:space="preserve">а </w:t>
      </w:r>
      <w:r w:rsidR="001F21DF" w:rsidRPr="00D36396">
        <w:rPr>
          <w:b/>
          <w:color w:val="000000" w:themeColor="text1"/>
          <w:lang w:val="uk-UA"/>
        </w:rPr>
        <w:t>перше</w:t>
      </w:r>
      <w:r w:rsidR="00791D52" w:rsidRPr="00D36396">
        <w:rPr>
          <w:b/>
          <w:color w:val="000000" w:themeColor="text1"/>
          <w:lang w:val="uk-UA"/>
        </w:rPr>
        <w:t xml:space="preserve"> півріччя 2012 року </w:t>
      </w:r>
      <w:r w:rsidR="00B96CDF" w:rsidRPr="00D36396">
        <w:rPr>
          <w:b/>
          <w:color w:val="000000" w:themeColor="text1"/>
          <w:lang w:val="uk-UA"/>
        </w:rPr>
        <w:t>«</w:t>
      </w:r>
      <w:r w:rsidRPr="00D36396">
        <w:rPr>
          <w:b/>
          <w:color w:val="000000" w:themeColor="text1"/>
          <w:lang w:val="uk-UA"/>
        </w:rPr>
        <w:t>Програми економічного і соціального</w:t>
      </w:r>
      <w:r w:rsidR="007126ED" w:rsidRPr="00D36396">
        <w:rPr>
          <w:b/>
          <w:color w:val="000000" w:themeColor="text1"/>
          <w:lang w:val="uk-UA"/>
        </w:rPr>
        <w:t xml:space="preserve"> </w:t>
      </w:r>
      <w:r w:rsidR="009C19D1" w:rsidRPr="00D36396">
        <w:rPr>
          <w:b/>
          <w:color w:val="000000" w:themeColor="text1"/>
          <w:lang w:val="uk-UA"/>
        </w:rPr>
        <w:t xml:space="preserve">розвитку Донецької області </w:t>
      </w:r>
      <w:r w:rsidR="00791D52" w:rsidRPr="00D36396">
        <w:rPr>
          <w:b/>
          <w:color w:val="000000" w:themeColor="text1"/>
          <w:lang w:val="uk-UA"/>
        </w:rPr>
        <w:t>на 2012 рік та основн</w:t>
      </w:r>
      <w:r w:rsidR="001F21DF" w:rsidRPr="00D36396">
        <w:rPr>
          <w:b/>
          <w:color w:val="000000" w:themeColor="text1"/>
          <w:lang w:val="uk-UA"/>
        </w:rPr>
        <w:t>их напрямів</w:t>
      </w:r>
      <w:r w:rsidR="00791D52" w:rsidRPr="00D36396">
        <w:rPr>
          <w:b/>
          <w:color w:val="000000" w:themeColor="text1"/>
          <w:lang w:val="uk-UA"/>
        </w:rPr>
        <w:t xml:space="preserve"> на 2013 і 2014 роки</w:t>
      </w:r>
      <w:r w:rsidR="00B96CDF" w:rsidRPr="00D36396">
        <w:rPr>
          <w:b/>
          <w:color w:val="000000" w:themeColor="text1"/>
          <w:lang w:val="uk-UA"/>
        </w:rPr>
        <w:t>»</w:t>
      </w:r>
    </w:p>
    <w:p w:rsidR="00C55757" w:rsidRPr="00D36396" w:rsidRDefault="00C55757" w:rsidP="00C55757">
      <w:pPr>
        <w:ind w:firstLine="709"/>
        <w:jc w:val="both"/>
        <w:rPr>
          <w:b/>
          <w:color w:val="000000" w:themeColor="text1"/>
          <w:lang w:val="uk-UA"/>
        </w:rPr>
      </w:pPr>
    </w:p>
    <w:p w:rsidR="00452DAC" w:rsidRPr="00D36396" w:rsidRDefault="00452DAC" w:rsidP="00AC60AB">
      <w:pPr>
        <w:spacing w:after="120"/>
        <w:ind w:firstLine="709"/>
        <w:jc w:val="both"/>
        <w:rPr>
          <w:color w:val="000000" w:themeColor="text1"/>
          <w:lang w:val="uk-UA"/>
        </w:rPr>
      </w:pPr>
      <w:r w:rsidRPr="00D36396">
        <w:rPr>
          <w:color w:val="000000" w:themeColor="text1"/>
          <w:lang w:val="uk-UA"/>
        </w:rPr>
        <w:t>Реалізація заходів Програми економічного і соціального розвитку                                                                   Донецької області на 2012 рік та основні напрями на 2013 і 2014 роки сприяла вирішенню багатьох соціальних проблем та створенню умов щодо соціально-економічної стабільності в регіоні.</w:t>
      </w:r>
    </w:p>
    <w:p w:rsidR="00914F53" w:rsidRPr="00D36396" w:rsidRDefault="00914F53" w:rsidP="00AC60AB">
      <w:pPr>
        <w:spacing w:after="120"/>
        <w:ind w:firstLine="709"/>
        <w:jc w:val="both"/>
        <w:rPr>
          <w:color w:val="000000" w:themeColor="text1"/>
          <w:spacing w:val="6"/>
          <w:lang w:val="uk-UA"/>
        </w:rPr>
      </w:pPr>
      <w:r w:rsidRPr="00D36396">
        <w:rPr>
          <w:color w:val="000000" w:themeColor="text1"/>
          <w:lang w:val="uk-UA"/>
        </w:rPr>
        <w:t xml:space="preserve">Загальний </w:t>
      </w:r>
      <w:r w:rsidRPr="00D36396">
        <w:rPr>
          <w:noProof/>
          <w:color w:val="000000" w:themeColor="text1"/>
          <w:lang w:val="uk-UA"/>
        </w:rPr>
        <w:t>обсяг промислового виробництва</w:t>
      </w:r>
      <w:r w:rsidRPr="00D36396">
        <w:rPr>
          <w:b/>
          <w:noProof/>
          <w:color w:val="000000" w:themeColor="text1"/>
          <w:lang w:val="uk-UA"/>
        </w:rPr>
        <w:t xml:space="preserve"> </w:t>
      </w:r>
      <w:r w:rsidRPr="00D36396">
        <w:rPr>
          <w:noProof/>
          <w:color w:val="000000" w:themeColor="text1"/>
          <w:lang w:val="uk-UA"/>
        </w:rPr>
        <w:t xml:space="preserve">порівняно з </w:t>
      </w:r>
      <w:r w:rsidR="001F21DF" w:rsidRPr="00D36396">
        <w:rPr>
          <w:noProof/>
          <w:color w:val="000000" w:themeColor="text1"/>
          <w:lang w:val="uk-UA"/>
        </w:rPr>
        <w:t>першим</w:t>
      </w:r>
      <w:r w:rsidRPr="00D36396">
        <w:rPr>
          <w:noProof/>
          <w:color w:val="000000" w:themeColor="text1"/>
          <w:lang w:val="uk-UA"/>
        </w:rPr>
        <w:t xml:space="preserve"> півріччям 2011 року зменшився на 0,7%</w:t>
      </w:r>
      <w:r w:rsidRPr="00D36396">
        <w:rPr>
          <w:color w:val="000000" w:themeColor="text1"/>
          <w:lang w:val="uk-UA"/>
        </w:rPr>
        <w:t xml:space="preserve">, Програмою на рік передбачено зростання на  5,0%. </w:t>
      </w:r>
      <w:r w:rsidRPr="00D36396">
        <w:rPr>
          <w:color w:val="000000" w:themeColor="text1"/>
          <w:spacing w:val="6"/>
          <w:lang w:val="uk-UA"/>
        </w:rPr>
        <w:t>Спад виробництва обумовлений зниженням попиту та цін на зовнішніх ринках збуту металу  (37,5% – частка металургійної галузі в загальному обсязі реалізованої промислової продукції, 80% продукції галузі експортується).</w:t>
      </w:r>
    </w:p>
    <w:tbl>
      <w:tblPr>
        <w:tblW w:w="0" w:type="auto"/>
        <w:tblLook w:val="01E0"/>
      </w:tblPr>
      <w:tblGrid>
        <w:gridCol w:w="9854"/>
      </w:tblGrid>
      <w:tr w:rsidR="00AC60AB" w:rsidRPr="00D36396" w:rsidTr="004E6538">
        <w:tc>
          <w:tcPr>
            <w:tcW w:w="9854" w:type="dxa"/>
          </w:tcPr>
          <w:p w:rsidR="00AC60AB" w:rsidRPr="00D36396" w:rsidRDefault="00AC60AB" w:rsidP="004E6538">
            <w:pPr>
              <w:jc w:val="center"/>
              <w:rPr>
                <w:b/>
                <w:color w:val="000000" w:themeColor="text1"/>
                <w:lang w:val="uk-UA"/>
              </w:rPr>
            </w:pPr>
            <w:r w:rsidRPr="00D36396">
              <w:rPr>
                <w:b/>
                <w:color w:val="000000" w:themeColor="text1"/>
                <w:lang w:val="uk-UA"/>
              </w:rPr>
              <w:t>Індекси промислової продукції, %</w:t>
            </w:r>
          </w:p>
          <w:p w:rsidR="00AC60AB" w:rsidRPr="00D36396" w:rsidRDefault="00AC60AB" w:rsidP="004E6538">
            <w:pPr>
              <w:jc w:val="center"/>
              <w:rPr>
                <w:color w:val="000000" w:themeColor="text1"/>
                <w:lang w:val="uk-UA"/>
              </w:rPr>
            </w:pPr>
            <w:r w:rsidRPr="00D36396">
              <w:rPr>
                <w:color w:val="000000" w:themeColor="text1"/>
                <w:lang w:val="uk-UA"/>
              </w:rPr>
              <w:t>(наростаючим підсумком з початку року)</w:t>
            </w:r>
          </w:p>
        </w:tc>
      </w:tr>
      <w:tr w:rsidR="00AC60AB" w:rsidRPr="00D36396" w:rsidTr="004E6538">
        <w:tc>
          <w:tcPr>
            <w:tcW w:w="9854" w:type="dxa"/>
          </w:tcPr>
          <w:p w:rsidR="00AC60AB" w:rsidRPr="00D36396" w:rsidRDefault="00050D9A" w:rsidP="004E6538">
            <w:pPr>
              <w:jc w:val="both"/>
              <w:rPr>
                <w:b/>
                <w:color w:val="000000" w:themeColor="text1"/>
                <w:lang w:val="uk-UA"/>
              </w:rPr>
            </w:pPr>
            <w:r w:rsidRPr="00D36396">
              <w:rPr>
                <w:noProof/>
                <w:color w:val="000000" w:themeColor="text1"/>
              </w:rPr>
              <w:drawing>
                <wp:inline distT="0" distB="0" distL="0" distR="0">
                  <wp:extent cx="6159500" cy="239141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914F53" w:rsidRPr="00D36396" w:rsidRDefault="00914F53" w:rsidP="00C55757">
      <w:pPr>
        <w:pStyle w:val="21"/>
        <w:keepLines/>
        <w:spacing w:after="100"/>
        <w:rPr>
          <w:color w:val="000000" w:themeColor="text1"/>
          <w:spacing w:val="6"/>
          <w:szCs w:val="24"/>
        </w:rPr>
      </w:pPr>
      <w:r w:rsidRPr="00D36396">
        <w:rPr>
          <w:color w:val="000000" w:themeColor="text1"/>
          <w:spacing w:val="6"/>
          <w:szCs w:val="24"/>
        </w:rPr>
        <w:t xml:space="preserve">Обсяг реалізованої </w:t>
      </w:r>
      <w:r w:rsidRPr="00D36396">
        <w:rPr>
          <w:bCs/>
          <w:color w:val="000000" w:themeColor="text1"/>
          <w:spacing w:val="6"/>
          <w:szCs w:val="24"/>
        </w:rPr>
        <w:t>промислової</w:t>
      </w:r>
      <w:r w:rsidRPr="00D36396">
        <w:rPr>
          <w:color w:val="000000" w:themeColor="text1"/>
          <w:spacing w:val="6"/>
          <w:szCs w:val="24"/>
        </w:rPr>
        <w:t xml:space="preserve"> продукції у відпускних цінах підприємств зменшився на 3,3%  і склав  115,2 млрд.</w:t>
      </w:r>
      <w:r w:rsidR="00AF2D75" w:rsidRPr="00D36396">
        <w:rPr>
          <w:color w:val="000000" w:themeColor="text1"/>
          <w:spacing w:val="6"/>
          <w:szCs w:val="24"/>
        </w:rPr>
        <w:t xml:space="preserve"> </w:t>
      </w:r>
      <w:r w:rsidRPr="00D36396">
        <w:rPr>
          <w:color w:val="000000" w:themeColor="text1"/>
          <w:spacing w:val="6"/>
          <w:szCs w:val="24"/>
        </w:rPr>
        <w:t xml:space="preserve">грн. </w:t>
      </w:r>
    </w:p>
    <w:p w:rsidR="00914F53" w:rsidRPr="00D36396" w:rsidRDefault="00914F53" w:rsidP="00C55757">
      <w:pPr>
        <w:keepLines/>
        <w:tabs>
          <w:tab w:val="left" w:pos="600"/>
          <w:tab w:val="left" w:pos="720"/>
          <w:tab w:val="left" w:pos="1197"/>
        </w:tabs>
        <w:spacing w:after="100"/>
        <w:ind w:firstLine="720"/>
        <w:jc w:val="both"/>
        <w:rPr>
          <w:color w:val="000000" w:themeColor="text1"/>
          <w:spacing w:val="6"/>
          <w:lang w:val="uk-UA"/>
        </w:rPr>
      </w:pPr>
      <w:r w:rsidRPr="00D36396">
        <w:rPr>
          <w:color w:val="000000" w:themeColor="text1"/>
          <w:spacing w:val="6"/>
          <w:lang w:val="uk-UA"/>
        </w:rPr>
        <w:t>Зберігається позитивна динаміка в хімічній та нафтохімічній промисловості (приріст на 11,5%), вугільній галузі (на 10,7%), машинобудуванні (на 3,2%), виробництві і розподіленні електроенергії та харчовій промисловості (на 2,4%).</w:t>
      </w:r>
    </w:p>
    <w:p w:rsidR="00914F53" w:rsidRPr="00D36396" w:rsidRDefault="00914F53" w:rsidP="00C55757">
      <w:pPr>
        <w:pStyle w:val="21"/>
        <w:keepLines/>
        <w:spacing w:after="100"/>
        <w:rPr>
          <w:color w:val="000000" w:themeColor="text1"/>
          <w:spacing w:val="6"/>
          <w:szCs w:val="24"/>
        </w:rPr>
      </w:pPr>
      <w:r w:rsidRPr="00D36396">
        <w:rPr>
          <w:b/>
          <w:color w:val="000000" w:themeColor="text1"/>
          <w:spacing w:val="6"/>
          <w:szCs w:val="24"/>
        </w:rPr>
        <w:t xml:space="preserve">В металургійному виробництві та виробництві готових металевих виробів </w:t>
      </w:r>
      <w:r w:rsidRPr="00D36396">
        <w:rPr>
          <w:color w:val="000000" w:themeColor="text1"/>
          <w:spacing w:val="6"/>
          <w:szCs w:val="24"/>
        </w:rPr>
        <w:t xml:space="preserve">обсяг продукції до рівня січня-червня минулого року зменшився на 7,9% (Програмою на рік передбачено зростання на 5,0%). </w:t>
      </w:r>
    </w:p>
    <w:p w:rsidR="00914F53" w:rsidRPr="00D36396" w:rsidRDefault="00914F53" w:rsidP="00C55757">
      <w:pPr>
        <w:keepLines/>
        <w:spacing w:after="100"/>
        <w:jc w:val="center"/>
        <w:rPr>
          <w:b/>
          <w:color w:val="000000" w:themeColor="text1"/>
          <w:lang w:val="uk-UA"/>
        </w:rPr>
      </w:pPr>
      <w:r w:rsidRPr="00D36396">
        <w:rPr>
          <w:b/>
          <w:color w:val="000000" w:themeColor="text1"/>
          <w:lang w:val="uk-UA"/>
        </w:rPr>
        <w:t>Середньодобове виробництво чавуну, тис.т</w:t>
      </w:r>
    </w:p>
    <w:p w:rsidR="00914F53" w:rsidRPr="00D36396" w:rsidRDefault="00E26581" w:rsidP="005E6E70">
      <w:pPr>
        <w:keepLines/>
        <w:spacing w:after="100"/>
        <w:jc w:val="center"/>
        <w:rPr>
          <w:color w:val="000000" w:themeColor="text1"/>
          <w:lang w:val="uk-UA"/>
        </w:rPr>
      </w:pPr>
      <w:r w:rsidRPr="00E26581">
        <w:rPr>
          <w:noProof/>
          <w:color w:val="000000" w:themeColor="text1"/>
          <w:lang w:val="uk-UA"/>
        </w:rPr>
        <w:pict>
          <v:rect id="_x0000_s1516" style="position:absolute;left:0;text-align:left;margin-left:246pt;margin-top:78.55pt;width:180pt;height:36pt;z-index:251657216" filled="f" stroked="f">
            <v:textbox style="mso-next-textbox:#_x0000_s1516">
              <w:txbxContent>
                <w:p w:rsidR="00B96CDF" w:rsidRPr="000D1FDA" w:rsidRDefault="00B96CDF" w:rsidP="00914F53">
                  <w:pPr>
                    <w:rPr>
                      <w:b/>
                      <w:sz w:val="20"/>
                      <w:szCs w:val="20"/>
                      <w:lang w:val="uk-UA"/>
                    </w:rPr>
                  </w:pPr>
                  <w:r w:rsidRPr="000D1FDA">
                    <w:rPr>
                      <w:b/>
                      <w:sz w:val="20"/>
                      <w:szCs w:val="20"/>
                      <w:lang w:val="uk-UA"/>
                    </w:rPr>
                    <w:t>І півріччя 2011 року – 37,1 тис.т</w:t>
                  </w:r>
                </w:p>
                <w:p w:rsidR="00B96CDF" w:rsidRPr="000D1FDA" w:rsidRDefault="00B96CDF" w:rsidP="00914F53">
                  <w:pPr>
                    <w:rPr>
                      <w:b/>
                      <w:sz w:val="20"/>
                      <w:szCs w:val="20"/>
                      <w:lang w:val="uk-UA"/>
                    </w:rPr>
                  </w:pPr>
                  <w:r w:rsidRPr="000D1FDA">
                    <w:rPr>
                      <w:b/>
                      <w:sz w:val="20"/>
                      <w:szCs w:val="20"/>
                      <w:lang w:val="uk-UA"/>
                    </w:rPr>
                    <w:t>І півріччя 2012 року – 35,6 тис.т</w:t>
                  </w:r>
                </w:p>
              </w:txbxContent>
            </v:textbox>
          </v:rect>
        </w:pict>
      </w:r>
      <w:r w:rsidR="00050D9A" w:rsidRPr="00D36396">
        <w:rPr>
          <w:noProof/>
          <w:color w:val="000000" w:themeColor="text1"/>
        </w:rPr>
        <w:drawing>
          <wp:inline distT="0" distB="0" distL="0" distR="0">
            <wp:extent cx="5647055" cy="224091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4F53" w:rsidRPr="00D36396" w:rsidRDefault="00914F53" w:rsidP="00C55757">
      <w:pPr>
        <w:keepLines/>
        <w:spacing w:after="100"/>
        <w:ind w:firstLine="720"/>
        <w:jc w:val="both"/>
        <w:rPr>
          <w:color w:val="000000" w:themeColor="text1"/>
          <w:lang w:val="uk-UA"/>
        </w:rPr>
      </w:pPr>
      <w:r w:rsidRPr="00D36396">
        <w:rPr>
          <w:color w:val="000000" w:themeColor="text1"/>
          <w:spacing w:val="4"/>
          <w:lang w:val="uk-UA"/>
        </w:rPr>
        <w:lastRenderedPageBreak/>
        <w:t>Випуск чавуну зменшився на 4,5%, сталі – на 11,3%, готового прокату чорних металів – на 7,0%, труб – на 6,0%.</w:t>
      </w:r>
    </w:p>
    <w:p w:rsidR="00914F53" w:rsidRPr="00D36396" w:rsidRDefault="00914F53" w:rsidP="00C55757">
      <w:pPr>
        <w:pStyle w:val="21"/>
        <w:keepLines/>
        <w:spacing w:after="100"/>
        <w:rPr>
          <w:color w:val="000000" w:themeColor="text1"/>
          <w:spacing w:val="4"/>
          <w:szCs w:val="24"/>
        </w:rPr>
      </w:pPr>
      <w:r w:rsidRPr="00D36396">
        <w:rPr>
          <w:color w:val="000000" w:themeColor="text1"/>
          <w:spacing w:val="4"/>
          <w:szCs w:val="24"/>
        </w:rPr>
        <w:t>Фінансовий стан підприємств галузі залишає</w:t>
      </w:r>
      <w:r w:rsidR="001C0234" w:rsidRPr="00D36396">
        <w:rPr>
          <w:color w:val="000000" w:themeColor="text1"/>
          <w:spacing w:val="4"/>
          <w:szCs w:val="24"/>
        </w:rPr>
        <w:t>ться складним. За І півріччя</w:t>
      </w:r>
      <w:r w:rsidRPr="00D36396">
        <w:rPr>
          <w:color w:val="000000" w:themeColor="text1"/>
          <w:spacing w:val="4"/>
          <w:szCs w:val="24"/>
        </w:rPr>
        <w:t xml:space="preserve"> року фінансовий результат від звичайної діяльності до оподаткування в цілому по галузі від’ємний – </w:t>
      </w:r>
      <w:r w:rsidR="001C0234" w:rsidRPr="00D36396">
        <w:rPr>
          <w:color w:val="000000" w:themeColor="text1"/>
          <w:spacing w:val="4"/>
          <w:szCs w:val="24"/>
        </w:rPr>
        <w:t>3,7</w:t>
      </w:r>
      <w:r w:rsidRPr="00D36396">
        <w:rPr>
          <w:color w:val="000000" w:themeColor="text1"/>
          <w:spacing w:val="4"/>
          <w:szCs w:val="24"/>
        </w:rPr>
        <w:t> млрд. грн. збитків</w:t>
      </w:r>
      <w:r w:rsidR="001C0234" w:rsidRPr="00D36396">
        <w:rPr>
          <w:color w:val="000000" w:themeColor="text1"/>
          <w:spacing w:val="4"/>
          <w:szCs w:val="24"/>
        </w:rPr>
        <w:t xml:space="preserve"> (у І півріччі</w:t>
      </w:r>
      <w:r w:rsidRPr="00D36396">
        <w:rPr>
          <w:color w:val="000000" w:themeColor="text1"/>
          <w:spacing w:val="4"/>
          <w:szCs w:val="24"/>
        </w:rPr>
        <w:t xml:space="preserve"> 2011 року –</w:t>
      </w:r>
      <w:r w:rsidR="001C0234" w:rsidRPr="00D36396">
        <w:rPr>
          <w:color w:val="000000" w:themeColor="text1"/>
          <w:spacing w:val="4"/>
          <w:szCs w:val="24"/>
        </w:rPr>
        <w:t xml:space="preserve">805,9 </w:t>
      </w:r>
      <w:r w:rsidR="00B96CDF" w:rsidRPr="00D36396">
        <w:rPr>
          <w:color w:val="000000" w:themeColor="text1"/>
          <w:spacing w:val="4"/>
          <w:szCs w:val="24"/>
        </w:rPr>
        <w:t>млн.грн.</w:t>
      </w:r>
      <w:r w:rsidRPr="00D36396">
        <w:rPr>
          <w:color w:val="000000" w:themeColor="text1"/>
          <w:spacing w:val="4"/>
          <w:szCs w:val="24"/>
        </w:rPr>
        <w:t xml:space="preserve"> збитків). Збитки отримали 51,5% підприємств на суму </w:t>
      </w:r>
      <w:r w:rsidR="001C0234" w:rsidRPr="00D36396">
        <w:rPr>
          <w:color w:val="000000" w:themeColor="text1"/>
          <w:spacing w:val="4"/>
          <w:szCs w:val="24"/>
        </w:rPr>
        <w:t xml:space="preserve">4,8 </w:t>
      </w:r>
      <w:r w:rsidRPr="00D36396">
        <w:rPr>
          <w:color w:val="000000" w:themeColor="text1"/>
          <w:spacing w:val="4"/>
          <w:szCs w:val="24"/>
        </w:rPr>
        <w:t>млрд.</w:t>
      </w:r>
      <w:r w:rsidR="00AF2D75" w:rsidRPr="00D36396">
        <w:rPr>
          <w:color w:val="000000" w:themeColor="text1"/>
          <w:spacing w:val="4"/>
          <w:szCs w:val="24"/>
        </w:rPr>
        <w:t xml:space="preserve"> </w:t>
      </w:r>
      <w:r w:rsidRPr="00D36396">
        <w:rPr>
          <w:color w:val="000000" w:themeColor="text1"/>
          <w:spacing w:val="4"/>
          <w:szCs w:val="24"/>
        </w:rPr>
        <w:t>грн.</w:t>
      </w:r>
    </w:p>
    <w:p w:rsidR="00914F53" w:rsidRPr="00D36396" w:rsidRDefault="00914F53" w:rsidP="00C55757">
      <w:pPr>
        <w:pStyle w:val="21"/>
        <w:keepLines/>
        <w:spacing w:after="100"/>
        <w:rPr>
          <w:color w:val="000000" w:themeColor="text1"/>
          <w:spacing w:val="4"/>
          <w:szCs w:val="24"/>
        </w:rPr>
      </w:pPr>
      <w:r w:rsidRPr="00D36396">
        <w:rPr>
          <w:color w:val="000000" w:themeColor="text1"/>
          <w:spacing w:val="4"/>
          <w:szCs w:val="24"/>
        </w:rPr>
        <w:t xml:space="preserve">Протягом </w:t>
      </w:r>
      <w:r w:rsidR="001F21DF" w:rsidRPr="00D36396">
        <w:rPr>
          <w:color w:val="000000" w:themeColor="text1"/>
          <w:spacing w:val="4"/>
          <w:szCs w:val="24"/>
        </w:rPr>
        <w:t>першого</w:t>
      </w:r>
      <w:r w:rsidRPr="00D36396">
        <w:rPr>
          <w:color w:val="000000" w:themeColor="text1"/>
          <w:spacing w:val="4"/>
          <w:szCs w:val="24"/>
        </w:rPr>
        <w:t xml:space="preserve"> півріччя поточного року здійснювалась реалізація заходів з модернізації і технічного переоснащення виробництв. У ПрАТ </w:t>
      </w:r>
      <w:r w:rsidR="00B96CDF" w:rsidRPr="00D36396">
        <w:rPr>
          <w:color w:val="000000" w:themeColor="text1"/>
          <w:spacing w:val="4"/>
          <w:szCs w:val="24"/>
        </w:rPr>
        <w:t>«</w:t>
      </w:r>
      <w:r w:rsidRPr="00D36396">
        <w:rPr>
          <w:color w:val="000000" w:themeColor="text1"/>
          <w:spacing w:val="4"/>
          <w:szCs w:val="24"/>
        </w:rPr>
        <w:t>Донецьксталь</w:t>
      </w:r>
      <w:r w:rsidR="00B96CDF" w:rsidRPr="00D36396">
        <w:rPr>
          <w:color w:val="000000" w:themeColor="text1"/>
          <w:spacing w:val="4"/>
          <w:szCs w:val="24"/>
        </w:rPr>
        <w:t>»</w:t>
      </w:r>
      <w:r w:rsidRPr="00D36396">
        <w:rPr>
          <w:color w:val="000000" w:themeColor="text1"/>
          <w:spacing w:val="4"/>
          <w:szCs w:val="24"/>
        </w:rPr>
        <w:t xml:space="preserve"> – металургійний завод</w:t>
      </w:r>
      <w:r w:rsidR="00B96CDF" w:rsidRPr="00D36396">
        <w:rPr>
          <w:color w:val="000000" w:themeColor="text1"/>
          <w:spacing w:val="4"/>
          <w:szCs w:val="24"/>
        </w:rPr>
        <w:t>»</w:t>
      </w:r>
      <w:r w:rsidRPr="00D36396">
        <w:rPr>
          <w:color w:val="000000" w:themeColor="text1"/>
          <w:spacing w:val="4"/>
          <w:szCs w:val="24"/>
        </w:rPr>
        <w:t xml:space="preserve">  повністю зупинено мартенівське виробництво сталі, ведеться будівництво електро</w:t>
      </w:r>
      <w:r w:rsidRPr="00D36396">
        <w:rPr>
          <w:color w:val="000000" w:themeColor="text1"/>
          <w:szCs w:val="24"/>
        </w:rPr>
        <w:t>сталеплавильної печі, тривають роботи з розширення кисневої станції.</w:t>
      </w:r>
      <w:r w:rsidRPr="00D36396">
        <w:rPr>
          <w:color w:val="000000" w:themeColor="text1"/>
          <w:spacing w:val="4"/>
          <w:szCs w:val="24"/>
        </w:rPr>
        <w:t xml:space="preserve"> У ПАТ </w:t>
      </w:r>
      <w:r w:rsidR="00B96CDF" w:rsidRPr="00D36396">
        <w:rPr>
          <w:color w:val="000000" w:themeColor="text1"/>
          <w:spacing w:val="4"/>
          <w:szCs w:val="24"/>
        </w:rPr>
        <w:t>»</w:t>
      </w:r>
      <w:r w:rsidRPr="00D36396">
        <w:rPr>
          <w:color w:val="000000" w:themeColor="text1"/>
          <w:spacing w:val="4"/>
          <w:szCs w:val="24"/>
        </w:rPr>
        <w:t>Маріупольський металургійний комбінат ім. Ілліча</w:t>
      </w:r>
      <w:r w:rsidR="00B96CDF" w:rsidRPr="00D36396">
        <w:rPr>
          <w:color w:val="000000" w:themeColor="text1"/>
          <w:spacing w:val="4"/>
          <w:szCs w:val="24"/>
        </w:rPr>
        <w:t>»</w:t>
      </w:r>
      <w:r w:rsidRPr="00D36396">
        <w:rPr>
          <w:color w:val="000000" w:themeColor="text1"/>
          <w:spacing w:val="4"/>
          <w:szCs w:val="24"/>
        </w:rPr>
        <w:t xml:space="preserve"> </w:t>
      </w:r>
      <w:r w:rsidRPr="00D36396">
        <w:rPr>
          <w:color w:val="000000" w:themeColor="text1"/>
          <w:szCs w:val="24"/>
        </w:rPr>
        <w:t xml:space="preserve">завершено будівництво установки вдування пиловугільного палива у горн доменних печей (здійснюються холодні випробування обладнання) та  турбоповітродувної машини №3 з комп’ютеризованою системою управління. </w:t>
      </w:r>
      <w:r w:rsidRPr="00D36396">
        <w:rPr>
          <w:color w:val="000000" w:themeColor="text1"/>
          <w:spacing w:val="4"/>
          <w:szCs w:val="24"/>
        </w:rPr>
        <w:t xml:space="preserve">У ПАТ </w:t>
      </w:r>
      <w:r w:rsidR="00B96CDF" w:rsidRPr="00D36396">
        <w:rPr>
          <w:color w:val="000000" w:themeColor="text1"/>
          <w:spacing w:val="4"/>
          <w:szCs w:val="24"/>
        </w:rPr>
        <w:t>«</w:t>
      </w:r>
      <w:r w:rsidR="00AF2D75" w:rsidRPr="00D36396">
        <w:rPr>
          <w:color w:val="000000" w:themeColor="text1"/>
          <w:spacing w:val="4"/>
          <w:szCs w:val="24"/>
        </w:rPr>
        <w:t>Єнакіївський</w:t>
      </w:r>
      <w:r w:rsidRPr="00D36396">
        <w:rPr>
          <w:color w:val="000000" w:themeColor="text1"/>
          <w:spacing w:val="4"/>
          <w:szCs w:val="24"/>
        </w:rPr>
        <w:t xml:space="preserve"> металургійний завод</w:t>
      </w:r>
      <w:r w:rsidR="00B96CDF" w:rsidRPr="00D36396">
        <w:rPr>
          <w:color w:val="000000" w:themeColor="text1"/>
          <w:spacing w:val="4"/>
          <w:szCs w:val="24"/>
        </w:rPr>
        <w:t>»</w:t>
      </w:r>
      <w:r w:rsidRPr="00D36396">
        <w:rPr>
          <w:color w:val="000000" w:themeColor="text1"/>
          <w:spacing w:val="4"/>
          <w:szCs w:val="24"/>
        </w:rPr>
        <w:t xml:space="preserve"> завершується будівництво резервної турбоповітродувки і реконструкція шламонакопичувача.</w:t>
      </w:r>
    </w:p>
    <w:p w:rsidR="00914F53" w:rsidRPr="00D36396" w:rsidRDefault="00914F53" w:rsidP="00C55757">
      <w:pPr>
        <w:keepLines/>
        <w:tabs>
          <w:tab w:val="left" w:pos="600"/>
          <w:tab w:val="left" w:pos="720"/>
          <w:tab w:val="left" w:pos="1197"/>
        </w:tabs>
        <w:spacing w:after="100"/>
        <w:ind w:firstLine="720"/>
        <w:jc w:val="both"/>
        <w:rPr>
          <w:color w:val="000000" w:themeColor="text1"/>
          <w:spacing w:val="6"/>
          <w:lang w:val="uk-UA"/>
        </w:rPr>
      </w:pPr>
      <w:r w:rsidRPr="00D36396">
        <w:rPr>
          <w:color w:val="000000" w:themeColor="text1"/>
          <w:spacing w:val="6"/>
          <w:lang w:val="uk-UA"/>
        </w:rPr>
        <w:t xml:space="preserve">Падіння виробництва в металургійній галузі спричинило скорочення обсягів на підприємствах з виробництва коксу. </w:t>
      </w:r>
    </w:p>
    <w:p w:rsidR="00914F53" w:rsidRPr="00D36396" w:rsidRDefault="00914F53" w:rsidP="00C55757">
      <w:pPr>
        <w:keepLines/>
        <w:spacing w:after="100"/>
        <w:ind w:firstLine="709"/>
        <w:jc w:val="both"/>
        <w:rPr>
          <w:color w:val="000000" w:themeColor="text1"/>
          <w:lang w:val="uk-UA"/>
        </w:rPr>
      </w:pPr>
      <w:r w:rsidRPr="00D36396">
        <w:rPr>
          <w:b/>
          <w:color w:val="000000" w:themeColor="text1"/>
          <w:lang w:val="uk-UA"/>
        </w:rPr>
        <w:t>Коксохімічними підприємствами</w:t>
      </w:r>
      <w:r w:rsidRPr="00D36396">
        <w:rPr>
          <w:color w:val="000000" w:themeColor="text1"/>
          <w:lang w:val="uk-UA"/>
        </w:rPr>
        <w:t xml:space="preserve"> області вироблено 5,3 млн.</w:t>
      </w:r>
      <w:r w:rsidR="00AF2D75" w:rsidRPr="00D36396">
        <w:rPr>
          <w:color w:val="000000" w:themeColor="text1"/>
          <w:lang w:val="uk-UA"/>
        </w:rPr>
        <w:t xml:space="preserve"> </w:t>
      </w:r>
      <w:r w:rsidRPr="00D36396">
        <w:rPr>
          <w:color w:val="000000" w:themeColor="text1"/>
          <w:lang w:val="uk-UA"/>
        </w:rPr>
        <w:t>т коксу, що на 4,0% менше, ніж у І півріччі 2011 року.</w:t>
      </w:r>
      <w:r w:rsidRPr="00D36396">
        <w:rPr>
          <w:color w:val="000000" w:themeColor="text1"/>
          <w:spacing w:val="4"/>
          <w:lang w:val="uk-UA"/>
        </w:rPr>
        <w:t xml:space="preserve"> Програмою на рік передбачено приріст на 4,6%.</w:t>
      </w:r>
    </w:p>
    <w:p w:rsidR="00914F53" w:rsidRPr="00D36396" w:rsidRDefault="00914F53" w:rsidP="00C55757">
      <w:pPr>
        <w:pStyle w:val="21"/>
        <w:keepLines/>
        <w:spacing w:after="100"/>
        <w:rPr>
          <w:color w:val="000000" w:themeColor="text1"/>
          <w:spacing w:val="4"/>
          <w:szCs w:val="24"/>
        </w:rPr>
      </w:pPr>
      <w:r w:rsidRPr="00D36396">
        <w:rPr>
          <w:color w:val="000000" w:themeColor="text1"/>
        </w:rPr>
        <w:t>За І</w:t>
      </w:r>
      <w:r w:rsidR="001C0234" w:rsidRPr="00D36396">
        <w:rPr>
          <w:color w:val="000000" w:themeColor="text1"/>
        </w:rPr>
        <w:t xml:space="preserve"> півріччя</w:t>
      </w:r>
      <w:r w:rsidRPr="00D36396">
        <w:rPr>
          <w:color w:val="000000" w:themeColor="text1"/>
        </w:rPr>
        <w:t xml:space="preserve"> 2012 року отриманий від’ємний фінансовий результат від звичайної діяльності до оподаткування  в сумі </w:t>
      </w:r>
      <w:r w:rsidR="001C0234" w:rsidRPr="00D36396">
        <w:rPr>
          <w:color w:val="000000" w:themeColor="text1"/>
        </w:rPr>
        <w:t>770,7</w:t>
      </w:r>
      <w:r w:rsidRPr="00D36396">
        <w:rPr>
          <w:color w:val="000000" w:themeColor="text1"/>
        </w:rPr>
        <w:t xml:space="preserve"> </w:t>
      </w:r>
      <w:r w:rsidR="00B96CDF" w:rsidRPr="00D36396">
        <w:rPr>
          <w:color w:val="000000" w:themeColor="text1"/>
        </w:rPr>
        <w:t>млн.грн.</w:t>
      </w:r>
      <w:r w:rsidRPr="00D36396">
        <w:rPr>
          <w:color w:val="000000" w:themeColor="text1"/>
        </w:rPr>
        <w:t xml:space="preserve"> збитків (у І </w:t>
      </w:r>
      <w:r w:rsidR="001C0234" w:rsidRPr="00D36396">
        <w:rPr>
          <w:color w:val="000000" w:themeColor="text1"/>
        </w:rPr>
        <w:t xml:space="preserve">півріччі  2011 року –  </w:t>
      </w:r>
      <w:r w:rsidR="00B96CDF" w:rsidRPr="00D36396">
        <w:rPr>
          <w:color w:val="000000" w:themeColor="text1"/>
        </w:rPr>
        <w:t xml:space="preserve">              </w:t>
      </w:r>
      <w:r w:rsidR="001C0234" w:rsidRPr="00D36396">
        <w:rPr>
          <w:color w:val="000000" w:themeColor="text1"/>
        </w:rPr>
        <w:t>366,8</w:t>
      </w:r>
      <w:r w:rsidRPr="00D36396">
        <w:rPr>
          <w:color w:val="000000" w:themeColor="text1"/>
        </w:rPr>
        <w:t xml:space="preserve"> </w:t>
      </w:r>
      <w:r w:rsidR="00B96CDF" w:rsidRPr="00D36396">
        <w:rPr>
          <w:color w:val="000000" w:themeColor="text1"/>
        </w:rPr>
        <w:t>млн.грн.</w:t>
      </w:r>
      <w:r w:rsidRPr="00D36396">
        <w:rPr>
          <w:color w:val="000000" w:themeColor="text1"/>
        </w:rPr>
        <w:t xml:space="preserve"> прибутку).  </w:t>
      </w:r>
      <w:r w:rsidRPr="00D36396">
        <w:rPr>
          <w:color w:val="000000" w:themeColor="text1"/>
          <w:spacing w:val="4"/>
          <w:szCs w:val="24"/>
        </w:rPr>
        <w:t>Збитки отримали</w:t>
      </w:r>
      <w:r w:rsidR="001C0234" w:rsidRPr="00D36396">
        <w:rPr>
          <w:color w:val="000000" w:themeColor="text1"/>
          <w:spacing w:val="4"/>
          <w:szCs w:val="24"/>
        </w:rPr>
        <w:t xml:space="preserve"> 50,0</w:t>
      </w:r>
      <w:r w:rsidRPr="00D36396">
        <w:rPr>
          <w:color w:val="000000" w:themeColor="text1"/>
          <w:spacing w:val="4"/>
          <w:szCs w:val="24"/>
        </w:rPr>
        <w:t xml:space="preserve">% підприємств на суму  </w:t>
      </w:r>
      <w:r w:rsidR="001C0234" w:rsidRPr="00D36396">
        <w:rPr>
          <w:color w:val="000000" w:themeColor="text1"/>
          <w:spacing w:val="4"/>
          <w:szCs w:val="24"/>
        </w:rPr>
        <w:t xml:space="preserve">837,8 </w:t>
      </w:r>
      <w:r w:rsidR="00B96CDF" w:rsidRPr="00D36396">
        <w:rPr>
          <w:color w:val="000000" w:themeColor="text1"/>
          <w:spacing w:val="4"/>
          <w:szCs w:val="24"/>
        </w:rPr>
        <w:t>млн.грн.</w:t>
      </w:r>
    </w:p>
    <w:p w:rsidR="00914F53" w:rsidRPr="00D36396" w:rsidRDefault="00914F53" w:rsidP="00C55757">
      <w:pPr>
        <w:pStyle w:val="21"/>
        <w:keepLines/>
        <w:spacing w:after="100"/>
        <w:rPr>
          <w:color w:val="000000" w:themeColor="text1"/>
          <w:spacing w:val="4"/>
          <w:szCs w:val="24"/>
        </w:rPr>
      </w:pPr>
      <w:r w:rsidRPr="00D36396">
        <w:rPr>
          <w:color w:val="000000" w:themeColor="text1"/>
          <w:spacing w:val="4"/>
          <w:szCs w:val="24"/>
        </w:rPr>
        <w:t xml:space="preserve">У ПрАТ </w:t>
      </w:r>
      <w:r w:rsidR="00B96CDF" w:rsidRPr="00D36396">
        <w:rPr>
          <w:color w:val="000000" w:themeColor="text1"/>
          <w:spacing w:val="4"/>
          <w:szCs w:val="24"/>
        </w:rPr>
        <w:t>«</w:t>
      </w:r>
      <w:r w:rsidRPr="00D36396">
        <w:rPr>
          <w:color w:val="000000" w:themeColor="text1"/>
          <w:spacing w:val="4"/>
          <w:szCs w:val="24"/>
        </w:rPr>
        <w:t>Макіївкокс</w:t>
      </w:r>
      <w:r w:rsidR="00B96CDF" w:rsidRPr="00D36396">
        <w:rPr>
          <w:color w:val="000000" w:themeColor="text1"/>
          <w:spacing w:val="4"/>
          <w:szCs w:val="24"/>
        </w:rPr>
        <w:t>»</w:t>
      </w:r>
      <w:r w:rsidRPr="00D36396">
        <w:rPr>
          <w:color w:val="000000" w:themeColor="text1"/>
          <w:spacing w:val="4"/>
          <w:szCs w:val="24"/>
        </w:rPr>
        <w:t xml:space="preserve"> завершено будівництво цеху</w:t>
      </w:r>
      <w:r w:rsidRPr="00D36396">
        <w:rPr>
          <w:color w:val="000000" w:themeColor="text1"/>
        </w:rPr>
        <w:t xml:space="preserve"> очищення коксового газу від сірководню. Впровадження нової технології вловлювання сірководню дозволить знизити викиди сірчаних газів в атмосферу за рахунок більш глибокого ступеня очищення коксового газу.</w:t>
      </w:r>
    </w:p>
    <w:p w:rsidR="00914F53" w:rsidRPr="00D36396" w:rsidRDefault="00914F53" w:rsidP="00C55757">
      <w:pPr>
        <w:pStyle w:val="21"/>
        <w:keepLines/>
        <w:spacing w:after="100"/>
        <w:rPr>
          <w:color w:val="000000" w:themeColor="text1"/>
        </w:rPr>
      </w:pPr>
      <w:r w:rsidRPr="00D36396">
        <w:rPr>
          <w:color w:val="000000" w:themeColor="text1"/>
        </w:rPr>
        <w:t xml:space="preserve"> У </w:t>
      </w:r>
      <w:r w:rsidRPr="00D36396">
        <w:rPr>
          <w:color w:val="000000" w:themeColor="text1"/>
          <w:spacing w:val="4"/>
          <w:szCs w:val="24"/>
        </w:rPr>
        <w:t xml:space="preserve">ПАТ </w:t>
      </w:r>
      <w:r w:rsidR="00B96CDF" w:rsidRPr="00D36396">
        <w:rPr>
          <w:color w:val="000000" w:themeColor="text1"/>
          <w:spacing w:val="4"/>
          <w:szCs w:val="24"/>
        </w:rPr>
        <w:t>«</w:t>
      </w:r>
      <w:r w:rsidRPr="00D36396">
        <w:rPr>
          <w:color w:val="000000" w:themeColor="text1"/>
          <w:spacing w:val="4"/>
          <w:szCs w:val="24"/>
        </w:rPr>
        <w:t>Авдіївський коксохімічний завод</w:t>
      </w:r>
      <w:r w:rsidR="00B96CDF" w:rsidRPr="00D36396">
        <w:rPr>
          <w:color w:val="000000" w:themeColor="text1"/>
          <w:spacing w:val="4"/>
          <w:szCs w:val="24"/>
        </w:rPr>
        <w:t>»</w:t>
      </w:r>
      <w:r w:rsidRPr="00D36396">
        <w:rPr>
          <w:color w:val="000000" w:themeColor="text1"/>
          <w:spacing w:val="4"/>
          <w:szCs w:val="24"/>
        </w:rPr>
        <w:t xml:space="preserve"> продовжується капітальний ремонт коксової батареї №9, ПрАТ </w:t>
      </w:r>
      <w:r w:rsidR="00B96CDF" w:rsidRPr="00D36396">
        <w:rPr>
          <w:color w:val="000000" w:themeColor="text1"/>
          <w:spacing w:val="4"/>
          <w:szCs w:val="24"/>
        </w:rPr>
        <w:t>«</w:t>
      </w:r>
      <w:r w:rsidRPr="00D36396">
        <w:rPr>
          <w:color w:val="000000" w:themeColor="text1"/>
          <w:spacing w:val="4"/>
          <w:szCs w:val="24"/>
        </w:rPr>
        <w:t>Єнакієвський коксохімпром</w:t>
      </w:r>
      <w:r w:rsidR="00B96CDF" w:rsidRPr="00D36396">
        <w:rPr>
          <w:color w:val="000000" w:themeColor="text1"/>
          <w:spacing w:val="4"/>
          <w:szCs w:val="24"/>
        </w:rPr>
        <w:t>»</w:t>
      </w:r>
      <w:r w:rsidRPr="00D36396">
        <w:rPr>
          <w:color w:val="000000" w:themeColor="text1"/>
          <w:spacing w:val="4"/>
          <w:szCs w:val="24"/>
        </w:rPr>
        <w:t xml:space="preserve"> </w:t>
      </w:r>
      <w:r w:rsidRPr="00D36396">
        <w:rPr>
          <w:color w:val="000000" w:themeColor="text1"/>
          <w:spacing w:val="6"/>
        </w:rPr>
        <w:t>–</w:t>
      </w:r>
      <w:r w:rsidRPr="00D36396">
        <w:rPr>
          <w:color w:val="000000" w:themeColor="text1"/>
          <w:spacing w:val="4"/>
          <w:szCs w:val="24"/>
        </w:rPr>
        <w:t xml:space="preserve"> реконструкція відділення очищення коксового газу від сірководню і впровадження кінцевого газового холодильника, ПАТ </w:t>
      </w:r>
      <w:r w:rsidR="00B96CDF" w:rsidRPr="00D36396">
        <w:rPr>
          <w:color w:val="000000" w:themeColor="text1"/>
          <w:spacing w:val="4"/>
          <w:szCs w:val="24"/>
        </w:rPr>
        <w:t>«</w:t>
      </w:r>
      <w:r w:rsidRPr="00D36396">
        <w:rPr>
          <w:color w:val="000000" w:themeColor="text1"/>
          <w:spacing w:val="4"/>
          <w:szCs w:val="24"/>
        </w:rPr>
        <w:t>Ясинівський коксохімічний завод</w:t>
      </w:r>
      <w:r w:rsidR="00B96CDF" w:rsidRPr="00D36396">
        <w:rPr>
          <w:color w:val="000000" w:themeColor="text1"/>
          <w:spacing w:val="4"/>
          <w:szCs w:val="24"/>
        </w:rPr>
        <w:t>»</w:t>
      </w:r>
      <w:r w:rsidRPr="00D36396">
        <w:rPr>
          <w:color w:val="000000" w:themeColor="text1"/>
          <w:spacing w:val="4"/>
          <w:szCs w:val="24"/>
        </w:rPr>
        <w:t xml:space="preserve"> </w:t>
      </w:r>
      <w:r w:rsidRPr="00D36396">
        <w:rPr>
          <w:color w:val="000000" w:themeColor="text1"/>
          <w:spacing w:val="4"/>
        </w:rPr>
        <w:t xml:space="preserve">– </w:t>
      </w:r>
      <w:r w:rsidRPr="00D36396">
        <w:rPr>
          <w:color w:val="000000" w:themeColor="text1"/>
        </w:rPr>
        <w:t xml:space="preserve">будівництво комплексу коксової батареї №4. </w:t>
      </w:r>
    </w:p>
    <w:p w:rsidR="00914F53" w:rsidRPr="00D36396" w:rsidRDefault="00914F53" w:rsidP="00C55757">
      <w:pPr>
        <w:pStyle w:val="21"/>
        <w:keepLines/>
        <w:spacing w:after="100"/>
        <w:rPr>
          <w:color w:val="000000" w:themeColor="text1"/>
          <w:spacing w:val="4"/>
          <w:szCs w:val="24"/>
        </w:rPr>
      </w:pPr>
      <w:r w:rsidRPr="00D36396">
        <w:rPr>
          <w:color w:val="000000" w:themeColor="text1"/>
        </w:rPr>
        <w:t xml:space="preserve">Всього на реалізацію заходів Програми підприємствами металургійної та коксохімічної галузей витрачено 616,6 </w:t>
      </w:r>
      <w:r w:rsidR="00B96CDF" w:rsidRPr="00D36396">
        <w:rPr>
          <w:color w:val="000000" w:themeColor="text1"/>
        </w:rPr>
        <w:t>млн.грн.</w:t>
      </w:r>
      <w:r w:rsidR="001C0234" w:rsidRPr="00D36396">
        <w:rPr>
          <w:color w:val="000000" w:themeColor="text1"/>
        </w:rPr>
        <w:t>, або 33,1</w:t>
      </w:r>
      <w:r w:rsidRPr="00D36396">
        <w:rPr>
          <w:color w:val="000000" w:themeColor="text1"/>
        </w:rPr>
        <w:t>% від передбаченого обсягу на рік.</w:t>
      </w:r>
    </w:p>
    <w:p w:rsidR="00914F53" w:rsidRPr="00D36396" w:rsidRDefault="00914F53" w:rsidP="00C55757">
      <w:pPr>
        <w:pStyle w:val="a4"/>
        <w:keepLines/>
        <w:spacing w:after="100" w:line="240" w:lineRule="auto"/>
        <w:ind w:firstLine="709"/>
        <w:rPr>
          <w:color w:val="000000" w:themeColor="text1"/>
          <w:spacing w:val="4"/>
          <w:sz w:val="24"/>
          <w:szCs w:val="24"/>
        </w:rPr>
      </w:pPr>
      <w:r w:rsidRPr="00D36396">
        <w:rPr>
          <w:color w:val="000000" w:themeColor="text1"/>
          <w:spacing w:val="4"/>
          <w:sz w:val="24"/>
          <w:szCs w:val="24"/>
        </w:rPr>
        <w:t>В</w:t>
      </w:r>
      <w:r w:rsidRPr="00D36396">
        <w:rPr>
          <w:b/>
          <w:color w:val="000000" w:themeColor="text1"/>
          <w:spacing w:val="4"/>
          <w:sz w:val="24"/>
          <w:szCs w:val="24"/>
        </w:rPr>
        <w:t xml:space="preserve"> машинобудівному комплексі </w:t>
      </w:r>
      <w:r w:rsidRPr="00D36396">
        <w:rPr>
          <w:color w:val="000000" w:themeColor="text1"/>
          <w:spacing w:val="4"/>
          <w:sz w:val="24"/>
          <w:szCs w:val="24"/>
        </w:rPr>
        <w:t>обсяг виробництва продукції збільшився на 3,2% (Програмою на рік передбачено – на 8,0%).</w:t>
      </w:r>
    </w:p>
    <w:p w:rsidR="00914F53" w:rsidRPr="00D36396" w:rsidRDefault="00914F53" w:rsidP="00C55757">
      <w:pPr>
        <w:keepLines/>
        <w:spacing w:after="100"/>
        <w:ind w:firstLine="709"/>
        <w:jc w:val="both"/>
        <w:rPr>
          <w:color w:val="000000" w:themeColor="text1"/>
          <w:spacing w:val="4"/>
          <w:lang w:val="uk-UA"/>
        </w:rPr>
      </w:pPr>
      <w:r w:rsidRPr="00D36396">
        <w:rPr>
          <w:color w:val="000000" w:themeColor="text1"/>
          <w:spacing w:val="4"/>
          <w:lang w:val="uk-UA"/>
        </w:rPr>
        <w:t>Зросло виробництво апаратури електричної високовольтної в 5,6 рази, коксового обладнання – в 1,5 рази, комбайнів очисних – на 41,2%, плит кухонних газових – на 4,0%, приладів для вимірювання фізичних та хімічних величин – на 2,2%.</w:t>
      </w:r>
    </w:p>
    <w:p w:rsidR="00914F53" w:rsidRPr="00D36396" w:rsidRDefault="00914F53" w:rsidP="00C55757">
      <w:pPr>
        <w:keepLines/>
        <w:spacing w:after="100"/>
        <w:ind w:firstLine="709"/>
        <w:jc w:val="both"/>
        <w:rPr>
          <w:color w:val="000000" w:themeColor="text1"/>
          <w:spacing w:val="4"/>
          <w:lang w:val="uk-UA"/>
        </w:rPr>
      </w:pPr>
      <w:r w:rsidRPr="00D36396">
        <w:rPr>
          <w:color w:val="000000" w:themeColor="text1"/>
          <w:spacing w:val="4"/>
          <w:lang w:val="uk-UA"/>
        </w:rPr>
        <w:t xml:space="preserve">Скоротився випуск конвеєрів та підйомників безперервної дії для підземних робіт  на 54,2%, обладнання для ливарного виробництва – на 41,9%, пральних машин –                  на 35,9%, електродвигунів – на 23,7%, холодильників побутових – на 18,1%, прохідницьких комбайнів – на 8,7%, вагонів вантажних – на 8,6%. </w:t>
      </w:r>
    </w:p>
    <w:p w:rsidR="00914F53" w:rsidRPr="00D36396" w:rsidRDefault="00914F53" w:rsidP="00C55757">
      <w:pPr>
        <w:pStyle w:val="a4"/>
        <w:keepLines/>
        <w:spacing w:after="100" w:line="240" w:lineRule="auto"/>
        <w:ind w:firstLine="709"/>
        <w:rPr>
          <w:color w:val="000000" w:themeColor="text1"/>
          <w:spacing w:val="4"/>
          <w:sz w:val="24"/>
          <w:szCs w:val="24"/>
        </w:rPr>
      </w:pPr>
      <w:r w:rsidRPr="00D36396">
        <w:rPr>
          <w:color w:val="000000" w:themeColor="text1"/>
          <w:spacing w:val="4"/>
          <w:sz w:val="24"/>
          <w:szCs w:val="24"/>
        </w:rPr>
        <w:t xml:space="preserve">В цілому по галузі за І </w:t>
      </w:r>
      <w:r w:rsidR="001C0234" w:rsidRPr="00D36396">
        <w:rPr>
          <w:color w:val="000000" w:themeColor="text1"/>
          <w:sz w:val="24"/>
          <w:szCs w:val="24"/>
        </w:rPr>
        <w:t>півріччя</w:t>
      </w:r>
      <w:r w:rsidR="001C0234" w:rsidRPr="00D36396">
        <w:rPr>
          <w:color w:val="000000" w:themeColor="text1"/>
          <w:spacing w:val="4"/>
          <w:sz w:val="24"/>
          <w:szCs w:val="24"/>
        </w:rPr>
        <w:t xml:space="preserve"> </w:t>
      </w:r>
      <w:r w:rsidRPr="00D36396">
        <w:rPr>
          <w:color w:val="000000" w:themeColor="text1"/>
          <w:spacing w:val="4"/>
          <w:sz w:val="24"/>
          <w:szCs w:val="24"/>
        </w:rPr>
        <w:t xml:space="preserve">2012 року отриманий позитивний фінансовий результат від звичайної діяльності в сумі </w:t>
      </w:r>
      <w:r w:rsidR="004B3930" w:rsidRPr="00D36396">
        <w:rPr>
          <w:color w:val="000000" w:themeColor="text1"/>
          <w:spacing w:val="4"/>
          <w:sz w:val="24"/>
          <w:szCs w:val="24"/>
        </w:rPr>
        <w:t xml:space="preserve">442,4 </w:t>
      </w:r>
      <w:r w:rsidR="00B96CDF" w:rsidRPr="00D36396">
        <w:rPr>
          <w:color w:val="000000" w:themeColor="text1"/>
          <w:spacing w:val="4"/>
          <w:sz w:val="24"/>
          <w:szCs w:val="24"/>
        </w:rPr>
        <w:t>млн.грн.</w:t>
      </w:r>
      <w:r w:rsidRPr="00D36396">
        <w:rPr>
          <w:color w:val="000000" w:themeColor="text1"/>
          <w:spacing w:val="4"/>
          <w:sz w:val="24"/>
          <w:szCs w:val="24"/>
        </w:rPr>
        <w:t xml:space="preserve"> прибутку, в тому числі по підприємствах з виробництва транспортних засобів та устаткування –</w:t>
      </w:r>
      <w:r w:rsidR="004B3930" w:rsidRPr="00D36396">
        <w:rPr>
          <w:color w:val="000000" w:themeColor="text1"/>
          <w:spacing w:val="4"/>
          <w:sz w:val="24"/>
          <w:szCs w:val="24"/>
        </w:rPr>
        <w:t xml:space="preserve"> 454,7 </w:t>
      </w:r>
      <w:r w:rsidR="00B96CDF" w:rsidRPr="00D36396">
        <w:rPr>
          <w:color w:val="000000" w:themeColor="text1"/>
          <w:spacing w:val="4"/>
          <w:sz w:val="24"/>
          <w:szCs w:val="24"/>
        </w:rPr>
        <w:t>млн.грн.</w:t>
      </w:r>
      <w:r w:rsidRPr="00D36396">
        <w:rPr>
          <w:color w:val="000000" w:themeColor="text1"/>
          <w:spacing w:val="4"/>
          <w:sz w:val="24"/>
          <w:szCs w:val="24"/>
        </w:rPr>
        <w:t>, з виробництва електричного, електронн</w:t>
      </w:r>
      <w:r w:rsidR="004B3930" w:rsidRPr="00D36396">
        <w:rPr>
          <w:color w:val="000000" w:themeColor="text1"/>
          <w:spacing w:val="4"/>
          <w:sz w:val="24"/>
          <w:szCs w:val="24"/>
        </w:rPr>
        <w:t>ого та оптичного устаткування – 11,4</w:t>
      </w:r>
      <w:r w:rsidRPr="00D36396">
        <w:rPr>
          <w:color w:val="000000" w:themeColor="text1"/>
          <w:spacing w:val="4"/>
          <w:sz w:val="24"/>
          <w:szCs w:val="24"/>
        </w:rPr>
        <w:t xml:space="preserve"> </w:t>
      </w:r>
      <w:r w:rsidR="00B96CDF" w:rsidRPr="00D36396">
        <w:rPr>
          <w:color w:val="000000" w:themeColor="text1"/>
          <w:spacing w:val="4"/>
          <w:sz w:val="24"/>
          <w:szCs w:val="24"/>
        </w:rPr>
        <w:t>млн.грн.</w:t>
      </w:r>
    </w:p>
    <w:p w:rsidR="00914F53" w:rsidRPr="00D36396" w:rsidRDefault="00914F53" w:rsidP="00C55757">
      <w:pPr>
        <w:pStyle w:val="a4"/>
        <w:keepLines/>
        <w:spacing w:after="100" w:line="240" w:lineRule="auto"/>
        <w:ind w:firstLine="709"/>
        <w:rPr>
          <w:color w:val="000000" w:themeColor="text1"/>
          <w:spacing w:val="4"/>
          <w:sz w:val="24"/>
          <w:szCs w:val="24"/>
        </w:rPr>
      </w:pPr>
      <w:r w:rsidRPr="00D36396">
        <w:rPr>
          <w:color w:val="000000" w:themeColor="text1"/>
          <w:spacing w:val="4"/>
          <w:sz w:val="24"/>
          <w:szCs w:val="24"/>
        </w:rPr>
        <w:lastRenderedPageBreak/>
        <w:t xml:space="preserve">Підприємствами з виробництва машин та устаткування одержаний від’ємний фінансовий результат у сумі </w:t>
      </w:r>
      <w:r w:rsidR="004B3930" w:rsidRPr="00D36396">
        <w:rPr>
          <w:color w:val="000000" w:themeColor="text1"/>
          <w:spacing w:val="4"/>
          <w:sz w:val="24"/>
          <w:szCs w:val="24"/>
        </w:rPr>
        <w:t xml:space="preserve">23,7 </w:t>
      </w:r>
      <w:r w:rsidR="00B96CDF" w:rsidRPr="00D36396">
        <w:rPr>
          <w:color w:val="000000" w:themeColor="text1"/>
          <w:spacing w:val="4"/>
          <w:sz w:val="24"/>
          <w:szCs w:val="24"/>
        </w:rPr>
        <w:t>млн.грн.</w:t>
      </w:r>
      <w:r w:rsidRPr="00D36396">
        <w:rPr>
          <w:color w:val="000000" w:themeColor="text1"/>
          <w:spacing w:val="4"/>
          <w:sz w:val="24"/>
          <w:szCs w:val="24"/>
        </w:rPr>
        <w:t xml:space="preserve"> збитків (у І </w:t>
      </w:r>
      <w:r w:rsidR="004B3930" w:rsidRPr="00D36396">
        <w:rPr>
          <w:color w:val="000000" w:themeColor="text1"/>
          <w:spacing w:val="4"/>
          <w:sz w:val="24"/>
          <w:szCs w:val="24"/>
        </w:rPr>
        <w:t>півріччі</w:t>
      </w:r>
      <w:r w:rsidRPr="00D36396">
        <w:rPr>
          <w:color w:val="000000" w:themeColor="text1"/>
          <w:spacing w:val="4"/>
          <w:sz w:val="24"/>
          <w:szCs w:val="24"/>
        </w:rPr>
        <w:t xml:space="preserve"> 2011 року – </w:t>
      </w:r>
      <w:r w:rsidR="004B3930" w:rsidRPr="00D36396">
        <w:rPr>
          <w:color w:val="000000" w:themeColor="text1"/>
          <w:spacing w:val="4"/>
          <w:sz w:val="24"/>
          <w:szCs w:val="24"/>
        </w:rPr>
        <w:t>54,2</w:t>
      </w:r>
      <w:r w:rsidRPr="00D36396">
        <w:rPr>
          <w:color w:val="000000" w:themeColor="text1"/>
          <w:spacing w:val="4"/>
          <w:sz w:val="24"/>
          <w:szCs w:val="24"/>
        </w:rPr>
        <w:t xml:space="preserve"> </w:t>
      </w:r>
      <w:r w:rsidR="00B96CDF" w:rsidRPr="00D36396">
        <w:rPr>
          <w:color w:val="000000" w:themeColor="text1"/>
          <w:spacing w:val="4"/>
          <w:sz w:val="24"/>
          <w:szCs w:val="24"/>
        </w:rPr>
        <w:t>млн.грн.</w:t>
      </w:r>
      <w:r w:rsidR="004B3930" w:rsidRPr="00D36396">
        <w:rPr>
          <w:color w:val="000000" w:themeColor="text1"/>
          <w:spacing w:val="4"/>
          <w:sz w:val="24"/>
          <w:szCs w:val="24"/>
        </w:rPr>
        <w:t xml:space="preserve"> прибутку</w:t>
      </w:r>
      <w:r w:rsidR="00880E36" w:rsidRPr="00D36396">
        <w:rPr>
          <w:color w:val="000000" w:themeColor="text1"/>
          <w:spacing w:val="4"/>
          <w:sz w:val="24"/>
          <w:szCs w:val="24"/>
        </w:rPr>
        <w:t>). Збитки отримали 41,8</w:t>
      </w:r>
      <w:r w:rsidRPr="00D36396">
        <w:rPr>
          <w:color w:val="000000" w:themeColor="text1"/>
          <w:spacing w:val="4"/>
          <w:sz w:val="24"/>
          <w:szCs w:val="24"/>
        </w:rPr>
        <w:t xml:space="preserve">% підприємств на суму </w:t>
      </w:r>
      <w:r w:rsidR="00880E36" w:rsidRPr="00D36396">
        <w:rPr>
          <w:color w:val="000000" w:themeColor="text1"/>
          <w:spacing w:val="4"/>
          <w:sz w:val="24"/>
          <w:szCs w:val="24"/>
        </w:rPr>
        <w:t>167,0</w:t>
      </w:r>
      <w:r w:rsidRPr="00D36396">
        <w:rPr>
          <w:color w:val="000000" w:themeColor="text1"/>
          <w:spacing w:val="4"/>
          <w:sz w:val="24"/>
          <w:szCs w:val="24"/>
        </w:rPr>
        <w:t xml:space="preserve"> </w:t>
      </w:r>
      <w:r w:rsidR="00B96CDF" w:rsidRPr="00D36396">
        <w:rPr>
          <w:color w:val="000000" w:themeColor="text1"/>
          <w:spacing w:val="4"/>
          <w:sz w:val="24"/>
          <w:szCs w:val="24"/>
        </w:rPr>
        <w:t>млн.грн.</w:t>
      </w:r>
    </w:p>
    <w:p w:rsidR="00914F53" w:rsidRPr="00D36396" w:rsidRDefault="00914F53" w:rsidP="00C55757">
      <w:pPr>
        <w:pStyle w:val="a4"/>
        <w:keepLines/>
        <w:spacing w:after="100" w:line="240" w:lineRule="auto"/>
        <w:ind w:firstLine="709"/>
        <w:rPr>
          <w:color w:val="000000" w:themeColor="text1"/>
          <w:spacing w:val="4"/>
          <w:sz w:val="24"/>
          <w:szCs w:val="24"/>
        </w:rPr>
      </w:pPr>
      <w:r w:rsidRPr="00D36396">
        <w:rPr>
          <w:color w:val="000000" w:themeColor="text1"/>
          <w:spacing w:val="4"/>
          <w:sz w:val="24"/>
          <w:szCs w:val="24"/>
        </w:rPr>
        <w:t xml:space="preserve"> Провідними підприємствами галузі на реалізацію заходів Програми  витрачено                   246,7 </w:t>
      </w:r>
      <w:r w:rsidR="00B96CDF" w:rsidRPr="00D36396">
        <w:rPr>
          <w:color w:val="000000" w:themeColor="text1"/>
          <w:spacing w:val="4"/>
          <w:sz w:val="24"/>
          <w:szCs w:val="24"/>
        </w:rPr>
        <w:t>млн.грн.</w:t>
      </w:r>
      <w:r w:rsidRPr="00D36396">
        <w:rPr>
          <w:color w:val="000000" w:themeColor="text1"/>
          <w:spacing w:val="4"/>
          <w:sz w:val="24"/>
          <w:szCs w:val="24"/>
        </w:rPr>
        <w:t xml:space="preserve"> власних інвестицій, або 59,</w:t>
      </w:r>
      <w:r w:rsidR="00ED0A57" w:rsidRPr="00D36396">
        <w:rPr>
          <w:color w:val="000000" w:themeColor="text1"/>
          <w:spacing w:val="4"/>
          <w:sz w:val="24"/>
          <w:szCs w:val="24"/>
        </w:rPr>
        <w:t>4</w:t>
      </w:r>
      <w:r w:rsidRPr="00D36396">
        <w:rPr>
          <w:color w:val="000000" w:themeColor="text1"/>
          <w:spacing w:val="4"/>
          <w:sz w:val="24"/>
          <w:szCs w:val="24"/>
        </w:rPr>
        <w:t>% від запланованого обсягу на рік.</w:t>
      </w:r>
    </w:p>
    <w:p w:rsidR="00914F53" w:rsidRPr="00D36396" w:rsidRDefault="00914F53" w:rsidP="00C55757">
      <w:pPr>
        <w:spacing w:after="120"/>
        <w:ind w:firstLine="720"/>
        <w:jc w:val="both"/>
        <w:rPr>
          <w:color w:val="000000" w:themeColor="text1"/>
          <w:lang w:val="uk-UA"/>
        </w:rPr>
      </w:pPr>
      <w:r w:rsidRPr="00D36396">
        <w:rPr>
          <w:color w:val="000000" w:themeColor="text1"/>
          <w:lang w:val="uk-UA"/>
        </w:rPr>
        <w:t xml:space="preserve">У ПАТ </w:t>
      </w:r>
      <w:r w:rsidR="00B96CDF" w:rsidRPr="00D36396">
        <w:rPr>
          <w:color w:val="000000" w:themeColor="text1"/>
          <w:lang w:val="uk-UA"/>
        </w:rPr>
        <w:t>«</w:t>
      </w:r>
      <w:r w:rsidRPr="00D36396">
        <w:rPr>
          <w:color w:val="000000" w:themeColor="text1"/>
          <w:lang w:val="uk-UA"/>
        </w:rPr>
        <w:t>Новокраматорський машзавод</w:t>
      </w:r>
      <w:r w:rsidR="00B96CDF" w:rsidRPr="00D36396">
        <w:rPr>
          <w:color w:val="000000" w:themeColor="text1"/>
          <w:lang w:val="uk-UA"/>
        </w:rPr>
        <w:t>»</w:t>
      </w:r>
      <w:r w:rsidRPr="00D36396">
        <w:rPr>
          <w:color w:val="000000" w:themeColor="text1"/>
          <w:lang w:val="uk-UA"/>
        </w:rPr>
        <w:t xml:space="preserve"> проведено реконструкцію 3 нагрівальних печей.   У ВАТ </w:t>
      </w:r>
      <w:r w:rsidR="00B96CDF" w:rsidRPr="00D36396">
        <w:rPr>
          <w:color w:val="000000" w:themeColor="text1"/>
          <w:lang w:val="uk-UA"/>
        </w:rPr>
        <w:t>«</w:t>
      </w:r>
      <w:r w:rsidRPr="00D36396">
        <w:rPr>
          <w:color w:val="000000" w:themeColor="text1"/>
          <w:lang w:val="uk-UA"/>
        </w:rPr>
        <w:t>Грета</w:t>
      </w:r>
      <w:r w:rsidR="00B96CDF" w:rsidRPr="00D36396">
        <w:rPr>
          <w:color w:val="000000" w:themeColor="text1"/>
          <w:lang w:val="uk-UA"/>
        </w:rPr>
        <w:t>»</w:t>
      </w:r>
      <w:r w:rsidRPr="00D36396">
        <w:rPr>
          <w:color w:val="000000" w:themeColor="text1"/>
          <w:lang w:val="uk-UA"/>
        </w:rPr>
        <w:t xml:space="preserve"> впроваджено технологію штампування деталей на автоматичному комплексі італійського виробництва </w:t>
      </w:r>
      <w:r w:rsidR="00482116" w:rsidRPr="00D36396">
        <w:rPr>
          <w:color w:val="000000" w:themeColor="text1"/>
          <w:lang w:val="uk-UA"/>
        </w:rPr>
        <w:t xml:space="preserve">МСХ-4000 зусиллям 400 тонн. </w:t>
      </w:r>
      <w:r w:rsidRPr="00D36396">
        <w:rPr>
          <w:color w:val="000000" w:themeColor="text1"/>
          <w:lang w:val="uk-UA"/>
        </w:rPr>
        <w:t xml:space="preserve">У </w:t>
      </w:r>
      <w:r w:rsidR="009D7945" w:rsidRPr="00D36396">
        <w:rPr>
          <w:color w:val="000000" w:themeColor="text1"/>
          <w:lang w:val="uk-UA"/>
        </w:rPr>
        <w:t xml:space="preserve">                                          </w:t>
      </w:r>
      <w:r w:rsidRPr="00D36396">
        <w:rPr>
          <w:color w:val="000000" w:themeColor="text1"/>
          <w:lang w:val="uk-UA"/>
        </w:rPr>
        <w:t xml:space="preserve">ПАТ </w:t>
      </w:r>
      <w:r w:rsidR="00B96CDF" w:rsidRPr="00D36396">
        <w:rPr>
          <w:color w:val="000000" w:themeColor="text1"/>
          <w:lang w:val="uk-UA"/>
        </w:rPr>
        <w:t>«</w:t>
      </w:r>
      <w:r w:rsidRPr="00D36396">
        <w:rPr>
          <w:color w:val="000000" w:themeColor="text1"/>
          <w:lang w:val="uk-UA"/>
        </w:rPr>
        <w:t>Енергомашспецсталь</w:t>
      </w:r>
      <w:r w:rsidR="00B96CDF" w:rsidRPr="00D36396">
        <w:rPr>
          <w:color w:val="000000" w:themeColor="text1"/>
          <w:lang w:val="uk-UA"/>
        </w:rPr>
        <w:t>»</w:t>
      </w:r>
      <w:r w:rsidRPr="00D36396">
        <w:rPr>
          <w:color w:val="000000" w:themeColor="text1"/>
          <w:lang w:val="uk-UA"/>
        </w:rPr>
        <w:t xml:space="preserve"> введено в експлуатацію 10 металообробних верстатів,  продовжується реконструкція електросталеплавильного виробництва.</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Обсяг виробництва в </w:t>
      </w:r>
      <w:r w:rsidRPr="00D36396">
        <w:rPr>
          <w:b/>
          <w:color w:val="000000" w:themeColor="text1"/>
          <w:lang w:val="uk-UA"/>
        </w:rPr>
        <w:t>хімічній та нафтохімічній промисловості</w:t>
      </w:r>
      <w:r w:rsidRPr="00D36396">
        <w:rPr>
          <w:color w:val="000000" w:themeColor="text1"/>
          <w:lang w:val="uk-UA"/>
        </w:rPr>
        <w:t xml:space="preserve"> збільшився на 11,5% (Програмою на рік передбачено – на 3,0%).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Зріс випуск мінеральних добрив  на 22,1%, аміаку синтетичного – на 21,7%,  мила</w:t>
      </w:r>
      <w:r w:rsidR="00247305" w:rsidRPr="00D36396">
        <w:rPr>
          <w:color w:val="000000" w:themeColor="text1"/>
          <w:lang w:val="uk-UA"/>
        </w:rPr>
        <w:t xml:space="preserve"> туалетного та господарського, відповідно, на 12,7</w:t>
      </w:r>
      <w:r w:rsidRPr="00D36396">
        <w:rPr>
          <w:color w:val="000000" w:themeColor="text1"/>
          <w:lang w:val="uk-UA"/>
        </w:rPr>
        <w:t>%</w:t>
      </w:r>
      <w:r w:rsidR="00247305" w:rsidRPr="00D36396">
        <w:rPr>
          <w:color w:val="000000" w:themeColor="text1"/>
          <w:lang w:val="uk-UA"/>
        </w:rPr>
        <w:t xml:space="preserve"> та 2,5%</w:t>
      </w:r>
      <w:r w:rsidRPr="00D36396">
        <w:rPr>
          <w:color w:val="000000" w:themeColor="text1"/>
          <w:lang w:val="uk-UA"/>
        </w:rPr>
        <w:t>, фарб та лаків – на 7,7%, препаратів лікарських – на 33,9%. Скоротилось виробництво сірчаної кислоти  на 36,4%, пластмас у первинних формах – на 1,9%.</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За І </w:t>
      </w:r>
      <w:r w:rsidR="00247305" w:rsidRPr="00D36396">
        <w:rPr>
          <w:color w:val="000000" w:themeColor="text1"/>
          <w:lang w:val="uk-UA"/>
        </w:rPr>
        <w:t>півріччя</w:t>
      </w:r>
      <w:r w:rsidRPr="00D36396">
        <w:rPr>
          <w:color w:val="000000" w:themeColor="text1"/>
          <w:lang w:val="uk-UA"/>
        </w:rPr>
        <w:t xml:space="preserve"> 2012 року підприємствами галузі  отриманий від’ємний фінансовий результат від звичайної діяльності до оподаткування у сумі </w:t>
      </w:r>
      <w:r w:rsidR="00247305" w:rsidRPr="00D36396">
        <w:rPr>
          <w:color w:val="000000" w:themeColor="text1"/>
          <w:lang w:val="uk-UA"/>
        </w:rPr>
        <w:t>1270,2</w:t>
      </w:r>
      <w:r w:rsidR="009D7945" w:rsidRPr="00D36396">
        <w:rPr>
          <w:color w:val="000000" w:themeColor="text1"/>
          <w:lang w:val="uk-UA"/>
        </w:rPr>
        <w:t xml:space="preserve"> </w:t>
      </w:r>
      <w:r w:rsidR="00B96CDF" w:rsidRPr="00D36396">
        <w:rPr>
          <w:color w:val="000000" w:themeColor="text1"/>
          <w:lang w:val="uk-UA"/>
        </w:rPr>
        <w:t>млн.грн.</w:t>
      </w:r>
      <w:r w:rsidRPr="00D36396">
        <w:rPr>
          <w:color w:val="000000" w:themeColor="text1"/>
          <w:lang w:val="uk-UA"/>
        </w:rPr>
        <w:t xml:space="preserve"> збитків                        (у І </w:t>
      </w:r>
      <w:r w:rsidR="00247305" w:rsidRPr="00D36396">
        <w:rPr>
          <w:color w:val="000000" w:themeColor="text1"/>
          <w:lang w:val="uk-UA"/>
        </w:rPr>
        <w:t>півріччі</w:t>
      </w:r>
      <w:r w:rsidRPr="00D36396">
        <w:rPr>
          <w:color w:val="000000" w:themeColor="text1"/>
          <w:lang w:val="uk-UA"/>
        </w:rPr>
        <w:t xml:space="preserve"> 2011 року – </w:t>
      </w:r>
      <w:r w:rsidR="00247305" w:rsidRPr="00D36396">
        <w:rPr>
          <w:color w:val="000000" w:themeColor="text1"/>
          <w:lang w:val="uk-UA"/>
        </w:rPr>
        <w:t>111,5</w:t>
      </w:r>
      <w:r w:rsidRPr="00D36396">
        <w:rPr>
          <w:color w:val="000000" w:themeColor="text1"/>
          <w:lang w:val="uk-UA"/>
        </w:rPr>
        <w:t xml:space="preserve"> </w:t>
      </w:r>
      <w:r w:rsidR="00B96CDF" w:rsidRPr="00D36396">
        <w:rPr>
          <w:color w:val="000000" w:themeColor="text1"/>
          <w:lang w:val="uk-UA"/>
        </w:rPr>
        <w:t>млн.грн.</w:t>
      </w:r>
      <w:r w:rsidRPr="00D36396">
        <w:rPr>
          <w:color w:val="000000" w:themeColor="text1"/>
          <w:lang w:val="uk-UA"/>
        </w:rPr>
        <w:t xml:space="preserve"> збитків). Збитки отримали </w:t>
      </w:r>
      <w:r w:rsidR="00247305" w:rsidRPr="00D36396">
        <w:rPr>
          <w:color w:val="000000" w:themeColor="text1"/>
          <w:lang w:val="uk-UA"/>
        </w:rPr>
        <w:t>38,5</w:t>
      </w:r>
      <w:r w:rsidRPr="00D36396">
        <w:rPr>
          <w:color w:val="000000" w:themeColor="text1"/>
          <w:lang w:val="uk-UA"/>
        </w:rPr>
        <w:t xml:space="preserve">% підприємств на суму </w:t>
      </w:r>
      <w:r w:rsidR="00247305" w:rsidRPr="00D36396">
        <w:rPr>
          <w:color w:val="000000" w:themeColor="text1"/>
          <w:lang w:val="uk-UA"/>
        </w:rPr>
        <w:t>1311,6</w:t>
      </w:r>
      <w:r w:rsidRPr="00D36396">
        <w:rPr>
          <w:color w:val="000000" w:themeColor="text1"/>
          <w:lang w:val="uk-UA"/>
        </w:rPr>
        <w:t xml:space="preserve"> </w:t>
      </w:r>
      <w:r w:rsidR="00B96CDF" w:rsidRPr="00D36396">
        <w:rPr>
          <w:color w:val="000000" w:themeColor="text1"/>
          <w:lang w:val="uk-UA"/>
        </w:rPr>
        <w:t>млн.грн.</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У </w:t>
      </w:r>
      <w:r w:rsidRPr="00D36396">
        <w:rPr>
          <w:b/>
          <w:color w:val="000000" w:themeColor="text1"/>
          <w:lang w:val="uk-UA"/>
        </w:rPr>
        <w:t xml:space="preserve">вугільній промисловості </w:t>
      </w:r>
      <w:r w:rsidRPr="00D36396">
        <w:rPr>
          <w:color w:val="000000" w:themeColor="text1"/>
          <w:lang w:val="uk-UA"/>
        </w:rPr>
        <w:t>обсяг виробництва продукції у порівнянних цінах зріс на 10,7% (Програмою на рік передбачено – на 1,2%). Видобуток вугілля зріс на 7,5%, виробництво готового вугілля – на 10,7% (15,9 млн.</w:t>
      </w:r>
      <w:r w:rsidR="00AF2D75" w:rsidRPr="00D36396">
        <w:rPr>
          <w:color w:val="000000" w:themeColor="text1"/>
          <w:lang w:val="uk-UA"/>
        </w:rPr>
        <w:t xml:space="preserve"> </w:t>
      </w:r>
      <w:r w:rsidRPr="00D36396">
        <w:rPr>
          <w:color w:val="000000" w:themeColor="text1"/>
          <w:lang w:val="uk-UA"/>
        </w:rPr>
        <w:t>т).</w:t>
      </w:r>
    </w:p>
    <w:tbl>
      <w:tblPr>
        <w:tblW w:w="0" w:type="auto"/>
        <w:tblLook w:val="01E0"/>
      </w:tblPr>
      <w:tblGrid>
        <w:gridCol w:w="9854"/>
      </w:tblGrid>
      <w:tr w:rsidR="004D5ACA" w:rsidRPr="00D36396" w:rsidTr="004E6538">
        <w:tc>
          <w:tcPr>
            <w:tcW w:w="9854" w:type="dxa"/>
          </w:tcPr>
          <w:p w:rsidR="004D5ACA" w:rsidRPr="00D36396" w:rsidRDefault="004D5ACA" w:rsidP="004E6538">
            <w:pPr>
              <w:spacing w:after="120"/>
              <w:ind w:firstLine="720"/>
              <w:jc w:val="center"/>
              <w:rPr>
                <w:b/>
                <w:color w:val="000000" w:themeColor="text1"/>
                <w:lang w:val="uk-UA"/>
              </w:rPr>
            </w:pPr>
            <w:r w:rsidRPr="00D36396">
              <w:rPr>
                <w:b/>
                <w:color w:val="000000" w:themeColor="text1"/>
                <w:lang w:val="uk-UA"/>
              </w:rPr>
              <w:t>Динаміка видобутку вугілля, млн.</w:t>
            </w:r>
          </w:p>
        </w:tc>
      </w:tr>
      <w:tr w:rsidR="004D5ACA" w:rsidRPr="00D36396" w:rsidTr="004E6538">
        <w:tc>
          <w:tcPr>
            <w:tcW w:w="9854" w:type="dxa"/>
          </w:tcPr>
          <w:p w:rsidR="004D5ACA" w:rsidRPr="00D36396" w:rsidRDefault="00050D9A" w:rsidP="004E6538">
            <w:pPr>
              <w:spacing w:after="120"/>
              <w:jc w:val="center"/>
              <w:rPr>
                <w:color w:val="000000" w:themeColor="text1"/>
                <w:lang w:val="uk-UA"/>
              </w:rPr>
            </w:pPr>
            <w:r w:rsidRPr="00D36396">
              <w:rPr>
                <w:noProof/>
                <w:color w:val="000000" w:themeColor="text1"/>
              </w:rPr>
              <w:drawing>
                <wp:inline distT="0" distB="0" distL="0" distR="0">
                  <wp:extent cx="5988818" cy="1818751"/>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14F53" w:rsidRPr="00D36396" w:rsidRDefault="00914F53" w:rsidP="00914F53">
      <w:pPr>
        <w:spacing w:after="120"/>
        <w:jc w:val="both"/>
        <w:rPr>
          <w:color w:val="000000" w:themeColor="text1"/>
          <w:lang w:val="uk-UA"/>
        </w:rPr>
      </w:pPr>
      <w:r w:rsidRPr="00D36396">
        <w:rPr>
          <w:color w:val="000000" w:themeColor="text1"/>
          <w:lang w:val="uk-UA"/>
        </w:rPr>
        <w:tab/>
        <w:t>З початку року в експлуатацію введено 17 очисних вибоїв, що на 5 вибоїв менше, ніж за відповідний період 2011 року. У зв’язку з відпрацюванням запасів вибуло з роботи            19 вибоїв (на 4 менше).</w:t>
      </w:r>
    </w:p>
    <w:p w:rsidR="00914F53" w:rsidRPr="00D36396" w:rsidRDefault="00914F53" w:rsidP="00914F53">
      <w:pPr>
        <w:spacing w:after="120"/>
        <w:ind w:firstLine="720"/>
        <w:jc w:val="both"/>
        <w:rPr>
          <w:color w:val="000000" w:themeColor="text1"/>
          <w:lang w:val="uk-UA"/>
        </w:rPr>
      </w:pPr>
      <w:r w:rsidRPr="00D36396">
        <w:rPr>
          <w:rStyle w:val="FontStyle12"/>
          <w:color w:val="000000" w:themeColor="text1"/>
          <w:sz w:val="24"/>
          <w:szCs w:val="24"/>
          <w:lang w:val="uk-UA" w:eastAsia="uk-UA"/>
        </w:rPr>
        <w:t xml:space="preserve">Економіка підприємств галузі залишається незбалансованою, витрати на виробництво вугільної продукції не покриваються надходженням коштів від її реалізації. </w:t>
      </w:r>
      <w:r w:rsidRPr="00D36396">
        <w:rPr>
          <w:color w:val="000000" w:themeColor="text1"/>
          <w:lang w:val="uk-UA"/>
        </w:rPr>
        <w:t>Собівартість 1 тонни вугільної продукції по вуглевидобувних підприємствах області, підпорядкованих Міненерговуглепрому України, за січень-травень склала 1181,83 грн. при ціні реалізації 622,69 грн. (різниця – 559,14 грн.).</w:t>
      </w:r>
    </w:p>
    <w:p w:rsidR="00914F53" w:rsidRPr="00D36396" w:rsidRDefault="00914F53" w:rsidP="00914F53">
      <w:pPr>
        <w:spacing w:after="120"/>
        <w:ind w:firstLine="720"/>
        <w:jc w:val="both"/>
        <w:rPr>
          <w:rStyle w:val="FontStyle12"/>
          <w:color w:val="000000" w:themeColor="text1"/>
          <w:sz w:val="24"/>
          <w:szCs w:val="24"/>
          <w:lang w:val="uk-UA" w:eastAsia="uk-UA"/>
        </w:rPr>
      </w:pPr>
      <w:r w:rsidRPr="00D36396">
        <w:rPr>
          <w:color w:val="000000" w:themeColor="text1"/>
          <w:lang w:val="uk-UA"/>
        </w:rPr>
        <w:t xml:space="preserve">За І </w:t>
      </w:r>
      <w:r w:rsidR="00247305" w:rsidRPr="00D36396">
        <w:rPr>
          <w:color w:val="000000" w:themeColor="text1"/>
          <w:lang w:val="uk-UA"/>
        </w:rPr>
        <w:t>півріччя</w:t>
      </w:r>
      <w:r w:rsidRPr="00D36396">
        <w:rPr>
          <w:color w:val="000000" w:themeColor="text1"/>
          <w:lang w:val="uk-UA"/>
        </w:rPr>
        <w:t xml:space="preserve"> 2012 року фінансовий результат від звичайної діяльності </w:t>
      </w:r>
      <w:r w:rsidR="009D7945" w:rsidRPr="00D36396">
        <w:rPr>
          <w:color w:val="000000" w:themeColor="text1"/>
          <w:lang w:val="uk-UA"/>
        </w:rPr>
        <w:t xml:space="preserve">                                 </w:t>
      </w:r>
      <w:r w:rsidRPr="00D36396">
        <w:rPr>
          <w:color w:val="000000" w:themeColor="text1"/>
          <w:lang w:val="uk-UA"/>
        </w:rPr>
        <w:t>до оподаткування в цілому по галузі</w:t>
      </w:r>
      <w:r w:rsidRPr="00D36396">
        <w:rPr>
          <w:rStyle w:val="FontStyle12"/>
          <w:color w:val="000000" w:themeColor="text1"/>
          <w:sz w:val="24"/>
          <w:szCs w:val="24"/>
          <w:lang w:val="uk-UA" w:eastAsia="uk-UA"/>
        </w:rPr>
        <w:t xml:space="preserve"> від’ємний – </w:t>
      </w:r>
      <w:r w:rsidR="00247305" w:rsidRPr="00D36396">
        <w:rPr>
          <w:rStyle w:val="FontStyle12"/>
          <w:color w:val="000000" w:themeColor="text1"/>
          <w:sz w:val="24"/>
          <w:szCs w:val="24"/>
          <w:lang w:val="uk-UA" w:eastAsia="uk-UA"/>
        </w:rPr>
        <w:t>703,1</w:t>
      </w:r>
      <w:r w:rsidRPr="00D36396">
        <w:rPr>
          <w:rStyle w:val="FontStyle12"/>
          <w:color w:val="000000" w:themeColor="text1"/>
          <w:sz w:val="24"/>
          <w:szCs w:val="24"/>
          <w:lang w:val="uk-UA" w:eastAsia="uk-UA"/>
        </w:rPr>
        <w:t xml:space="preserve"> </w:t>
      </w:r>
      <w:r w:rsidR="00B96CDF" w:rsidRPr="00D36396">
        <w:rPr>
          <w:rStyle w:val="FontStyle12"/>
          <w:color w:val="000000" w:themeColor="text1"/>
          <w:sz w:val="24"/>
          <w:szCs w:val="24"/>
          <w:lang w:val="uk-UA" w:eastAsia="uk-UA"/>
        </w:rPr>
        <w:t>млн.грн.</w:t>
      </w:r>
      <w:r w:rsidRPr="00D36396">
        <w:rPr>
          <w:rStyle w:val="FontStyle12"/>
          <w:color w:val="000000" w:themeColor="text1"/>
          <w:sz w:val="24"/>
          <w:szCs w:val="24"/>
          <w:lang w:val="uk-UA" w:eastAsia="uk-UA"/>
        </w:rPr>
        <w:t xml:space="preserve"> </w:t>
      </w:r>
      <w:r w:rsidR="009D7945" w:rsidRPr="00D36396">
        <w:rPr>
          <w:rStyle w:val="FontStyle12"/>
          <w:color w:val="000000" w:themeColor="text1"/>
          <w:sz w:val="24"/>
          <w:szCs w:val="24"/>
          <w:lang w:val="uk-UA" w:eastAsia="uk-UA"/>
        </w:rPr>
        <w:t xml:space="preserve">збитків (у І </w:t>
      </w:r>
      <w:r w:rsidR="00247305" w:rsidRPr="00D36396">
        <w:rPr>
          <w:rStyle w:val="FontStyle12"/>
          <w:color w:val="000000" w:themeColor="text1"/>
          <w:sz w:val="24"/>
          <w:szCs w:val="24"/>
          <w:lang w:val="uk-UA" w:eastAsia="uk-UA"/>
        </w:rPr>
        <w:t>півріччі</w:t>
      </w:r>
      <w:r w:rsidR="009D7945" w:rsidRPr="00D36396">
        <w:rPr>
          <w:rStyle w:val="FontStyle12"/>
          <w:color w:val="000000" w:themeColor="text1"/>
          <w:sz w:val="24"/>
          <w:szCs w:val="24"/>
          <w:lang w:val="uk-UA" w:eastAsia="uk-UA"/>
        </w:rPr>
        <w:t xml:space="preserve">                2011 року </w:t>
      </w:r>
      <w:r w:rsidRPr="00D36396">
        <w:rPr>
          <w:rStyle w:val="FontStyle12"/>
          <w:color w:val="000000" w:themeColor="text1"/>
          <w:sz w:val="24"/>
          <w:szCs w:val="24"/>
          <w:lang w:val="uk-UA" w:eastAsia="uk-UA"/>
        </w:rPr>
        <w:t xml:space="preserve">– </w:t>
      </w:r>
      <w:r w:rsidR="00247305" w:rsidRPr="00D36396">
        <w:rPr>
          <w:rStyle w:val="FontStyle12"/>
          <w:color w:val="000000" w:themeColor="text1"/>
          <w:sz w:val="24"/>
          <w:szCs w:val="24"/>
          <w:lang w:val="uk-UA" w:eastAsia="uk-UA"/>
        </w:rPr>
        <w:t>56,6</w:t>
      </w:r>
      <w:r w:rsidRPr="00D36396">
        <w:rPr>
          <w:rStyle w:val="FontStyle12"/>
          <w:color w:val="000000" w:themeColor="text1"/>
          <w:sz w:val="24"/>
          <w:szCs w:val="24"/>
          <w:lang w:val="uk-UA" w:eastAsia="uk-UA"/>
        </w:rPr>
        <w:t xml:space="preserve"> </w:t>
      </w:r>
      <w:r w:rsidR="00B96CDF" w:rsidRPr="00D36396">
        <w:rPr>
          <w:rStyle w:val="FontStyle12"/>
          <w:color w:val="000000" w:themeColor="text1"/>
          <w:sz w:val="24"/>
          <w:szCs w:val="24"/>
          <w:lang w:val="uk-UA" w:eastAsia="uk-UA"/>
        </w:rPr>
        <w:t>млн.грн.</w:t>
      </w:r>
      <w:r w:rsidRPr="00D36396">
        <w:rPr>
          <w:rStyle w:val="FontStyle12"/>
          <w:color w:val="000000" w:themeColor="text1"/>
          <w:sz w:val="24"/>
          <w:szCs w:val="24"/>
          <w:lang w:val="uk-UA" w:eastAsia="uk-UA"/>
        </w:rPr>
        <w:t xml:space="preserve"> </w:t>
      </w:r>
      <w:r w:rsidR="00247305" w:rsidRPr="00D36396">
        <w:rPr>
          <w:rStyle w:val="FontStyle12"/>
          <w:color w:val="000000" w:themeColor="text1"/>
          <w:sz w:val="24"/>
          <w:szCs w:val="24"/>
          <w:lang w:val="uk-UA" w:eastAsia="uk-UA"/>
        </w:rPr>
        <w:t>прибутку</w:t>
      </w:r>
      <w:r w:rsidRPr="00D36396">
        <w:rPr>
          <w:rStyle w:val="FontStyle12"/>
          <w:color w:val="000000" w:themeColor="text1"/>
          <w:sz w:val="24"/>
          <w:szCs w:val="24"/>
          <w:lang w:val="uk-UA" w:eastAsia="uk-UA"/>
        </w:rPr>
        <w:t xml:space="preserve">). Збитки отримали </w:t>
      </w:r>
      <w:r w:rsidR="00247305" w:rsidRPr="00D36396">
        <w:rPr>
          <w:rStyle w:val="FontStyle12"/>
          <w:color w:val="000000" w:themeColor="text1"/>
          <w:sz w:val="24"/>
          <w:szCs w:val="24"/>
          <w:lang w:val="uk-UA" w:eastAsia="uk-UA"/>
        </w:rPr>
        <w:t>54</w:t>
      </w:r>
      <w:r w:rsidRPr="00D36396">
        <w:rPr>
          <w:rStyle w:val="FontStyle12"/>
          <w:color w:val="000000" w:themeColor="text1"/>
          <w:sz w:val="24"/>
          <w:szCs w:val="24"/>
          <w:lang w:val="uk-UA" w:eastAsia="uk-UA"/>
        </w:rPr>
        <w:t xml:space="preserve">,1% підприємств на суму </w:t>
      </w:r>
      <w:r w:rsidR="009D7945" w:rsidRPr="00D36396">
        <w:rPr>
          <w:rStyle w:val="FontStyle12"/>
          <w:color w:val="000000" w:themeColor="text1"/>
          <w:sz w:val="24"/>
          <w:szCs w:val="24"/>
          <w:lang w:val="uk-UA" w:eastAsia="uk-UA"/>
        </w:rPr>
        <w:t xml:space="preserve">                    </w:t>
      </w:r>
      <w:r w:rsidR="00247305" w:rsidRPr="00D36396">
        <w:rPr>
          <w:rStyle w:val="FontStyle12"/>
          <w:color w:val="000000" w:themeColor="text1"/>
          <w:sz w:val="24"/>
          <w:szCs w:val="24"/>
          <w:lang w:val="uk-UA" w:eastAsia="uk-UA"/>
        </w:rPr>
        <w:t>1390,2</w:t>
      </w:r>
      <w:r w:rsidRPr="00D36396">
        <w:rPr>
          <w:rStyle w:val="FontStyle12"/>
          <w:color w:val="000000" w:themeColor="text1"/>
          <w:sz w:val="24"/>
          <w:szCs w:val="24"/>
          <w:lang w:val="uk-UA" w:eastAsia="uk-UA"/>
        </w:rPr>
        <w:t xml:space="preserve"> </w:t>
      </w:r>
      <w:r w:rsidR="00B96CDF" w:rsidRPr="00D36396">
        <w:rPr>
          <w:rStyle w:val="FontStyle12"/>
          <w:color w:val="000000" w:themeColor="text1"/>
          <w:sz w:val="24"/>
          <w:szCs w:val="24"/>
          <w:lang w:val="uk-UA" w:eastAsia="uk-UA"/>
        </w:rPr>
        <w:t>млн.грн.</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lastRenderedPageBreak/>
        <w:t xml:space="preserve">За січень-червень поточного року на підприємства вугільної промисловості з державного бюджету надійшло 2958,5 </w:t>
      </w:r>
      <w:r w:rsidR="00B96CDF" w:rsidRPr="00D36396">
        <w:rPr>
          <w:color w:val="000000" w:themeColor="text1"/>
          <w:lang w:val="uk-UA"/>
        </w:rPr>
        <w:t>млн.грн.</w:t>
      </w:r>
      <w:r w:rsidRPr="00D36396">
        <w:rPr>
          <w:color w:val="000000" w:themeColor="text1"/>
          <w:lang w:val="uk-UA"/>
        </w:rPr>
        <w:t xml:space="preserve"> (на 752,5 </w:t>
      </w:r>
      <w:r w:rsidR="00B96CDF" w:rsidRPr="00D36396">
        <w:rPr>
          <w:color w:val="000000" w:themeColor="text1"/>
          <w:lang w:val="uk-UA"/>
        </w:rPr>
        <w:t>млн.грн.</w:t>
      </w:r>
      <w:r w:rsidRPr="00D36396">
        <w:rPr>
          <w:color w:val="000000" w:themeColor="text1"/>
          <w:lang w:val="uk-UA"/>
        </w:rPr>
        <w:t xml:space="preserve"> більше, ніж за січень-червень 2011 року), у тому числі держпідтримки на часткове покриття витрат на собівартість продукції – 2539,8 </w:t>
      </w:r>
      <w:r w:rsidR="00B96CDF" w:rsidRPr="00D36396">
        <w:rPr>
          <w:color w:val="000000" w:themeColor="text1"/>
          <w:lang w:val="uk-UA"/>
        </w:rPr>
        <w:t>млн.грн.</w:t>
      </w:r>
      <w:r w:rsidRPr="00D36396">
        <w:rPr>
          <w:color w:val="000000" w:themeColor="text1"/>
          <w:lang w:val="uk-UA"/>
        </w:rPr>
        <w:t xml:space="preserve"> (на 689,1 </w:t>
      </w:r>
      <w:r w:rsidR="00B96CDF" w:rsidRPr="00D36396">
        <w:rPr>
          <w:color w:val="000000" w:themeColor="text1"/>
          <w:lang w:val="uk-UA"/>
        </w:rPr>
        <w:t>млн.грн.</w:t>
      </w:r>
      <w:r w:rsidRPr="00D36396">
        <w:rPr>
          <w:color w:val="000000" w:themeColor="text1"/>
          <w:lang w:val="uk-UA"/>
        </w:rPr>
        <w:t xml:space="preserve"> більше), на будівництво об’єктів –                27,5 </w:t>
      </w:r>
      <w:r w:rsidR="00B96CDF" w:rsidRPr="00D36396">
        <w:rPr>
          <w:color w:val="000000" w:themeColor="text1"/>
          <w:lang w:val="uk-UA"/>
        </w:rPr>
        <w:t>млн.грн.</w:t>
      </w:r>
      <w:r w:rsidRPr="00D36396">
        <w:rPr>
          <w:color w:val="000000" w:themeColor="text1"/>
          <w:lang w:val="uk-UA"/>
        </w:rPr>
        <w:t xml:space="preserve"> (на 6,8 </w:t>
      </w:r>
      <w:r w:rsidR="00B96CDF" w:rsidRPr="00D36396">
        <w:rPr>
          <w:color w:val="000000" w:themeColor="text1"/>
          <w:lang w:val="uk-UA"/>
        </w:rPr>
        <w:t>млн.грн.</w:t>
      </w:r>
      <w:r w:rsidRPr="00D36396">
        <w:rPr>
          <w:color w:val="000000" w:themeColor="text1"/>
          <w:lang w:val="uk-UA"/>
        </w:rPr>
        <w:t xml:space="preserve"> менше), на технічне переоснащення підприємств кошти не надходили.</w:t>
      </w:r>
    </w:p>
    <w:p w:rsidR="00914F53" w:rsidRPr="00D36396" w:rsidRDefault="00914F53" w:rsidP="009D7945">
      <w:pPr>
        <w:spacing w:after="120"/>
        <w:ind w:firstLine="720"/>
        <w:jc w:val="both"/>
        <w:rPr>
          <w:color w:val="000000" w:themeColor="text1"/>
          <w:lang w:val="uk-UA"/>
        </w:rPr>
      </w:pPr>
      <w:r w:rsidRPr="00D36396">
        <w:rPr>
          <w:bCs/>
          <w:color w:val="000000" w:themeColor="text1"/>
          <w:lang w:val="uk-UA"/>
        </w:rPr>
        <w:t>В стадії ліквідації</w:t>
      </w:r>
      <w:r w:rsidRPr="00D36396">
        <w:rPr>
          <w:color w:val="000000" w:themeColor="text1"/>
          <w:lang w:val="uk-UA"/>
        </w:rPr>
        <w:t xml:space="preserve"> знаходиться 52 гірничих підприємства (50 шахт і 2 збагачувальні фабрики). Лише на 12 шахтах  ліквідаційні роботи завершені в повному обсязі. Протягом січня-червня поточного року на заходи з ліквідації гірничих підприємств з держбюджету надійшло 184,1 </w:t>
      </w:r>
      <w:r w:rsidR="00B96CDF" w:rsidRPr="00D36396">
        <w:rPr>
          <w:color w:val="000000" w:themeColor="text1"/>
          <w:lang w:val="uk-UA"/>
        </w:rPr>
        <w:t>млн.грн.</w:t>
      </w:r>
      <w:r w:rsidRPr="00D36396">
        <w:rPr>
          <w:color w:val="000000" w:themeColor="text1"/>
          <w:lang w:val="uk-UA"/>
        </w:rPr>
        <w:t>, або 31,2% від за</w:t>
      </w:r>
      <w:r w:rsidR="009D7945" w:rsidRPr="00D36396">
        <w:rPr>
          <w:color w:val="000000" w:themeColor="text1"/>
          <w:lang w:val="uk-UA"/>
        </w:rPr>
        <w:t>твердженого обсягу фінансування</w:t>
      </w:r>
      <w:r w:rsidRPr="00D36396">
        <w:rPr>
          <w:color w:val="000000" w:themeColor="text1"/>
          <w:lang w:val="uk-UA"/>
        </w:rPr>
        <w:t xml:space="preserve"> на рік –                     589,2 </w:t>
      </w:r>
      <w:r w:rsidR="00B96CDF" w:rsidRPr="00D36396">
        <w:rPr>
          <w:color w:val="000000" w:themeColor="text1"/>
          <w:lang w:val="uk-UA"/>
        </w:rPr>
        <w:t>млн.грн.</w:t>
      </w:r>
      <w:r w:rsidRPr="00D36396">
        <w:rPr>
          <w:color w:val="000000" w:themeColor="text1"/>
          <w:lang w:val="uk-UA"/>
        </w:rPr>
        <w:t xml:space="preserve"> (потреба на 2012 рік –  916,9 </w:t>
      </w:r>
      <w:r w:rsidR="00B96CDF" w:rsidRPr="00D36396">
        <w:rPr>
          <w:color w:val="000000" w:themeColor="text1"/>
          <w:lang w:val="uk-UA"/>
        </w:rPr>
        <w:t>млн.грн.</w:t>
      </w:r>
      <w:r w:rsidRPr="00D36396">
        <w:rPr>
          <w:color w:val="000000" w:themeColor="text1"/>
          <w:lang w:val="uk-UA"/>
        </w:rPr>
        <w:t xml:space="preserve">).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На заходи, передбачені Програмою, підприємствами галузі спрямовано                   290,2 </w:t>
      </w:r>
      <w:r w:rsidR="00B96CDF" w:rsidRPr="00D36396">
        <w:rPr>
          <w:color w:val="000000" w:themeColor="text1"/>
          <w:lang w:val="uk-UA"/>
        </w:rPr>
        <w:t>млн.грн.</w:t>
      </w:r>
      <w:r w:rsidRPr="00D36396">
        <w:rPr>
          <w:color w:val="000000" w:themeColor="text1"/>
          <w:lang w:val="uk-UA"/>
        </w:rPr>
        <w:t xml:space="preserve">, або 8,8% від запланованого обсягу на рік, в тому числі 205,5 </w:t>
      </w:r>
      <w:r w:rsidR="00B96CDF" w:rsidRPr="00D36396">
        <w:rPr>
          <w:color w:val="000000" w:themeColor="text1"/>
          <w:lang w:val="uk-UA"/>
        </w:rPr>
        <w:t>млн.грн.</w:t>
      </w:r>
      <w:r w:rsidRPr="00D36396">
        <w:rPr>
          <w:color w:val="000000" w:themeColor="text1"/>
          <w:lang w:val="uk-UA"/>
        </w:rPr>
        <w:t xml:space="preserve"> –  власних коштів, 27,5 </w:t>
      </w:r>
      <w:r w:rsidR="00B96CDF" w:rsidRPr="00D36396">
        <w:rPr>
          <w:color w:val="000000" w:themeColor="text1"/>
          <w:lang w:val="uk-UA"/>
        </w:rPr>
        <w:t>млн.грн.</w:t>
      </w:r>
      <w:r w:rsidRPr="00D36396">
        <w:rPr>
          <w:color w:val="000000" w:themeColor="text1"/>
          <w:lang w:val="uk-UA"/>
        </w:rPr>
        <w:t xml:space="preserve">  –  з державного бюджету, 57,2 </w:t>
      </w:r>
      <w:r w:rsidR="00B96CDF" w:rsidRPr="00D36396">
        <w:rPr>
          <w:color w:val="000000" w:themeColor="text1"/>
          <w:lang w:val="uk-UA"/>
        </w:rPr>
        <w:t>млн.грн.</w:t>
      </w:r>
      <w:r w:rsidRPr="00D36396">
        <w:rPr>
          <w:color w:val="000000" w:themeColor="text1"/>
          <w:lang w:val="uk-UA"/>
        </w:rPr>
        <w:t xml:space="preserve"> – з інших джерел.</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В</w:t>
      </w:r>
      <w:r w:rsidRPr="00D36396">
        <w:rPr>
          <w:b/>
          <w:color w:val="000000" w:themeColor="text1"/>
          <w:lang w:val="uk-UA"/>
        </w:rPr>
        <w:t xml:space="preserve"> електроенергетиці</w:t>
      </w:r>
      <w:r w:rsidRPr="00D36396">
        <w:rPr>
          <w:color w:val="000000" w:themeColor="text1"/>
          <w:lang w:val="uk-UA"/>
        </w:rPr>
        <w:t xml:space="preserve"> обсяг виробництва та розподілення електроенергії                        у порівнянних цінах збільшився на 2,4% (Програмою на рік передбачено </w:t>
      </w:r>
      <w:r w:rsidRPr="00D36396">
        <w:rPr>
          <w:color w:val="000000" w:themeColor="text1"/>
          <w:spacing w:val="4"/>
          <w:lang w:val="uk-UA"/>
        </w:rPr>
        <w:t>– на 5,0%</w:t>
      </w:r>
      <w:r w:rsidRPr="00D36396">
        <w:rPr>
          <w:color w:val="000000" w:themeColor="text1"/>
          <w:lang w:val="uk-UA"/>
        </w:rPr>
        <w:t>). Виробництво електроенергії зросло на 1,7% і склало 14,7 млрд.кВт</w:t>
      </w:r>
      <w:r w:rsidR="00AF2D75" w:rsidRPr="00D36396">
        <w:rPr>
          <w:color w:val="000000" w:themeColor="text1"/>
          <w:lang w:val="uk-UA"/>
        </w:rPr>
        <w:t xml:space="preserve"> </w:t>
      </w:r>
      <w:r w:rsidRPr="00D36396">
        <w:rPr>
          <w:color w:val="000000" w:themeColor="text1"/>
          <w:lang w:val="uk-UA"/>
        </w:rPr>
        <w:t>год.</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Обсяг споживання електроенергії, без втрат в електромережах, склав                                  12,2 млрд.кВт</w:t>
      </w:r>
      <w:r w:rsidR="00AF2D75" w:rsidRPr="00D36396">
        <w:rPr>
          <w:color w:val="000000" w:themeColor="text1"/>
          <w:lang w:val="uk-UA"/>
        </w:rPr>
        <w:t xml:space="preserve"> </w:t>
      </w:r>
      <w:r w:rsidRPr="00D36396">
        <w:rPr>
          <w:color w:val="000000" w:themeColor="text1"/>
          <w:lang w:val="uk-UA"/>
        </w:rPr>
        <w:t xml:space="preserve">год., що на 1,9% менше, ніж у </w:t>
      </w:r>
      <w:r w:rsidR="008F588C" w:rsidRPr="00D36396">
        <w:rPr>
          <w:color w:val="000000" w:themeColor="text1"/>
          <w:lang w:val="uk-UA"/>
        </w:rPr>
        <w:t xml:space="preserve">першому </w:t>
      </w:r>
      <w:r w:rsidRPr="00D36396">
        <w:rPr>
          <w:color w:val="000000" w:themeColor="text1"/>
          <w:lang w:val="uk-UA"/>
        </w:rPr>
        <w:t xml:space="preserve">півріччі 2011 року,  в основному, за рахунок  скорочення електроспоживання в промисловому комплексі на 4,4% (в металургії – на 12,0%).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Рівень використання потужностей теплоелектростанцій ПАТ </w:t>
      </w:r>
      <w:r w:rsidR="00B96CDF" w:rsidRPr="00D36396">
        <w:rPr>
          <w:color w:val="000000" w:themeColor="text1"/>
          <w:lang w:val="uk-UA"/>
        </w:rPr>
        <w:t>«</w:t>
      </w:r>
      <w:r w:rsidRPr="00D36396">
        <w:rPr>
          <w:color w:val="000000" w:themeColor="text1"/>
          <w:lang w:val="uk-UA"/>
        </w:rPr>
        <w:t>Донбасенерго</w:t>
      </w:r>
      <w:r w:rsidR="00B96CDF" w:rsidRPr="00D36396">
        <w:rPr>
          <w:color w:val="000000" w:themeColor="text1"/>
          <w:lang w:val="uk-UA"/>
        </w:rPr>
        <w:t>»</w:t>
      </w:r>
      <w:r w:rsidRPr="00D36396">
        <w:rPr>
          <w:color w:val="000000" w:themeColor="text1"/>
          <w:lang w:val="uk-UA"/>
        </w:rPr>
        <w:t xml:space="preserve"> складав 38,9%, ТОВ</w:t>
      </w:r>
      <w:r w:rsidR="009D7945"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Східенерго</w:t>
      </w:r>
      <w:r w:rsidR="00B96CDF" w:rsidRPr="00D36396">
        <w:rPr>
          <w:color w:val="000000" w:themeColor="text1"/>
          <w:lang w:val="uk-UA"/>
        </w:rPr>
        <w:t>»</w:t>
      </w:r>
      <w:r w:rsidRPr="00D36396">
        <w:rPr>
          <w:color w:val="000000" w:themeColor="text1"/>
          <w:lang w:val="uk-UA"/>
        </w:rPr>
        <w:t xml:space="preserve"> – 51,5%,  Вуглегірської ТЕС – 18,6%.</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Рівень оплати за спожиту електроенергію в цілому по області становив 90,9%, що на 1,4 відс. пунктів нижче рівня січня-червня 2011 року.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Низьким залишається рівень розрахунків КП </w:t>
      </w:r>
      <w:r w:rsidR="00B96CDF" w:rsidRPr="00D36396">
        <w:rPr>
          <w:color w:val="000000" w:themeColor="text1"/>
          <w:lang w:val="uk-UA"/>
        </w:rPr>
        <w:t>«</w:t>
      </w:r>
      <w:r w:rsidRPr="00D36396">
        <w:rPr>
          <w:color w:val="000000" w:themeColor="text1"/>
          <w:lang w:val="uk-UA"/>
        </w:rPr>
        <w:t xml:space="preserve">Компанія </w:t>
      </w:r>
      <w:r w:rsidR="00B96CDF" w:rsidRPr="00D36396">
        <w:rPr>
          <w:color w:val="000000" w:themeColor="text1"/>
          <w:lang w:val="uk-UA"/>
        </w:rPr>
        <w:t>«</w:t>
      </w:r>
      <w:r w:rsidRPr="00D36396">
        <w:rPr>
          <w:color w:val="000000" w:themeColor="text1"/>
          <w:lang w:val="uk-UA"/>
        </w:rPr>
        <w:t>Вода Донбасу</w:t>
      </w:r>
      <w:r w:rsidR="00B96CDF" w:rsidRPr="00D36396">
        <w:rPr>
          <w:color w:val="000000" w:themeColor="text1"/>
          <w:lang w:val="uk-UA"/>
        </w:rPr>
        <w:t>»</w:t>
      </w:r>
      <w:r w:rsidRPr="00D36396">
        <w:rPr>
          <w:color w:val="000000" w:themeColor="text1"/>
          <w:lang w:val="uk-UA"/>
        </w:rPr>
        <w:t xml:space="preserve"> (28,9%). Підприємства вугільної галузі розрахувалися на 72,4%, металургійної – на 99,8%, хімічної – на 99,4%. Населення оплатило розрахунки за спожиту електроенергію в повному обсязі.</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З метою забезпечення повних розрахунків за спожиту електроенергію та підвищення надійності електропостачання споживачів протягом року облдержадміністрацією проведено 8 засідань обласної енергетичної комісії, 2 засідання територіальної комісії з питань погашення заборгованості підприємств паливно-енергетичного комплексу та 7 робочих нарад.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В ціл</w:t>
      </w:r>
      <w:r w:rsidR="00247305" w:rsidRPr="00D36396">
        <w:rPr>
          <w:color w:val="000000" w:themeColor="text1"/>
          <w:lang w:val="uk-UA"/>
        </w:rPr>
        <w:t>ому по галузі за січень-червень</w:t>
      </w:r>
      <w:r w:rsidRPr="00D36396">
        <w:rPr>
          <w:color w:val="000000" w:themeColor="text1"/>
          <w:lang w:val="uk-UA"/>
        </w:rPr>
        <w:t xml:space="preserve"> 2012 року фінансовий результат від звичайної діяльності до оподаткування позитивний </w:t>
      </w:r>
      <w:r w:rsidRPr="00D36396">
        <w:rPr>
          <w:color w:val="000000" w:themeColor="text1"/>
          <w:spacing w:val="4"/>
          <w:lang w:val="uk-UA"/>
        </w:rPr>
        <w:t xml:space="preserve">– </w:t>
      </w:r>
      <w:r w:rsidR="007D4C2F" w:rsidRPr="00D36396">
        <w:rPr>
          <w:color w:val="000000" w:themeColor="text1"/>
          <w:spacing w:val="4"/>
          <w:lang w:val="uk-UA"/>
        </w:rPr>
        <w:t>1214,3</w:t>
      </w:r>
      <w:r w:rsidRPr="00D36396">
        <w:rPr>
          <w:color w:val="000000" w:themeColor="text1"/>
          <w:lang w:val="uk-UA"/>
        </w:rPr>
        <w:t xml:space="preserve"> </w:t>
      </w:r>
      <w:r w:rsidR="00B96CDF" w:rsidRPr="00D36396">
        <w:rPr>
          <w:color w:val="000000" w:themeColor="text1"/>
          <w:lang w:val="uk-UA"/>
        </w:rPr>
        <w:t>млн.грн.</w:t>
      </w:r>
      <w:r w:rsidRPr="00D36396">
        <w:rPr>
          <w:color w:val="000000" w:themeColor="text1"/>
          <w:lang w:val="uk-UA"/>
        </w:rPr>
        <w:t xml:space="preserve"> прибутку (у січні-</w:t>
      </w:r>
      <w:r w:rsidR="007D4C2F" w:rsidRPr="00D36396">
        <w:rPr>
          <w:color w:val="000000" w:themeColor="text1"/>
          <w:lang w:val="uk-UA"/>
        </w:rPr>
        <w:t>червні</w:t>
      </w:r>
      <w:r w:rsidRPr="00D36396">
        <w:rPr>
          <w:color w:val="000000" w:themeColor="text1"/>
          <w:lang w:val="uk-UA"/>
        </w:rPr>
        <w:t xml:space="preserve">                 2011 року – </w:t>
      </w:r>
      <w:r w:rsidR="007D4C2F" w:rsidRPr="00D36396">
        <w:rPr>
          <w:color w:val="000000" w:themeColor="text1"/>
          <w:lang w:val="uk-UA"/>
        </w:rPr>
        <w:t xml:space="preserve">1950,1 </w:t>
      </w:r>
      <w:r w:rsidR="00B96CDF" w:rsidRPr="00D36396">
        <w:rPr>
          <w:color w:val="000000" w:themeColor="text1"/>
          <w:lang w:val="uk-UA"/>
        </w:rPr>
        <w:t>млн.грн.</w:t>
      </w:r>
      <w:r w:rsidRPr="00D36396">
        <w:rPr>
          <w:color w:val="000000" w:themeColor="text1"/>
          <w:lang w:val="uk-UA"/>
        </w:rPr>
        <w:t xml:space="preserve"> прибутку). Збитки отримали </w:t>
      </w:r>
      <w:r w:rsidR="007D4C2F" w:rsidRPr="00D36396">
        <w:rPr>
          <w:color w:val="000000" w:themeColor="text1"/>
          <w:lang w:val="uk-UA"/>
        </w:rPr>
        <w:t>38,5</w:t>
      </w:r>
      <w:r w:rsidRPr="00D36396">
        <w:rPr>
          <w:color w:val="000000" w:themeColor="text1"/>
          <w:lang w:val="uk-UA"/>
        </w:rPr>
        <w:t xml:space="preserve">% підприємств на суму                  </w:t>
      </w:r>
      <w:r w:rsidR="007D4C2F" w:rsidRPr="00D36396">
        <w:rPr>
          <w:color w:val="000000" w:themeColor="text1"/>
          <w:lang w:val="uk-UA"/>
        </w:rPr>
        <w:t>32,8</w:t>
      </w:r>
      <w:r w:rsidRPr="00D36396">
        <w:rPr>
          <w:color w:val="000000" w:themeColor="text1"/>
          <w:lang w:val="uk-UA"/>
        </w:rPr>
        <w:t xml:space="preserve"> </w:t>
      </w:r>
      <w:r w:rsidR="00B96CDF" w:rsidRPr="00D36396">
        <w:rPr>
          <w:color w:val="000000" w:themeColor="text1"/>
          <w:lang w:val="uk-UA"/>
        </w:rPr>
        <w:t>млн.грн.</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Через дефіцит обігових коштів на реалізацію заходів щодо забезпечення сталої роботи технологічного обладнання та розподільчих мереж підприємствами галузі спрямовано               190,5 млн.грн., або 17,1% від передбачених обсягів на рік.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На Зуївській та Курахівській теплоелектростанціях ТОВ </w:t>
      </w:r>
      <w:r w:rsidR="00B96CDF" w:rsidRPr="00D36396">
        <w:rPr>
          <w:color w:val="000000" w:themeColor="text1"/>
          <w:lang w:val="uk-UA"/>
        </w:rPr>
        <w:t>«</w:t>
      </w:r>
      <w:r w:rsidRPr="00D36396">
        <w:rPr>
          <w:color w:val="000000" w:themeColor="text1"/>
          <w:lang w:val="uk-UA"/>
        </w:rPr>
        <w:t>Східенерго</w:t>
      </w:r>
      <w:r w:rsidR="00B96CDF" w:rsidRPr="00D36396">
        <w:rPr>
          <w:color w:val="000000" w:themeColor="text1"/>
          <w:lang w:val="uk-UA"/>
        </w:rPr>
        <w:t>»</w:t>
      </w:r>
      <w:r w:rsidRPr="00D36396">
        <w:rPr>
          <w:color w:val="000000" w:themeColor="text1"/>
          <w:lang w:val="uk-UA"/>
        </w:rPr>
        <w:t xml:space="preserve"> здійснювалась реконструкція енергоблоків №4 і №6 відповідно (витрачено 95,5 </w:t>
      </w:r>
      <w:r w:rsidR="00B96CDF" w:rsidRPr="00D36396">
        <w:rPr>
          <w:color w:val="000000" w:themeColor="text1"/>
          <w:lang w:val="uk-UA"/>
        </w:rPr>
        <w:t>млн.грн.</w:t>
      </w:r>
      <w:r w:rsidRPr="00D36396">
        <w:rPr>
          <w:color w:val="000000" w:themeColor="text1"/>
          <w:lang w:val="uk-UA"/>
        </w:rPr>
        <w:t xml:space="preserve">).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На будівництво та реконструкцію ліній електропередачі напругою 0,4-330 кВ використано 14,1 </w:t>
      </w:r>
      <w:r w:rsidR="00B96CDF" w:rsidRPr="00D36396">
        <w:rPr>
          <w:color w:val="000000" w:themeColor="text1"/>
          <w:lang w:val="uk-UA"/>
        </w:rPr>
        <w:t>млн.грн.</w:t>
      </w:r>
      <w:r w:rsidRPr="00D36396">
        <w:rPr>
          <w:color w:val="000000" w:themeColor="text1"/>
          <w:lang w:val="uk-UA"/>
        </w:rPr>
        <w:t xml:space="preserve">, модернізацію електрообладнання підстанцій напругою </w:t>
      </w:r>
      <w:r w:rsidR="009D7945" w:rsidRPr="00D36396">
        <w:rPr>
          <w:color w:val="000000" w:themeColor="text1"/>
          <w:lang w:val="uk-UA"/>
        </w:rPr>
        <w:t xml:space="preserve">                          </w:t>
      </w:r>
      <w:r w:rsidRPr="00D36396">
        <w:rPr>
          <w:color w:val="000000" w:themeColor="text1"/>
          <w:lang w:val="uk-UA"/>
        </w:rPr>
        <w:t xml:space="preserve">0,1-220 кВ –  49,8 </w:t>
      </w:r>
      <w:r w:rsidR="00B96CDF" w:rsidRPr="00D36396">
        <w:rPr>
          <w:color w:val="000000" w:themeColor="text1"/>
          <w:lang w:val="uk-UA"/>
        </w:rPr>
        <w:t>млн.грн.</w:t>
      </w:r>
      <w:r w:rsidRPr="00D36396">
        <w:rPr>
          <w:color w:val="000000" w:themeColor="text1"/>
          <w:lang w:val="uk-UA"/>
        </w:rPr>
        <w:t xml:space="preserve"> </w:t>
      </w:r>
    </w:p>
    <w:p w:rsidR="00914F53" w:rsidRPr="00D36396" w:rsidRDefault="00914F53" w:rsidP="00914F53">
      <w:pPr>
        <w:pStyle w:val="21"/>
        <w:keepNext/>
        <w:keepLines/>
        <w:spacing w:after="100"/>
        <w:rPr>
          <w:color w:val="000000" w:themeColor="text1"/>
          <w:szCs w:val="24"/>
        </w:rPr>
      </w:pPr>
      <w:r w:rsidRPr="00D36396">
        <w:rPr>
          <w:color w:val="000000" w:themeColor="text1"/>
          <w:szCs w:val="24"/>
        </w:rPr>
        <w:lastRenderedPageBreak/>
        <w:t xml:space="preserve">З метою підвищення достовірності обліку споживання електроенергії населенням ПАТ </w:t>
      </w:r>
      <w:r w:rsidR="00B96CDF" w:rsidRPr="00D36396">
        <w:rPr>
          <w:color w:val="000000" w:themeColor="text1"/>
          <w:szCs w:val="24"/>
        </w:rPr>
        <w:t>«</w:t>
      </w:r>
      <w:r w:rsidRPr="00D36396">
        <w:rPr>
          <w:color w:val="000000" w:themeColor="text1"/>
          <w:szCs w:val="24"/>
        </w:rPr>
        <w:t>ДТЕК Донецькобленерго</w:t>
      </w:r>
      <w:r w:rsidR="00B96CDF" w:rsidRPr="00D36396">
        <w:rPr>
          <w:color w:val="000000" w:themeColor="text1"/>
          <w:szCs w:val="24"/>
        </w:rPr>
        <w:t>»</w:t>
      </w:r>
      <w:r w:rsidRPr="00D36396">
        <w:rPr>
          <w:color w:val="000000" w:themeColor="text1"/>
          <w:szCs w:val="24"/>
        </w:rPr>
        <w:t xml:space="preserve">  продовжувався винос одно- і тр</w:t>
      </w:r>
      <w:r w:rsidR="00B96CDF" w:rsidRPr="00D36396">
        <w:rPr>
          <w:color w:val="000000" w:themeColor="text1"/>
          <w:szCs w:val="24"/>
        </w:rPr>
        <w:t>ьох</w:t>
      </w:r>
      <w:r w:rsidRPr="00D36396">
        <w:rPr>
          <w:color w:val="000000" w:themeColor="text1"/>
          <w:szCs w:val="24"/>
        </w:rPr>
        <w:t xml:space="preserve">фазних приладів обліку на фасади будинків (витрачено 12,5 </w:t>
      </w:r>
      <w:r w:rsidR="00B96CDF" w:rsidRPr="00D36396">
        <w:rPr>
          <w:color w:val="000000" w:themeColor="text1"/>
          <w:szCs w:val="24"/>
        </w:rPr>
        <w:t>млн.грн.</w:t>
      </w:r>
      <w:r w:rsidRPr="00D36396">
        <w:rPr>
          <w:color w:val="000000" w:themeColor="text1"/>
          <w:szCs w:val="24"/>
        </w:rPr>
        <w:t xml:space="preserve">). </w:t>
      </w:r>
    </w:p>
    <w:p w:rsidR="00914F53" w:rsidRPr="00D36396" w:rsidRDefault="00914F53" w:rsidP="00914F53">
      <w:pPr>
        <w:spacing w:after="120"/>
        <w:ind w:firstLine="720"/>
        <w:jc w:val="both"/>
        <w:rPr>
          <w:bCs/>
          <w:color w:val="000000" w:themeColor="text1"/>
          <w:lang w:val="uk-UA"/>
        </w:rPr>
      </w:pPr>
      <w:r w:rsidRPr="00D36396">
        <w:rPr>
          <w:bCs/>
          <w:color w:val="000000" w:themeColor="text1"/>
          <w:lang w:val="uk-UA"/>
        </w:rPr>
        <w:t>В поточному році спостерігається падіння обсягів виробництва</w:t>
      </w:r>
      <w:r w:rsidRPr="00D36396">
        <w:rPr>
          <w:b/>
          <w:bCs/>
          <w:color w:val="000000" w:themeColor="text1"/>
          <w:lang w:val="uk-UA"/>
        </w:rPr>
        <w:t xml:space="preserve"> </w:t>
      </w:r>
      <w:r w:rsidRPr="00D36396">
        <w:rPr>
          <w:bCs/>
          <w:color w:val="000000" w:themeColor="text1"/>
          <w:lang w:val="uk-UA"/>
        </w:rPr>
        <w:t>у</w:t>
      </w:r>
      <w:r w:rsidRPr="00D36396">
        <w:rPr>
          <w:b/>
          <w:bCs/>
          <w:color w:val="000000" w:themeColor="text1"/>
          <w:lang w:val="uk-UA"/>
        </w:rPr>
        <w:t xml:space="preserve"> виробництві будівельних матеріалів та  іншої неметалевої мінеральної продукції. </w:t>
      </w:r>
      <w:r w:rsidRPr="00D36396">
        <w:rPr>
          <w:bCs/>
          <w:color w:val="000000" w:themeColor="text1"/>
          <w:lang w:val="uk-UA"/>
        </w:rPr>
        <w:t>До рівня І півріччя</w:t>
      </w:r>
      <w:r w:rsidRPr="00D36396">
        <w:rPr>
          <w:b/>
          <w:bCs/>
          <w:color w:val="000000" w:themeColor="text1"/>
          <w:lang w:val="uk-UA"/>
        </w:rPr>
        <w:t xml:space="preserve"> </w:t>
      </w:r>
      <w:r w:rsidRPr="00D36396">
        <w:rPr>
          <w:bCs/>
          <w:color w:val="000000" w:themeColor="text1"/>
          <w:lang w:val="uk-UA"/>
        </w:rPr>
        <w:t xml:space="preserve">2011 року обсяг виробленої продукції в цілому по галузі зменшився на 9,7% (Програмою на рік передбачено приріст – на 6,0%). Випуск цементу скоротився  на 13,0%, збірних конструкцій для будівництва – на 7,1%, вапна – на 4,9%, плитки керамічної – на 1,9%. </w:t>
      </w:r>
    </w:p>
    <w:p w:rsidR="00914F53" w:rsidRPr="00D36396" w:rsidRDefault="00914F53" w:rsidP="00914F53">
      <w:pPr>
        <w:spacing w:after="120"/>
        <w:ind w:firstLine="720"/>
        <w:jc w:val="both"/>
        <w:rPr>
          <w:color w:val="000000" w:themeColor="text1"/>
          <w:spacing w:val="6"/>
          <w:lang w:val="uk-UA"/>
        </w:rPr>
      </w:pPr>
      <w:r w:rsidRPr="00D36396">
        <w:rPr>
          <w:bCs/>
          <w:color w:val="000000" w:themeColor="text1"/>
          <w:spacing w:val="6"/>
          <w:lang w:val="uk-UA"/>
        </w:rPr>
        <w:t>Фінансовий результат від звичайної діяльності до оподаткува</w:t>
      </w:r>
      <w:r w:rsidR="003B2CB8" w:rsidRPr="00D36396">
        <w:rPr>
          <w:bCs/>
          <w:color w:val="000000" w:themeColor="text1"/>
          <w:spacing w:val="6"/>
          <w:lang w:val="uk-UA"/>
        </w:rPr>
        <w:t>ння по галузі за січень-червень</w:t>
      </w:r>
      <w:r w:rsidRPr="00D36396">
        <w:rPr>
          <w:bCs/>
          <w:color w:val="000000" w:themeColor="text1"/>
          <w:spacing w:val="6"/>
          <w:lang w:val="uk-UA"/>
        </w:rPr>
        <w:t xml:space="preserve"> 2012 року  від’ємний  </w:t>
      </w:r>
      <w:r w:rsidRPr="00D36396">
        <w:rPr>
          <w:color w:val="000000" w:themeColor="text1"/>
          <w:spacing w:val="6"/>
          <w:lang w:val="uk-UA"/>
        </w:rPr>
        <w:t xml:space="preserve">– </w:t>
      </w:r>
      <w:r w:rsidR="002E4979" w:rsidRPr="00D36396">
        <w:rPr>
          <w:color w:val="000000" w:themeColor="text1"/>
          <w:spacing w:val="6"/>
          <w:lang w:val="uk-UA"/>
        </w:rPr>
        <w:t>106,6</w:t>
      </w:r>
      <w:r w:rsidRPr="00D36396">
        <w:rPr>
          <w:color w:val="000000" w:themeColor="text1"/>
          <w:spacing w:val="6"/>
          <w:lang w:val="uk-UA"/>
        </w:rPr>
        <w:t xml:space="preserve"> </w:t>
      </w:r>
      <w:r w:rsidR="00B96CDF" w:rsidRPr="00D36396">
        <w:rPr>
          <w:color w:val="000000" w:themeColor="text1"/>
          <w:spacing w:val="6"/>
          <w:lang w:val="uk-UA"/>
        </w:rPr>
        <w:t>млн.грн.</w:t>
      </w:r>
      <w:r w:rsidR="002E4979" w:rsidRPr="00D36396">
        <w:rPr>
          <w:color w:val="000000" w:themeColor="text1"/>
          <w:spacing w:val="6"/>
          <w:lang w:val="uk-UA"/>
        </w:rPr>
        <w:t xml:space="preserve"> збитків (у січні-червні</w:t>
      </w:r>
      <w:r w:rsidRPr="00D36396">
        <w:rPr>
          <w:color w:val="000000" w:themeColor="text1"/>
          <w:spacing w:val="6"/>
          <w:lang w:val="uk-UA"/>
        </w:rPr>
        <w:t xml:space="preserve"> </w:t>
      </w:r>
      <w:r w:rsidR="008F588C" w:rsidRPr="00D36396">
        <w:rPr>
          <w:color w:val="000000" w:themeColor="text1"/>
          <w:spacing w:val="6"/>
          <w:lang w:val="uk-UA"/>
        </w:rPr>
        <w:t xml:space="preserve">              </w:t>
      </w:r>
      <w:r w:rsidRPr="00D36396">
        <w:rPr>
          <w:color w:val="000000" w:themeColor="text1"/>
          <w:spacing w:val="6"/>
          <w:lang w:val="uk-UA"/>
        </w:rPr>
        <w:t>2011 року</w:t>
      </w:r>
      <w:r w:rsidR="008F588C" w:rsidRPr="00D36396">
        <w:rPr>
          <w:color w:val="000000" w:themeColor="text1"/>
          <w:spacing w:val="6"/>
          <w:lang w:val="uk-UA"/>
        </w:rPr>
        <w:t xml:space="preserve"> </w:t>
      </w:r>
      <w:r w:rsidRPr="00D36396">
        <w:rPr>
          <w:color w:val="000000" w:themeColor="text1"/>
          <w:spacing w:val="6"/>
          <w:lang w:val="uk-UA"/>
        </w:rPr>
        <w:t xml:space="preserve">– </w:t>
      </w:r>
      <w:r w:rsidR="002E4979" w:rsidRPr="00D36396">
        <w:rPr>
          <w:color w:val="000000" w:themeColor="text1"/>
          <w:spacing w:val="6"/>
          <w:lang w:val="uk-UA"/>
        </w:rPr>
        <w:t>30,4</w:t>
      </w:r>
      <w:r w:rsidRPr="00D36396">
        <w:rPr>
          <w:color w:val="000000" w:themeColor="text1"/>
          <w:spacing w:val="6"/>
          <w:lang w:val="uk-UA"/>
        </w:rPr>
        <w:t xml:space="preserve"> </w:t>
      </w:r>
      <w:r w:rsidR="00B96CDF" w:rsidRPr="00D36396">
        <w:rPr>
          <w:color w:val="000000" w:themeColor="text1"/>
          <w:spacing w:val="6"/>
          <w:lang w:val="uk-UA"/>
        </w:rPr>
        <w:t>млн.грн.</w:t>
      </w:r>
      <w:r w:rsidRPr="00D36396">
        <w:rPr>
          <w:color w:val="000000" w:themeColor="text1"/>
          <w:spacing w:val="6"/>
          <w:lang w:val="uk-UA"/>
        </w:rPr>
        <w:t xml:space="preserve"> збитків). Збитки отримали </w:t>
      </w:r>
      <w:r w:rsidR="002E4979" w:rsidRPr="00D36396">
        <w:rPr>
          <w:color w:val="000000" w:themeColor="text1"/>
          <w:spacing w:val="6"/>
          <w:lang w:val="uk-UA"/>
        </w:rPr>
        <w:t>39,2</w:t>
      </w:r>
      <w:r w:rsidRPr="00D36396">
        <w:rPr>
          <w:color w:val="000000" w:themeColor="text1"/>
          <w:spacing w:val="6"/>
          <w:lang w:val="uk-UA"/>
        </w:rPr>
        <w:t xml:space="preserve">% підприємств на суму </w:t>
      </w:r>
      <w:r w:rsidR="008F588C" w:rsidRPr="00D36396">
        <w:rPr>
          <w:color w:val="000000" w:themeColor="text1"/>
          <w:spacing w:val="6"/>
          <w:lang w:val="uk-UA"/>
        </w:rPr>
        <w:t xml:space="preserve">         </w:t>
      </w:r>
      <w:r w:rsidR="002E4979" w:rsidRPr="00D36396">
        <w:rPr>
          <w:color w:val="000000" w:themeColor="text1"/>
          <w:spacing w:val="6"/>
          <w:lang w:val="uk-UA"/>
        </w:rPr>
        <w:t>180,2</w:t>
      </w:r>
      <w:r w:rsidRPr="00D36396">
        <w:rPr>
          <w:color w:val="000000" w:themeColor="text1"/>
          <w:spacing w:val="6"/>
          <w:lang w:val="uk-UA"/>
        </w:rPr>
        <w:t xml:space="preserve"> </w:t>
      </w:r>
      <w:r w:rsidR="00B96CDF" w:rsidRPr="00D36396">
        <w:rPr>
          <w:color w:val="000000" w:themeColor="text1"/>
          <w:spacing w:val="6"/>
          <w:lang w:val="uk-UA"/>
        </w:rPr>
        <w:t>млн.грн.</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Продовжується скорочення обсягів виробництва в</w:t>
      </w:r>
      <w:r w:rsidRPr="00D36396">
        <w:rPr>
          <w:b/>
          <w:color w:val="000000" w:themeColor="text1"/>
          <w:lang w:val="uk-UA"/>
        </w:rPr>
        <w:t xml:space="preserve"> легкій промисловості.</w:t>
      </w:r>
      <w:r w:rsidRPr="00D36396">
        <w:rPr>
          <w:color w:val="000000" w:themeColor="text1"/>
          <w:lang w:val="uk-UA"/>
        </w:rPr>
        <w:t xml:space="preserve"> Обсяг продукції, виробленої  в січні-червні 2012 року, менше відповідного періоду 2011 року на  16,0% (Програмою на рік передбачено зростання </w:t>
      </w:r>
      <w:r w:rsidRPr="00D36396">
        <w:rPr>
          <w:bCs/>
          <w:color w:val="000000" w:themeColor="text1"/>
          <w:lang w:val="uk-UA"/>
        </w:rPr>
        <w:t xml:space="preserve">– </w:t>
      </w:r>
      <w:r w:rsidRPr="00D36396">
        <w:rPr>
          <w:color w:val="000000" w:themeColor="text1"/>
          <w:lang w:val="uk-UA"/>
        </w:rPr>
        <w:t xml:space="preserve">на 3,0%).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У ТОВ </w:t>
      </w:r>
      <w:r w:rsidR="00B96CDF" w:rsidRPr="00D36396">
        <w:rPr>
          <w:color w:val="000000" w:themeColor="text1"/>
          <w:lang w:val="uk-UA"/>
        </w:rPr>
        <w:t>«</w:t>
      </w:r>
      <w:r w:rsidRPr="00D36396">
        <w:rPr>
          <w:color w:val="000000" w:themeColor="text1"/>
          <w:lang w:val="uk-UA"/>
        </w:rPr>
        <w:t>ВО ТК-Донбас</w:t>
      </w:r>
      <w:r w:rsidR="00B96CDF" w:rsidRPr="00D36396">
        <w:rPr>
          <w:color w:val="000000" w:themeColor="text1"/>
          <w:lang w:val="uk-UA"/>
        </w:rPr>
        <w:t>»</w:t>
      </w:r>
      <w:r w:rsidRPr="00D36396">
        <w:rPr>
          <w:color w:val="000000" w:themeColor="text1"/>
          <w:lang w:val="uk-UA"/>
        </w:rPr>
        <w:t xml:space="preserve"> продовжується технічне переоснащення та капітальний ремонт ткацького, прядильного та обробного виробництв (витрачено 2,4 </w:t>
      </w:r>
      <w:r w:rsidR="00B96CDF" w:rsidRPr="00D36396">
        <w:rPr>
          <w:color w:val="000000" w:themeColor="text1"/>
          <w:lang w:val="uk-UA"/>
        </w:rPr>
        <w:t>млн.грн.</w:t>
      </w:r>
      <w:r w:rsidRPr="00D36396">
        <w:rPr>
          <w:color w:val="000000" w:themeColor="text1"/>
          <w:lang w:val="uk-UA"/>
        </w:rPr>
        <w:t>).</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 В цілому по області обсяг </w:t>
      </w:r>
      <w:r w:rsidRPr="00D36396">
        <w:rPr>
          <w:b/>
          <w:color w:val="000000" w:themeColor="text1"/>
          <w:lang w:val="uk-UA"/>
        </w:rPr>
        <w:t>реалізованих послуг</w:t>
      </w:r>
      <w:r w:rsidRPr="00D36396">
        <w:rPr>
          <w:color w:val="000000" w:themeColor="text1"/>
          <w:lang w:val="uk-UA"/>
        </w:rPr>
        <w:t xml:space="preserve"> для всіх споживачів у діючих цінах збільшився на 34,0% і склав 10,4 млрд.</w:t>
      </w:r>
      <w:r w:rsidR="00AF2D75" w:rsidRPr="00D36396">
        <w:rPr>
          <w:color w:val="000000" w:themeColor="text1"/>
          <w:lang w:val="uk-UA"/>
        </w:rPr>
        <w:t xml:space="preserve"> </w:t>
      </w:r>
      <w:r w:rsidRPr="00D36396">
        <w:rPr>
          <w:color w:val="000000" w:themeColor="text1"/>
          <w:lang w:val="uk-UA"/>
        </w:rPr>
        <w:t>грн., в тому числі населенню – 1,9 млрд.</w:t>
      </w:r>
      <w:r w:rsidR="00AF2D75" w:rsidRPr="00D36396">
        <w:rPr>
          <w:color w:val="000000" w:themeColor="text1"/>
          <w:lang w:val="uk-UA"/>
        </w:rPr>
        <w:t xml:space="preserve"> </w:t>
      </w:r>
      <w:r w:rsidRPr="00D36396">
        <w:rPr>
          <w:color w:val="000000" w:themeColor="text1"/>
          <w:lang w:val="uk-UA"/>
        </w:rPr>
        <w:t xml:space="preserve">грн. </w:t>
      </w:r>
      <w:r w:rsidR="00AF2D75" w:rsidRPr="00D36396">
        <w:rPr>
          <w:color w:val="000000" w:themeColor="text1"/>
          <w:lang w:val="uk-UA"/>
        </w:rPr>
        <w:t xml:space="preserve">                    </w:t>
      </w:r>
      <w:r w:rsidRPr="00D36396">
        <w:rPr>
          <w:color w:val="000000" w:themeColor="text1"/>
          <w:lang w:val="uk-UA"/>
        </w:rPr>
        <w:t xml:space="preserve">(на 13,0% більше).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На </w:t>
      </w:r>
      <w:r w:rsidRPr="00D36396">
        <w:rPr>
          <w:b/>
          <w:bCs/>
          <w:color w:val="000000" w:themeColor="text1"/>
          <w:lang w:val="uk-UA"/>
        </w:rPr>
        <w:t>Донецькій залізниці</w:t>
      </w:r>
      <w:r w:rsidRPr="00D36396">
        <w:rPr>
          <w:color w:val="000000" w:themeColor="text1"/>
          <w:lang w:val="uk-UA"/>
        </w:rPr>
        <w:t xml:space="preserve"> обсяг відправлення вантажів порівняно з </w:t>
      </w:r>
      <w:r w:rsidR="008F588C" w:rsidRPr="00D36396">
        <w:rPr>
          <w:color w:val="000000" w:themeColor="text1"/>
          <w:lang w:val="uk-UA"/>
        </w:rPr>
        <w:t>першим</w:t>
      </w:r>
      <w:r w:rsidRPr="00D36396">
        <w:rPr>
          <w:color w:val="000000" w:themeColor="text1"/>
          <w:lang w:val="uk-UA"/>
        </w:rPr>
        <w:t xml:space="preserve"> півріччям </w:t>
      </w:r>
      <w:r w:rsidR="002867E2" w:rsidRPr="00D36396">
        <w:rPr>
          <w:color w:val="000000" w:themeColor="text1"/>
          <w:lang w:val="uk-UA"/>
        </w:rPr>
        <w:t xml:space="preserve">              </w:t>
      </w:r>
      <w:r w:rsidRPr="00D36396">
        <w:rPr>
          <w:color w:val="000000" w:themeColor="text1"/>
          <w:lang w:val="uk-UA"/>
        </w:rPr>
        <w:t xml:space="preserve">2011 року зменшився на 4,2% і склав 70,7 млн.т (45,6% до завдання Програми на рік). </w:t>
      </w:r>
      <w:r w:rsidR="002867E2" w:rsidRPr="00D36396">
        <w:rPr>
          <w:color w:val="000000" w:themeColor="text1"/>
          <w:lang w:val="uk-UA"/>
        </w:rPr>
        <w:t xml:space="preserve">           </w:t>
      </w:r>
      <w:r w:rsidRPr="00D36396">
        <w:rPr>
          <w:color w:val="000000" w:themeColor="text1"/>
          <w:lang w:val="uk-UA"/>
        </w:rPr>
        <w:t>З території області відправлено 49,2 млн.</w:t>
      </w:r>
      <w:r w:rsidR="002867E2" w:rsidRPr="00D36396">
        <w:rPr>
          <w:color w:val="000000" w:themeColor="text1"/>
          <w:lang w:val="uk-UA"/>
        </w:rPr>
        <w:t xml:space="preserve"> </w:t>
      </w:r>
      <w:r w:rsidRPr="00D36396">
        <w:rPr>
          <w:color w:val="000000" w:themeColor="text1"/>
          <w:lang w:val="uk-UA"/>
        </w:rPr>
        <w:t>т вантажів (на 0,6% менше). Обсяг перевезення чорних металів скоротився на 8,0%, флюсів – на 6,6%,  вугілля – на 3,5%, цементу – на 34,0%. Збільшились обсяги перевезення мінеральних добрив на 22,7%, коксу  – на 4,0%.</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Залізницею відправлено 25,9 млн. пасажирів (з території області – 20,2 млн. чол.), що на 2,2% менше. Відмінено 14 приміських поїздів через їх збитковість.  </w:t>
      </w:r>
    </w:p>
    <w:p w:rsidR="00914F53" w:rsidRPr="00D36396" w:rsidRDefault="00914F53" w:rsidP="00914F53">
      <w:pPr>
        <w:spacing w:before="120"/>
        <w:ind w:firstLine="709"/>
        <w:jc w:val="both"/>
        <w:rPr>
          <w:color w:val="000000" w:themeColor="text1"/>
          <w:lang w:val="uk-UA"/>
        </w:rPr>
      </w:pPr>
      <w:r w:rsidRPr="00D36396">
        <w:rPr>
          <w:color w:val="000000" w:themeColor="text1"/>
          <w:lang w:val="uk-UA"/>
        </w:rPr>
        <w:t>Донецькою залізницею в поточному році завершено  комплексну реконструкцію  і будівництво вокзального комплексу станції Донецьк. Пропускна  спроможність оновленого залізничного вокзалу  – 35  тис.</w:t>
      </w:r>
      <w:r w:rsidR="00F5461E" w:rsidRPr="00D36396">
        <w:rPr>
          <w:color w:val="000000" w:themeColor="text1"/>
          <w:lang w:val="uk-UA"/>
        </w:rPr>
        <w:t xml:space="preserve"> </w:t>
      </w:r>
      <w:r w:rsidRPr="00D36396">
        <w:rPr>
          <w:color w:val="000000" w:themeColor="text1"/>
          <w:lang w:val="uk-UA"/>
        </w:rPr>
        <w:t>пас. на добу.</w:t>
      </w:r>
    </w:p>
    <w:p w:rsidR="00914F53" w:rsidRPr="00D36396" w:rsidRDefault="00914F53" w:rsidP="00914F53">
      <w:pPr>
        <w:spacing w:before="120"/>
        <w:ind w:firstLine="709"/>
        <w:jc w:val="both"/>
        <w:rPr>
          <w:color w:val="000000" w:themeColor="text1"/>
          <w:lang w:val="uk-UA"/>
        </w:rPr>
      </w:pPr>
      <w:r w:rsidRPr="00D36396">
        <w:rPr>
          <w:color w:val="000000" w:themeColor="text1"/>
          <w:lang w:val="uk-UA"/>
        </w:rPr>
        <w:t xml:space="preserve">Для запровадження прискореного руху пасажирських поїздів на залізничному напрямку Львів-Київ-Донецьк модернізовано </w:t>
      </w:r>
      <w:smartTag w:uri="urn:schemas-microsoft-com:office:smarttags" w:element="metricconverter">
        <w:smartTagPr>
          <w:attr w:name="ProductID" w:val="212,4 км"/>
        </w:smartTagPr>
        <w:r w:rsidRPr="00D36396">
          <w:rPr>
            <w:color w:val="000000" w:themeColor="text1"/>
            <w:lang w:val="uk-UA"/>
          </w:rPr>
          <w:t>212,4 км</w:t>
        </w:r>
      </w:smartTag>
      <w:r w:rsidRPr="00D36396">
        <w:rPr>
          <w:color w:val="000000" w:themeColor="text1"/>
          <w:lang w:val="uk-UA"/>
        </w:rPr>
        <w:t xml:space="preserve">  магістралі на ділянці від станції Донецьк до станції Лозова. Швидкісний  рух  поїздів дальньо</w:t>
      </w:r>
      <w:r w:rsidR="002867E2" w:rsidRPr="00D36396">
        <w:rPr>
          <w:color w:val="000000" w:themeColor="text1"/>
          <w:lang w:val="uk-UA"/>
        </w:rPr>
        <w:t xml:space="preserve">го сполучення марки </w:t>
      </w:r>
      <w:r w:rsidR="00B96CDF" w:rsidRPr="00D36396">
        <w:rPr>
          <w:color w:val="000000" w:themeColor="text1"/>
          <w:lang w:val="uk-UA"/>
        </w:rPr>
        <w:t>«</w:t>
      </w:r>
      <w:r w:rsidR="002867E2" w:rsidRPr="00D36396">
        <w:rPr>
          <w:color w:val="000000" w:themeColor="text1"/>
          <w:lang w:val="uk-UA"/>
        </w:rPr>
        <w:t>Хюндай</w:t>
      </w:r>
      <w:r w:rsidR="00B96CDF" w:rsidRPr="00D36396">
        <w:rPr>
          <w:color w:val="000000" w:themeColor="text1"/>
          <w:lang w:val="uk-UA"/>
        </w:rPr>
        <w:t>»</w:t>
      </w:r>
      <w:r w:rsidRPr="00D36396">
        <w:rPr>
          <w:color w:val="000000" w:themeColor="text1"/>
          <w:lang w:val="uk-UA"/>
        </w:rPr>
        <w:t xml:space="preserve"> відкрито 7 червня 2012 року.</w:t>
      </w:r>
    </w:p>
    <w:p w:rsidR="00914F53" w:rsidRPr="00D36396" w:rsidRDefault="00914F53" w:rsidP="00914F53">
      <w:pPr>
        <w:spacing w:before="120"/>
        <w:ind w:firstLine="709"/>
        <w:jc w:val="both"/>
        <w:rPr>
          <w:color w:val="000000" w:themeColor="text1"/>
          <w:lang w:val="uk-UA"/>
        </w:rPr>
      </w:pPr>
      <w:r w:rsidRPr="00D36396">
        <w:rPr>
          <w:color w:val="000000" w:themeColor="text1"/>
          <w:lang w:val="uk-UA"/>
        </w:rPr>
        <w:t xml:space="preserve">На виконання заходів Програми Донецькою залізницею витрачено 475,2 </w:t>
      </w:r>
      <w:r w:rsidR="00B96CDF" w:rsidRPr="00D36396">
        <w:rPr>
          <w:color w:val="000000" w:themeColor="text1"/>
          <w:lang w:val="uk-UA"/>
        </w:rPr>
        <w:t>млн.грн.</w:t>
      </w:r>
      <w:r w:rsidRPr="00D36396">
        <w:rPr>
          <w:color w:val="000000" w:themeColor="text1"/>
          <w:lang w:val="uk-UA"/>
        </w:rPr>
        <w:t xml:space="preserve"> власних коштів, або 23,6% від передбаченого обсягу на рік. </w:t>
      </w:r>
    </w:p>
    <w:p w:rsidR="00914F53" w:rsidRPr="00D36396" w:rsidRDefault="00914F53" w:rsidP="00914F53">
      <w:pPr>
        <w:spacing w:before="120" w:after="120"/>
        <w:ind w:firstLine="709"/>
        <w:jc w:val="both"/>
        <w:rPr>
          <w:iCs/>
          <w:color w:val="000000" w:themeColor="text1"/>
          <w:spacing w:val="6"/>
          <w:lang w:val="uk-UA"/>
        </w:rPr>
      </w:pPr>
      <w:r w:rsidRPr="00D36396">
        <w:rPr>
          <w:color w:val="000000" w:themeColor="text1"/>
          <w:spacing w:val="6"/>
          <w:lang w:val="uk-UA"/>
        </w:rPr>
        <w:t xml:space="preserve">Підприємствами </w:t>
      </w:r>
      <w:r w:rsidRPr="00D36396">
        <w:rPr>
          <w:bCs/>
          <w:color w:val="000000" w:themeColor="text1"/>
          <w:spacing w:val="6"/>
          <w:lang w:val="uk-UA"/>
        </w:rPr>
        <w:t>автомобільного транспорту</w:t>
      </w:r>
      <w:r w:rsidRPr="00D36396">
        <w:rPr>
          <w:color w:val="000000" w:themeColor="text1"/>
          <w:spacing w:val="6"/>
          <w:lang w:val="uk-UA"/>
        </w:rPr>
        <w:t xml:space="preserve"> та суб’єктами підприємницької діяльності перевезено 247,1 млн. пасажирів, що менше на 14,1 млн.</w:t>
      </w:r>
      <w:r w:rsidR="002867E2" w:rsidRPr="00D36396">
        <w:rPr>
          <w:color w:val="000000" w:themeColor="text1"/>
          <w:spacing w:val="6"/>
          <w:lang w:val="uk-UA"/>
        </w:rPr>
        <w:t xml:space="preserve"> </w:t>
      </w:r>
      <w:r w:rsidRPr="00D36396">
        <w:rPr>
          <w:color w:val="000000" w:themeColor="text1"/>
          <w:spacing w:val="6"/>
          <w:lang w:val="uk-UA"/>
        </w:rPr>
        <w:t>чол., або на 5,4%, річне завдання Програми виконано на 46,6%. Обсяг перевезень вантажів автопідприємствами та фізичними особами, які здійснюють вантажоперевезення, зменшився на 13,4% і склав 18,4 млн.</w:t>
      </w:r>
      <w:r w:rsidR="002867E2" w:rsidRPr="00D36396">
        <w:rPr>
          <w:color w:val="000000" w:themeColor="text1"/>
          <w:spacing w:val="6"/>
          <w:lang w:val="uk-UA"/>
        </w:rPr>
        <w:t xml:space="preserve"> </w:t>
      </w:r>
      <w:r w:rsidRPr="00D36396">
        <w:rPr>
          <w:color w:val="000000" w:themeColor="text1"/>
          <w:spacing w:val="6"/>
          <w:lang w:val="uk-UA"/>
        </w:rPr>
        <w:t xml:space="preserve">т (38,3% до завдання Програми). </w:t>
      </w:r>
      <w:r w:rsidRPr="00D36396">
        <w:rPr>
          <w:iCs/>
          <w:color w:val="000000" w:themeColor="text1"/>
          <w:spacing w:val="6"/>
          <w:lang w:val="uk-UA"/>
        </w:rPr>
        <w:t xml:space="preserve"> </w:t>
      </w:r>
    </w:p>
    <w:p w:rsidR="00914F53" w:rsidRPr="00D36396" w:rsidRDefault="00914F53" w:rsidP="00914F53">
      <w:pPr>
        <w:spacing w:before="120" w:after="120"/>
        <w:ind w:firstLine="709"/>
        <w:jc w:val="both"/>
        <w:rPr>
          <w:color w:val="000000" w:themeColor="text1"/>
          <w:spacing w:val="6"/>
          <w:lang w:val="uk-UA"/>
        </w:rPr>
      </w:pPr>
      <w:r w:rsidRPr="00D36396">
        <w:rPr>
          <w:b/>
          <w:bCs/>
          <w:color w:val="000000" w:themeColor="text1"/>
          <w:spacing w:val="6"/>
          <w:lang w:val="uk-UA"/>
        </w:rPr>
        <w:t>Авіаційним транспортом</w:t>
      </w:r>
      <w:r w:rsidRPr="00D36396">
        <w:rPr>
          <w:color w:val="000000" w:themeColor="text1"/>
          <w:spacing w:val="6"/>
          <w:lang w:val="uk-UA"/>
        </w:rPr>
        <w:t xml:space="preserve">  перевезено 21,5 тис. пасажирів, що на 47,8% менше. Після вступу авіакомпанії </w:t>
      </w:r>
      <w:r w:rsidR="00B96CDF" w:rsidRPr="00D36396">
        <w:rPr>
          <w:color w:val="000000" w:themeColor="text1"/>
          <w:spacing w:val="6"/>
          <w:lang w:val="uk-UA"/>
        </w:rPr>
        <w:t>«</w:t>
      </w:r>
      <w:r w:rsidRPr="00D36396">
        <w:rPr>
          <w:color w:val="000000" w:themeColor="text1"/>
          <w:spacing w:val="6"/>
          <w:lang w:val="uk-UA"/>
        </w:rPr>
        <w:t>Донбасаеро</w:t>
      </w:r>
      <w:r w:rsidR="00B96CDF" w:rsidRPr="00D36396">
        <w:rPr>
          <w:color w:val="000000" w:themeColor="text1"/>
          <w:spacing w:val="6"/>
          <w:lang w:val="uk-UA"/>
        </w:rPr>
        <w:t>»</w:t>
      </w:r>
      <w:r w:rsidRPr="00D36396">
        <w:rPr>
          <w:color w:val="000000" w:themeColor="text1"/>
          <w:spacing w:val="6"/>
          <w:lang w:val="uk-UA"/>
        </w:rPr>
        <w:t xml:space="preserve"> до Українського авіаційного  альянсу мережа її маршрутів значно скоротилась. Регулярні  рейси, які раніше виконувала компанія </w:t>
      </w:r>
      <w:r w:rsidR="00B96CDF" w:rsidRPr="00D36396">
        <w:rPr>
          <w:color w:val="000000" w:themeColor="text1"/>
          <w:spacing w:val="6"/>
          <w:lang w:val="uk-UA"/>
        </w:rPr>
        <w:t>«</w:t>
      </w:r>
      <w:r w:rsidRPr="00D36396">
        <w:rPr>
          <w:color w:val="000000" w:themeColor="text1"/>
          <w:spacing w:val="6"/>
          <w:lang w:val="uk-UA"/>
        </w:rPr>
        <w:t>Донбасаеро</w:t>
      </w:r>
      <w:r w:rsidR="00B96CDF" w:rsidRPr="00D36396">
        <w:rPr>
          <w:color w:val="000000" w:themeColor="text1"/>
          <w:spacing w:val="6"/>
          <w:lang w:val="uk-UA"/>
        </w:rPr>
        <w:t>»</w:t>
      </w:r>
      <w:r w:rsidRPr="00D36396">
        <w:rPr>
          <w:color w:val="000000" w:themeColor="text1"/>
          <w:spacing w:val="6"/>
          <w:lang w:val="uk-UA"/>
        </w:rPr>
        <w:t xml:space="preserve">, зараз здійснює авіакомпанія </w:t>
      </w:r>
      <w:r w:rsidR="00B96CDF" w:rsidRPr="00D36396">
        <w:rPr>
          <w:color w:val="000000" w:themeColor="text1"/>
          <w:spacing w:val="6"/>
          <w:lang w:val="uk-UA"/>
        </w:rPr>
        <w:t>«</w:t>
      </w:r>
      <w:r w:rsidRPr="00D36396">
        <w:rPr>
          <w:color w:val="000000" w:themeColor="text1"/>
          <w:spacing w:val="6"/>
          <w:lang w:val="uk-UA"/>
        </w:rPr>
        <w:t>Аеросвіт</w:t>
      </w:r>
      <w:r w:rsidR="00B96CDF" w:rsidRPr="00D36396">
        <w:rPr>
          <w:color w:val="000000" w:themeColor="text1"/>
          <w:spacing w:val="6"/>
          <w:lang w:val="uk-UA"/>
        </w:rPr>
        <w:t>»</w:t>
      </w:r>
      <w:r w:rsidRPr="00D36396">
        <w:rPr>
          <w:color w:val="000000" w:themeColor="text1"/>
          <w:spacing w:val="6"/>
          <w:lang w:val="uk-UA"/>
        </w:rPr>
        <w:t xml:space="preserve">. У червні поточного року </w:t>
      </w:r>
      <w:r w:rsidR="00B96CDF" w:rsidRPr="00D36396">
        <w:rPr>
          <w:color w:val="000000" w:themeColor="text1"/>
          <w:spacing w:val="6"/>
          <w:lang w:val="uk-UA"/>
        </w:rPr>
        <w:t>«</w:t>
      </w:r>
      <w:r w:rsidRPr="00D36396">
        <w:rPr>
          <w:color w:val="000000" w:themeColor="text1"/>
          <w:spacing w:val="6"/>
          <w:lang w:val="uk-UA"/>
        </w:rPr>
        <w:t>Донбасаеро</w:t>
      </w:r>
      <w:r w:rsidR="00B96CDF" w:rsidRPr="00D36396">
        <w:rPr>
          <w:color w:val="000000" w:themeColor="text1"/>
          <w:spacing w:val="6"/>
          <w:lang w:val="uk-UA"/>
        </w:rPr>
        <w:t>»</w:t>
      </w:r>
      <w:r w:rsidRPr="00D36396">
        <w:rPr>
          <w:color w:val="000000" w:themeColor="text1"/>
          <w:spacing w:val="6"/>
          <w:lang w:val="uk-UA"/>
        </w:rPr>
        <w:t xml:space="preserve"> припинила виконання авіарейсів (всі 9 літаків </w:t>
      </w:r>
      <w:r w:rsidR="00B96CDF" w:rsidRPr="00D36396">
        <w:rPr>
          <w:color w:val="000000" w:themeColor="text1"/>
          <w:spacing w:val="6"/>
          <w:lang w:val="uk-UA"/>
        </w:rPr>
        <w:t>«</w:t>
      </w:r>
      <w:r w:rsidRPr="00D36396">
        <w:rPr>
          <w:color w:val="000000" w:themeColor="text1"/>
          <w:spacing w:val="6"/>
          <w:lang w:val="en-US"/>
        </w:rPr>
        <w:t>Airbus</w:t>
      </w:r>
      <w:r w:rsidR="00B96CDF" w:rsidRPr="00D36396">
        <w:rPr>
          <w:color w:val="000000" w:themeColor="text1"/>
          <w:spacing w:val="6"/>
          <w:lang w:val="uk-UA"/>
        </w:rPr>
        <w:t>»</w:t>
      </w:r>
      <w:r w:rsidRPr="00D36396">
        <w:rPr>
          <w:color w:val="000000" w:themeColor="text1"/>
          <w:spacing w:val="6"/>
          <w:lang w:val="uk-UA"/>
        </w:rPr>
        <w:t xml:space="preserve"> передані в оренду компанії </w:t>
      </w:r>
      <w:r w:rsidR="00B96CDF" w:rsidRPr="00D36396">
        <w:rPr>
          <w:color w:val="000000" w:themeColor="text1"/>
          <w:spacing w:val="6"/>
          <w:lang w:val="uk-UA"/>
        </w:rPr>
        <w:t>«</w:t>
      </w:r>
      <w:r w:rsidRPr="00D36396">
        <w:rPr>
          <w:color w:val="000000" w:themeColor="text1"/>
          <w:spacing w:val="6"/>
          <w:lang w:val="uk-UA"/>
        </w:rPr>
        <w:t>Аеросвіт</w:t>
      </w:r>
      <w:r w:rsidR="00B96CDF" w:rsidRPr="00D36396">
        <w:rPr>
          <w:color w:val="000000" w:themeColor="text1"/>
          <w:spacing w:val="6"/>
          <w:lang w:val="uk-UA"/>
        </w:rPr>
        <w:t>»</w:t>
      </w:r>
      <w:r w:rsidRPr="00D36396">
        <w:rPr>
          <w:color w:val="000000" w:themeColor="text1"/>
          <w:spacing w:val="6"/>
          <w:lang w:val="uk-UA"/>
        </w:rPr>
        <w:t xml:space="preserve">).  </w:t>
      </w:r>
    </w:p>
    <w:p w:rsidR="00914F53" w:rsidRPr="00D36396" w:rsidRDefault="00914F53" w:rsidP="00914F53">
      <w:pPr>
        <w:spacing w:after="120"/>
        <w:ind w:firstLine="720"/>
        <w:jc w:val="both"/>
        <w:rPr>
          <w:color w:val="000000" w:themeColor="text1"/>
          <w:spacing w:val="6"/>
          <w:lang w:val="uk-UA"/>
        </w:rPr>
      </w:pPr>
      <w:r w:rsidRPr="00D36396">
        <w:rPr>
          <w:color w:val="000000" w:themeColor="text1"/>
          <w:spacing w:val="6"/>
          <w:lang w:val="uk-UA"/>
        </w:rPr>
        <w:lastRenderedPageBreak/>
        <w:t xml:space="preserve">Відправлення пасажирів з аеропортів області збільшились на 38,3% </w:t>
      </w:r>
      <w:r w:rsidR="002867E2" w:rsidRPr="00D36396">
        <w:rPr>
          <w:color w:val="000000" w:themeColor="text1"/>
          <w:spacing w:val="6"/>
          <w:lang w:val="uk-UA"/>
        </w:rPr>
        <w:t xml:space="preserve">               </w:t>
      </w:r>
      <w:r w:rsidRPr="00D36396">
        <w:rPr>
          <w:color w:val="000000" w:themeColor="text1"/>
          <w:spacing w:val="6"/>
          <w:lang w:val="uk-UA"/>
        </w:rPr>
        <w:t>(228,4 тис.</w:t>
      </w:r>
      <w:r w:rsidR="002867E2" w:rsidRPr="00D36396">
        <w:rPr>
          <w:color w:val="000000" w:themeColor="text1"/>
          <w:spacing w:val="6"/>
          <w:lang w:val="uk-UA"/>
        </w:rPr>
        <w:t xml:space="preserve"> </w:t>
      </w:r>
      <w:r w:rsidRPr="00D36396">
        <w:rPr>
          <w:color w:val="000000" w:themeColor="text1"/>
          <w:spacing w:val="6"/>
          <w:lang w:val="uk-UA"/>
        </w:rPr>
        <w:t>осіб), прибуття в аеропорти області – на 36,7% (232,6 тис.</w:t>
      </w:r>
      <w:r w:rsidR="002867E2" w:rsidRPr="00D36396">
        <w:rPr>
          <w:color w:val="000000" w:themeColor="text1"/>
          <w:spacing w:val="6"/>
          <w:lang w:val="uk-UA"/>
        </w:rPr>
        <w:t xml:space="preserve"> </w:t>
      </w:r>
      <w:r w:rsidRPr="00D36396">
        <w:rPr>
          <w:color w:val="000000" w:themeColor="text1"/>
          <w:spacing w:val="6"/>
          <w:lang w:val="uk-UA"/>
        </w:rPr>
        <w:t>осіб).</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КП </w:t>
      </w:r>
      <w:r w:rsidR="00B96CDF" w:rsidRPr="00D36396">
        <w:rPr>
          <w:color w:val="000000" w:themeColor="text1"/>
          <w:lang w:val="uk-UA"/>
        </w:rPr>
        <w:t>«</w:t>
      </w:r>
      <w:r w:rsidRPr="00D36396">
        <w:rPr>
          <w:color w:val="000000" w:themeColor="text1"/>
          <w:lang w:val="uk-UA"/>
        </w:rPr>
        <w:t>Міжнародний аеропорт Донецьк</w:t>
      </w:r>
      <w:r w:rsidR="00B96CDF" w:rsidRPr="00D36396">
        <w:rPr>
          <w:color w:val="000000" w:themeColor="text1"/>
          <w:lang w:val="uk-UA"/>
        </w:rPr>
        <w:t>»</w:t>
      </w:r>
      <w:r w:rsidRPr="00D36396">
        <w:rPr>
          <w:color w:val="000000" w:themeColor="text1"/>
          <w:lang w:val="uk-UA"/>
        </w:rPr>
        <w:t xml:space="preserve"> на оновлення та модернізацію основних засобів витрачено 11,0 </w:t>
      </w:r>
      <w:r w:rsidR="00B96CDF" w:rsidRPr="00D36396">
        <w:rPr>
          <w:color w:val="000000" w:themeColor="text1"/>
          <w:lang w:val="uk-UA"/>
        </w:rPr>
        <w:t>млн.грн.</w:t>
      </w:r>
      <w:r w:rsidRPr="00D36396">
        <w:rPr>
          <w:color w:val="000000" w:themeColor="text1"/>
          <w:lang w:val="uk-UA"/>
        </w:rPr>
        <w:t xml:space="preserve"> власних коштів.</w:t>
      </w:r>
    </w:p>
    <w:p w:rsidR="00914F53" w:rsidRPr="00D36396" w:rsidRDefault="00914F53" w:rsidP="00914F53">
      <w:pPr>
        <w:spacing w:after="120"/>
        <w:ind w:firstLine="720"/>
        <w:jc w:val="both"/>
        <w:rPr>
          <w:color w:val="000000" w:themeColor="text1"/>
          <w:lang w:val="uk-UA"/>
        </w:rPr>
      </w:pPr>
      <w:r w:rsidRPr="00D36396">
        <w:rPr>
          <w:b/>
          <w:bCs/>
          <w:color w:val="000000" w:themeColor="text1"/>
          <w:lang w:val="uk-UA"/>
        </w:rPr>
        <w:t>На морських причалах</w:t>
      </w:r>
      <w:r w:rsidRPr="00D36396">
        <w:rPr>
          <w:color w:val="000000" w:themeColor="text1"/>
          <w:lang w:val="uk-UA"/>
        </w:rPr>
        <w:t xml:space="preserve"> області обсяг оброблених вантажів зменшився на 13,0% і склав 6,6 млн.</w:t>
      </w:r>
      <w:r w:rsidR="002867E2" w:rsidRPr="00D36396">
        <w:rPr>
          <w:color w:val="000000" w:themeColor="text1"/>
          <w:lang w:val="uk-UA"/>
        </w:rPr>
        <w:t xml:space="preserve"> </w:t>
      </w:r>
      <w:r w:rsidRPr="00D36396">
        <w:rPr>
          <w:color w:val="000000" w:themeColor="text1"/>
          <w:lang w:val="uk-UA"/>
        </w:rPr>
        <w:t>т</w:t>
      </w:r>
      <w:r w:rsidRPr="00D36396">
        <w:rPr>
          <w:iCs/>
          <w:color w:val="000000" w:themeColor="text1"/>
          <w:lang w:val="uk-UA"/>
        </w:rPr>
        <w:t xml:space="preserve"> (41,0% до завдання Програми на рік). Об</w:t>
      </w:r>
      <w:r w:rsidRPr="00D36396">
        <w:rPr>
          <w:color w:val="000000" w:themeColor="text1"/>
          <w:lang w:val="uk-UA"/>
        </w:rPr>
        <w:t>робка експортних вантажів зменшилась на 12,4% (склала 5,8 млн.</w:t>
      </w:r>
      <w:r w:rsidR="00AF2D75" w:rsidRPr="00D36396">
        <w:rPr>
          <w:color w:val="000000" w:themeColor="text1"/>
          <w:lang w:val="uk-UA"/>
        </w:rPr>
        <w:t xml:space="preserve"> </w:t>
      </w:r>
      <w:r w:rsidRPr="00D36396">
        <w:rPr>
          <w:color w:val="000000" w:themeColor="text1"/>
          <w:lang w:val="uk-UA"/>
        </w:rPr>
        <w:t>т), транзитних – на 16,8% (0,7 млн.</w:t>
      </w:r>
      <w:r w:rsidR="00AF2D75" w:rsidRPr="00D36396">
        <w:rPr>
          <w:color w:val="000000" w:themeColor="text1"/>
          <w:lang w:val="uk-UA"/>
        </w:rPr>
        <w:t xml:space="preserve"> </w:t>
      </w:r>
      <w:r w:rsidRPr="00D36396">
        <w:rPr>
          <w:color w:val="000000" w:themeColor="text1"/>
          <w:lang w:val="uk-UA"/>
        </w:rPr>
        <w:t>т). Обробка імпортних вантажів зросла на 15,4% (107 тис.</w:t>
      </w:r>
      <w:r w:rsidR="00AF2D75" w:rsidRPr="00D36396">
        <w:rPr>
          <w:color w:val="000000" w:themeColor="text1"/>
          <w:lang w:val="uk-UA"/>
        </w:rPr>
        <w:t xml:space="preserve"> </w:t>
      </w:r>
      <w:r w:rsidRPr="00D36396">
        <w:rPr>
          <w:color w:val="000000" w:themeColor="text1"/>
          <w:lang w:val="uk-UA"/>
        </w:rPr>
        <w:t>т).</w:t>
      </w:r>
    </w:p>
    <w:p w:rsidR="00914F53" w:rsidRPr="00D36396" w:rsidRDefault="00914F53" w:rsidP="00914F53">
      <w:pPr>
        <w:spacing w:after="120"/>
        <w:ind w:firstLine="720"/>
        <w:jc w:val="both"/>
        <w:rPr>
          <w:color w:val="000000" w:themeColor="text1"/>
          <w:spacing w:val="6"/>
          <w:lang w:val="uk-UA"/>
        </w:rPr>
      </w:pPr>
      <w:r w:rsidRPr="00D36396">
        <w:rPr>
          <w:color w:val="000000" w:themeColor="text1"/>
          <w:spacing w:val="6"/>
          <w:lang w:val="uk-UA"/>
        </w:rPr>
        <w:t>Маріупольським державним морським торговельним портом оброблено 6,4 млн.</w:t>
      </w:r>
      <w:r w:rsidR="00AF2D75" w:rsidRPr="00D36396">
        <w:rPr>
          <w:color w:val="000000" w:themeColor="text1"/>
          <w:spacing w:val="6"/>
          <w:lang w:val="uk-UA"/>
        </w:rPr>
        <w:t xml:space="preserve"> </w:t>
      </w:r>
      <w:r w:rsidRPr="00D36396">
        <w:rPr>
          <w:color w:val="000000" w:themeColor="text1"/>
          <w:spacing w:val="6"/>
          <w:lang w:val="uk-UA"/>
        </w:rPr>
        <w:t xml:space="preserve">т вантажів, що менше на 10,7%, ніж у </w:t>
      </w:r>
      <w:r w:rsidR="008F588C" w:rsidRPr="00D36396">
        <w:rPr>
          <w:color w:val="000000" w:themeColor="text1"/>
          <w:spacing w:val="6"/>
          <w:lang w:val="uk-UA"/>
        </w:rPr>
        <w:t>першому</w:t>
      </w:r>
      <w:r w:rsidRPr="00D36396">
        <w:rPr>
          <w:color w:val="000000" w:themeColor="text1"/>
          <w:spacing w:val="6"/>
          <w:lang w:val="uk-UA"/>
        </w:rPr>
        <w:t xml:space="preserve"> півріччі 2011 року. Оброблено 710 суден та      62,7 тис. залізничних вагонів (відповідно на 19,6% і 13,5% менше).</w:t>
      </w:r>
    </w:p>
    <w:p w:rsidR="00914F53" w:rsidRPr="00D36396" w:rsidRDefault="00914F53" w:rsidP="00914F53">
      <w:pPr>
        <w:spacing w:after="120"/>
        <w:ind w:firstLine="720"/>
        <w:jc w:val="both"/>
        <w:rPr>
          <w:color w:val="000000" w:themeColor="text1"/>
          <w:spacing w:val="6"/>
          <w:lang w:val="uk-UA"/>
        </w:rPr>
      </w:pPr>
      <w:r w:rsidRPr="00D36396">
        <w:rPr>
          <w:color w:val="000000" w:themeColor="text1"/>
          <w:spacing w:val="6"/>
          <w:lang w:val="uk-UA"/>
        </w:rPr>
        <w:t xml:space="preserve">На заплановані Програмою заходи з будівництва та реконструкції об’єктів виробничого призначення, модернізації обладнання морським портом спрямовано              46,9 </w:t>
      </w:r>
      <w:r w:rsidR="00B96CDF" w:rsidRPr="00D36396">
        <w:rPr>
          <w:color w:val="000000" w:themeColor="text1"/>
          <w:spacing w:val="6"/>
          <w:lang w:val="uk-UA"/>
        </w:rPr>
        <w:t>млн.грн.</w:t>
      </w:r>
      <w:r w:rsidRPr="00D36396">
        <w:rPr>
          <w:color w:val="000000" w:themeColor="text1"/>
          <w:spacing w:val="6"/>
          <w:lang w:val="uk-UA"/>
        </w:rPr>
        <w:t xml:space="preserve"> власних коштів.</w:t>
      </w:r>
    </w:p>
    <w:p w:rsidR="00914F53" w:rsidRPr="00D36396" w:rsidRDefault="00914F53" w:rsidP="00914F53">
      <w:pPr>
        <w:spacing w:after="120"/>
        <w:ind w:firstLine="720"/>
        <w:jc w:val="both"/>
        <w:rPr>
          <w:iCs/>
          <w:color w:val="000000" w:themeColor="text1"/>
          <w:spacing w:val="6"/>
          <w:lang w:val="uk-UA"/>
        </w:rPr>
      </w:pPr>
      <w:r w:rsidRPr="00D36396">
        <w:rPr>
          <w:iCs/>
          <w:color w:val="000000" w:themeColor="text1"/>
          <w:spacing w:val="6"/>
          <w:lang w:val="uk-UA"/>
        </w:rPr>
        <w:t xml:space="preserve">Підприємствами </w:t>
      </w:r>
      <w:r w:rsidRPr="00D36396">
        <w:rPr>
          <w:b/>
          <w:bCs/>
          <w:iCs/>
          <w:color w:val="000000" w:themeColor="text1"/>
          <w:spacing w:val="6"/>
          <w:lang w:val="uk-UA"/>
        </w:rPr>
        <w:t xml:space="preserve">зв’язку </w:t>
      </w:r>
      <w:r w:rsidRPr="00D36396">
        <w:rPr>
          <w:bCs/>
          <w:iCs/>
          <w:color w:val="000000" w:themeColor="text1"/>
          <w:spacing w:val="6"/>
          <w:lang w:val="uk-UA"/>
        </w:rPr>
        <w:t>надано</w:t>
      </w:r>
      <w:r w:rsidRPr="00D36396">
        <w:rPr>
          <w:b/>
          <w:bCs/>
          <w:iCs/>
          <w:color w:val="000000" w:themeColor="text1"/>
          <w:spacing w:val="6"/>
          <w:lang w:val="uk-UA"/>
        </w:rPr>
        <w:t xml:space="preserve"> </w:t>
      </w:r>
      <w:r w:rsidRPr="00D36396">
        <w:rPr>
          <w:iCs/>
          <w:color w:val="000000" w:themeColor="text1"/>
          <w:spacing w:val="6"/>
          <w:lang w:val="uk-UA"/>
        </w:rPr>
        <w:t>послуг у діючих цінах на суму 1154,8 </w:t>
      </w:r>
      <w:r w:rsidR="00B96CDF" w:rsidRPr="00D36396">
        <w:rPr>
          <w:iCs/>
          <w:color w:val="000000" w:themeColor="text1"/>
          <w:spacing w:val="6"/>
          <w:lang w:val="uk-UA"/>
        </w:rPr>
        <w:t>млн.грн.</w:t>
      </w:r>
      <w:r w:rsidRPr="00D36396">
        <w:rPr>
          <w:iCs/>
          <w:color w:val="000000" w:themeColor="text1"/>
          <w:spacing w:val="6"/>
          <w:lang w:val="uk-UA"/>
        </w:rPr>
        <w:t xml:space="preserve">, що на рівні січня-червня 2011 року (46,2% до завдання Програми).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 xml:space="preserve">Зросли доходи від надання послуг проводового мовлення </w:t>
      </w:r>
      <w:r w:rsidR="00820D18" w:rsidRPr="00D36396">
        <w:rPr>
          <w:color w:val="000000" w:themeColor="text1"/>
          <w:lang w:val="uk-UA"/>
        </w:rPr>
        <w:t>на 23,9</w:t>
      </w:r>
      <w:r w:rsidRPr="00D36396">
        <w:rPr>
          <w:color w:val="000000" w:themeColor="text1"/>
          <w:lang w:val="uk-UA"/>
        </w:rPr>
        <w:t>%, послуг комп’ютерного зв’язку – на 18,</w:t>
      </w:r>
      <w:r w:rsidR="00820D18" w:rsidRPr="00D36396">
        <w:rPr>
          <w:color w:val="000000" w:themeColor="text1"/>
          <w:lang w:val="uk-UA"/>
        </w:rPr>
        <w:t>1</w:t>
      </w:r>
      <w:r w:rsidRPr="00D36396">
        <w:rPr>
          <w:color w:val="000000" w:themeColor="text1"/>
          <w:lang w:val="uk-UA"/>
        </w:rPr>
        <w:t>%, передачі і прийому телевізійних та радіопрограм, радіозв’язку – на 2,</w:t>
      </w:r>
      <w:r w:rsidR="00820D18" w:rsidRPr="00D36396">
        <w:rPr>
          <w:color w:val="000000" w:themeColor="text1"/>
          <w:lang w:val="uk-UA"/>
        </w:rPr>
        <w:t>1</w:t>
      </w:r>
      <w:r w:rsidRPr="00D36396">
        <w:rPr>
          <w:color w:val="000000" w:themeColor="text1"/>
          <w:lang w:val="uk-UA"/>
        </w:rPr>
        <w:t xml:space="preserve">%. Зменшились доходи від послуг телефонного міжміського зв’язку </w:t>
      </w:r>
      <w:r w:rsidR="00820D18" w:rsidRPr="00D36396">
        <w:rPr>
          <w:color w:val="000000" w:themeColor="text1"/>
          <w:lang w:val="uk-UA"/>
        </w:rPr>
        <w:t xml:space="preserve"> на 32,5%, кур’єрської діяльності – на 9,0%, </w:t>
      </w:r>
      <w:r w:rsidRPr="00D36396">
        <w:rPr>
          <w:color w:val="000000" w:themeColor="text1"/>
          <w:lang w:val="uk-UA"/>
        </w:rPr>
        <w:t xml:space="preserve">поштового зв’язку – на </w:t>
      </w:r>
      <w:r w:rsidR="00820D18" w:rsidRPr="00D36396">
        <w:rPr>
          <w:color w:val="000000" w:themeColor="text1"/>
          <w:lang w:val="uk-UA"/>
        </w:rPr>
        <w:t>8,7%,</w:t>
      </w:r>
      <w:r w:rsidRPr="00D36396">
        <w:rPr>
          <w:color w:val="000000" w:themeColor="text1"/>
          <w:lang w:val="uk-UA"/>
        </w:rPr>
        <w:t xml:space="preserve"> </w:t>
      </w:r>
      <w:r w:rsidR="00820D18" w:rsidRPr="00D36396">
        <w:rPr>
          <w:color w:val="000000" w:themeColor="text1"/>
          <w:lang w:val="uk-UA"/>
        </w:rPr>
        <w:t>телефонного міського  зв’язку – на 8,4%, телефонного сільського – на 7,0%, мобільного – на 4,7%.</w:t>
      </w:r>
    </w:p>
    <w:p w:rsidR="00914F53" w:rsidRPr="00D36396" w:rsidRDefault="00914F53" w:rsidP="00914F53">
      <w:pPr>
        <w:spacing w:after="120"/>
        <w:ind w:firstLine="720"/>
        <w:jc w:val="both"/>
        <w:rPr>
          <w:iCs/>
          <w:color w:val="000000" w:themeColor="text1"/>
          <w:lang w:val="uk-UA"/>
        </w:rPr>
      </w:pPr>
      <w:r w:rsidRPr="00D36396">
        <w:rPr>
          <w:iCs/>
          <w:color w:val="000000" w:themeColor="text1"/>
          <w:lang w:val="uk-UA"/>
        </w:rPr>
        <w:t xml:space="preserve">Донецькою дирекцією УДППЗ </w:t>
      </w:r>
      <w:r w:rsidR="00B96CDF" w:rsidRPr="00D36396">
        <w:rPr>
          <w:iCs/>
          <w:color w:val="000000" w:themeColor="text1"/>
          <w:lang w:val="uk-UA"/>
        </w:rPr>
        <w:t>«</w:t>
      </w:r>
      <w:r w:rsidRPr="00D36396">
        <w:rPr>
          <w:iCs/>
          <w:color w:val="000000" w:themeColor="text1"/>
          <w:lang w:val="uk-UA"/>
        </w:rPr>
        <w:t>Укрпошта</w:t>
      </w:r>
      <w:r w:rsidR="00B96CDF" w:rsidRPr="00D36396">
        <w:rPr>
          <w:iCs/>
          <w:color w:val="000000" w:themeColor="text1"/>
          <w:lang w:val="uk-UA"/>
        </w:rPr>
        <w:t>»</w:t>
      </w:r>
      <w:r w:rsidRPr="00D36396">
        <w:rPr>
          <w:iCs/>
          <w:color w:val="000000" w:themeColor="text1"/>
          <w:lang w:val="uk-UA"/>
        </w:rPr>
        <w:t xml:space="preserve"> проведено поточний ремонт відділень поштового зв’язку на суму 640,5 тис.</w:t>
      </w:r>
      <w:r w:rsidR="00AF2D75" w:rsidRPr="00D36396">
        <w:rPr>
          <w:iCs/>
          <w:color w:val="000000" w:themeColor="text1"/>
          <w:lang w:val="uk-UA"/>
        </w:rPr>
        <w:t xml:space="preserve"> </w:t>
      </w:r>
      <w:r w:rsidRPr="00D36396">
        <w:rPr>
          <w:iCs/>
          <w:color w:val="000000" w:themeColor="text1"/>
          <w:lang w:val="uk-UA"/>
        </w:rPr>
        <w:t>грн.</w:t>
      </w:r>
    </w:p>
    <w:p w:rsidR="00914F53" w:rsidRPr="00D36396" w:rsidRDefault="00914F53" w:rsidP="00914F53">
      <w:pPr>
        <w:pStyle w:val="21"/>
        <w:keepNext/>
        <w:widowControl w:val="0"/>
        <w:spacing w:after="100"/>
        <w:ind w:firstLine="708"/>
        <w:rPr>
          <w:bCs/>
          <w:color w:val="000000" w:themeColor="text1"/>
        </w:rPr>
      </w:pPr>
      <w:r w:rsidRPr="00D36396">
        <w:rPr>
          <w:color w:val="000000" w:themeColor="text1"/>
        </w:rPr>
        <w:t xml:space="preserve">Значна увага приділялася реалізації </w:t>
      </w:r>
      <w:r w:rsidRPr="00D36396">
        <w:rPr>
          <w:b/>
          <w:bCs/>
          <w:color w:val="000000" w:themeColor="text1"/>
        </w:rPr>
        <w:t>регіональної програми енергоефективності</w:t>
      </w:r>
      <w:r w:rsidRPr="00D36396">
        <w:rPr>
          <w:bCs/>
          <w:color w:val="000000" w:themeColor="text1"/>
        </w:rPr>
        <w:t xml:space="preserve">. </w:t>
      </w:r>
    </w:p>
    <w:p w:rsidR="00914F53" w:rsidRPr="00D36396" w:rsidRDefault="00914F53" w:rsidP="00914F53">
      <w:pPr>
        <w:pStyle w:val="21"/>
        <w:keepNext/>
        <w:widowControl w:val="0"/>
        <w:spacing w:after="100"/>
        <w:ind w:firstLine="708"/>
        <w:rPr>
          <w:color w:val="000000" w:themeColor="text1"/>
          <w:szCs w:val="24"/>
        </w:rPr>
      </w:pPr>
      <w:r w:rsidRPr="00D36396">
        <w:rPr>
          <w:color w:val="000000" w:themeColor="text1"/>
          <w:szCs w:val="24"/>
        </w:rPr>
        <w:t xml:space="preserve">За </w:t>
      </w:r>
      <w:r w:rsidR="008F588C" w:rsidRPr="00D36396">
        <w:rPr>
          <w:color w:val="000000" w:themeColor="text1"/>
          <w:szCs w:val="24"/>
        </w:rPr>
        <w:t>перше</w:t>
      </w:r>
      <w:r w:rsidRPr="00D36396">
        <w:rPr>
          <w:color w:val="000000" w:themeColor="text1"/>
          <w:szCs w:val="24"/>
        </w:rPr>
        <w:t xml:space="preserve"> півріччя 2012 року в області зекономлено 813,1 тис.</w:t>
      </w:r>
      <w:r w:rsidR="00AF2D75" w:rsidRPr="00D36396">
        <w:rPr>
          <w:color w:val="000000" w:themeColor="text1"/>
          <w:szCs w:val="24"/>
        </w:rPr>
        <w:t xml:space="preserve"> </w:t>
      </w:r>
      <w:r w:rsidRPr="00D36396">
        <w:rPr>
          <w:color w:val="000000" w:themeColor="text1"/>
          <w:szCs w:val="24"/>
        </w:rPr>
        <w:t>туп паливно-енергетичних ресурсів, в тому числі:  160,9 млн.</w:t>
      </w:r>
      <w:r w:rsidR="00AF2D75" w:rsidRPr="00D36396">
        <w:rPr>
          <w:color w:val="000000" w:themeColor="text1"/>
          <w:szCs w:val="24"/>
        </w:rPr>
        <w:t xml:space="preserve"> </w:t>
      </w:r>
      <w:r w:rsidRPr="00D36396">
        <w:rPr>
          <w:color w:val="000000" w:themeColor="text1"/>
          <w:szCs w:val="24"/>
        </w:rPr>
        <w:t>кВт</w:t>
      </w:r>
      <w:r w:rsidR="00AF2D75" w:rsidRPr="00D36396">
        <w:rPr>
          <w:color w:val="000000" w:themeColor="text1"/>
          <w:szCs w:val="24"/>
        </w:rPr>
        <w:t xml:space="preserve"> </w:t>
      </w:r>
      <w:r w:rsidRPr="00D36396">
        <w:rPr>
          <w:color w:val="000000" w:themeColor="text1"/>
          <w:szCs w:val="24"/>
        </w:rPr>
        <w:t>год. електроенергії, 607,2 млн.куб.м природного газу, 93,4 тис.</w:t>
      </w:r>
      <w:r w:rsidR="00AF2D75" w:rsidRPr="00D36396">
        <w:rPr>
          <w:color w:val="000000" w:themeColor="text1"/>
          <w:szCs w:val="24"/>
        </w:rPr>
        <w:t xml:space="preserve"> </w:t>
      </w:r>
      <w:r w:rsidRPr="00D36396">
        <w:rPr>
          <w:color w:val="000000" w:themeColor="text1"/>
          <w:szCs w:val="24"/>
        </w:rPr>
        <w:t>т вугілля, 29,5 тис.</w:t>
      </w:r>
      <w:r w:rsidR="00AF2D75" w:rsidRPr="00D36396">
        <w:rPr>
          <w:color w:val="000000" w:themeColor="text1"/>
          <w:szCs w:val="24"/>
        </w:rPr>
        <w:t xml:space="preserve"> </w:t>
      </w:r>
      <w:r w:rsidRPr="00D36396">
        <w:rPr>
          <w:color w:val="000000" w:themeColor="text1"/>
          <w:szCs w:val="24"/>
        </w:rPr>
        <w:t xml:space="preserve">Гкал теплоенергії.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За рахунок використання нетрадиційних джерел енергії економія паливно-енергетичних ресурсів склала 711,9 тис.</w:t>
      </w:r>
      <w:r w:rsidR="00AF2D75" w:rsidRPr="00D36396">
        <w:rPr>
          <w:color w:val="000000" w:themeColor="text1"/>
          <w:lang w:val="uk-UA"/>
        </w:rPr>
        <w:t xml:space="preserve"> </w:t>
      </w:r>
      <w:r w:rsidRPr="00D36396">
        <w:rPr>
          <w:color w:val="000000" w:themeColor="text1"/>
          <w:lang w:val="uk-UA"/>
        </w:rPr>
        <w:t>туп (87,6% від загальної економії), у тому числі за рахунок використання доменного та коксового газу зекономлено 580</w:t>
      </w:r>
      <w:r w:rsidRPr="00D36396">
        <w:rPr>
          <w:color w:val="000000" w:themeColor="text1"/>
        </w:rPr>
        <w:t> </w:t>
      </w:r>
      <w:r w:rsidRPr="00D36396">
        <w:rPr>
          <w:color w:val="000000" w:themeColor="text1"/>
          <w:lang w:val="uk-UA"/>
        </w:rPr>
        <w:t>млн.куб.м природного газу.</w:t>
      </w:r>
    </w:p>
    <w:p w:rsidR="00914F53" w:rsidRPr="00D36396" w:rsidRDefault="00914F53" w:rsidP="00914F53">
      <w:pPr>
        <w:widowControl w:val="0"/>
        <w:spacing w:after="100"/>
        <w:ind w:firstLine="709"/>
        <w:jc w:val="both"/>
        <w:rPr>
          <w:color w:val="000000" w:themeColor="text1"/>
          <w:lang w:val="uk-UA"/>
        </w:rPr>
      </w:pPr>
      <w:r w:rsidRPr="00D36396">
        <w:rPr>
          <w:color w:val="000000" w:themeColor="text1"/>
          <w:lang w:val="uk-UA"/>
        </w:rPr>
        <w:t xml:space="preserve">В </w:t>
      </w:r>
      <w:r w:rsidRPr="00D36396">
        <w:rPr>
          <w:b/>
          <w:color w:val="000000" w:themeColor="text1"/>
          <w:lang w:val="uk-UA"/>
        </w:rPr>
        <w:t>харчовій промисловості</w:t>
      </w:r>
      <w:r w:rsidRPr="00D36396">
        <w:rPr>
          <w:color w:val="000000" w:themeColor="text1"/>
          <w:lang w:val="uk-UA"/>
        </w:rPr>
        <w:t xml:space="preserve"> випуск продукції порівняно з </w:t>
      </w:r>
      <w:r w:rsidR="008F588C" w:rsidRPr="00D36396">
        <w:rPr>
          <w:color w:val="000000" w:themeColor="text1"/>
          <w:lang w:val="uk-UA"/>
        </w:rPr>
        <w:t>першим</w:t>
      </w:r>
      <w:r w:rsidRPr="00D36396">
        <w:rPr>
          <w:color w:val="000000" w:themeColor="text1"/>
          <w:lang w:val="uk-UA"/>
        </w:rPr>
        <w:t xml:space="preserve"> півріччям 2011 року зріс на 2,4%.</w:t>
      </w:r>
    </w:p>
    <w:tbl>
      <w:tblPr>
        <w:tblW w:w="0" w:type="auto"/>
        <w:tblLook w:val="01E0"/>
      </w:tblPr>
      <w:tblGrid>
        <w:gridCol w:w="9854"/>
      </w:tblGrid>
      <w:tr w:rsidR="002867E2" w:rsidRPr="00D36396" w:rsidTr="004E6538">
        <w:tc>
          <w:tcPr>
            <w:tcW w:w="9854" w:type="dxa"/>
          </w:tcPr>
          <w:p w:rsidR="002867E2" w:rsidRPr="00D36396" w:rsidRDefault="002867E2" w:rsidP="004E6538">
            <w:pPr>
              <w:tabs>
                <w:tab w:val="left" w:pos="1197"/>
              </w:tabs>
              <w:jc w:val="center"/>
              <w:rPr>
                <w:color w:val="000000" w:themeColor="text1"/>
                <w:lang w:val="uk-UA"/>
              </w:rPr>
            </w:pPr>
            <w:r w:rsidRPr="00D36396">
              <w:rPr>
                <w:b/>
                <w:color w:val="000000" w:themeColor="text1"/>
                <w:lang w:val="uk-UA"/>
              </w:rPr>
              <w:t xml:space="preserve">Динаміка виробництва </w:t>
            </w:r>
            <w:r w:rsidRPr="00D36396">
              <w:rPr>
                <w:b/>
                <w:bCs/>
                <w:color w:val="000000" w:themeColor="text1"/>
                <w:lang w:val="uk-UA"/>
              </w:rPr>
              <w:t xml:space="preserve">продукції харчової промисловості </w:t>
            </w:r>
          </w:p>
          <w:p w:rsidR="002867E2" w:rsidRPr="00D36396" w:rsidRDefault="002867E2" w:rsidP="004E6538">
            <w:pPr>
              <w:widowControl w:val="0"/>
              <w:jc w:val="center"/>
              <w:rPr>
                <w:i/>
                <w:color w:val="000000" w:themeColor="text1"/>
                <w:lang w:val="uk-UA"/>
              </w:rPr>
            </w:pPr>
            <w:r w:rsidRPr="00D36396">
              <w:rPr>
                <w:b/>
                <w:bCs/>
                <w:i/>
                <w:color w:val="000000" w:themeColor="text1"/>
                <w:lang w:val="uk-UA"/>
              </w:rPr>
              <w:t>(</w:t>
            </w:r>
            <w:r w:rsidRPr="00D36396">
              <w:rPr>
                <w:i/>
                <w:color w:val="000000" w:themeColor="text1"/>
                <w:lang w:val="uk-UA"/>
              </w:rPr>
              <w:t>наростаючим підсумком у % до відповідного періоду попереднього року)</w:t>
            </w:r>
          </w:p>
        </w:tc>
      </w:tr>
      <w:tr w:rsidR="002867E2" w:rsidRPr="00D36396" w:rsidTr="004E6538">
        <w:tc>
          <w:tcPr>
            <w:tcW w:w="9854" w:type="dxa"/>
          </w:tcPr>
          <w:p w:rsidR="002867E2" w:rsidRPr="00D36396" w:rsidRDefault="00050D9A" w:rsidP="004E6538">
            <w:pPr>
              <w:widowControl w:val="0"/>
              <w:spacing w:after="100"/>
              <w:jc w:val="both"/>
              <w:rPr>
                <w:color w:val="000000" w:themeColor="text1"/>
                <w:lang w:val="uk-UA"/>
              </w:rPr>
            </w:pPr>
            <w:r w:rsidRPr="00D36396">
              <w:rPr>
                <w:noProof/>
                <w:color w:val="000000" w:themeColor="text1"/>
              </w:rPr>
              <w:drawing>
                <wp:inline distT="0" distB="0" distL="0" distR="0">
                  <wp:extent cx="6099175" cy="178879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14F53" w:rsidRPr="00D36396" w:rsidRDefault="00914F53" w:rsidP="00914F53">
      <w:pPr>
        <w:widowControl w:val="0"/>
        <w:spacing w:after="120"/>
        <w:ind w:firstLine="709"/>
        <w:jc w:val="both"/>
        <w:rPr>
          <w:color w:val="000000" w:themeColor="text1"/>
          <w:spacing w:val="-4"/>
          <w:lang w:val="uk-UA"/>
        </w:rPr>
      </w:pPr>
      <w:r w:rsidRPr="00D36396">
        <w:rPr>
          <w:color w:val="000000" w:themeColor="text1"/>
          <w:lang w:val="uk-UA"/>
        </w:rPr>
        <w:t xml:space="preserve"> Зросло виробництво ковбасних виробів на 4,5% (завдання Програми на рік виконано на 46,4%), молока обробленого рідкого на 9,7%  (49,8%), борошна – на 10,9% (49,3%), олії </w:t>
      </w:r>
      <w:r w:rsidRPr="00D36396">
        <w:rPr>
          <w:color w:val="000000" w:themeColor="text1"/>
          <w:lang w:val="uk-UA"/>
        </w:rPr>
        <w:lastRenderedPageBreak/>
        <w:t xml:space="preserve">соняшникової нерафінованої – на 9,9% (59,4%), пива – на 23% (53%). Збільшився також випуск м’ясних напівфабрикатів в 1,7 рази, масла вершкового – в 1,5 рази, продуктів кисломолочних – на 8,2%. </w:t>
      </w:r>
    </w:p>
    <w:p w:rsidR="00914F53" w:rsidRPr="00D36396" w:rsidRDefault="00914F53" w:rsidP="00914F53">
      <w:pPr>
        <w:widowControl w:val="0"/>
        <w:spacing w:after="120"/>
        <w:ind w:firstLine="709"/>
        <w:jc w:val="both"/>
        <w:rPr>
          <w:color w:val="000000" w:themeColor="text1"/>
          <w:spacing w:val="-4"/>
          <w:lang w:val="uk-UA"/>
        </w:rPr>
      </w:pPr>
      <w:r w:rsidRPr="00D36396">
        <w:rPr>
          <w:color w:val="000000" w:themeColor="text1"/>
          <w:lang w:val="uk-UA"/>
        </w:rPr>
        <w:t xml:space="preserve">Зменшилось виробництво хлібобулочних виробів – на 8,2% (завдання Програми на рік виконано на 43,5%), солі – на 21,5% (37,1%). Скоротився випуск шоколаду та інших продуктів харчових готових з вмістом какао на 9,4%, </w:t>
      </w:r>
      <w:r w:rsidRPr="00D36396">
        <w:rPr>
          <w:color w:val="000000" w:themeColor="text1"/>
          <w:spacing w:val="-4"/>
          <w:lang w:val="uk-UA"/>
        </w:rPr>
        <w:t>виробів кондитерських з цукру, включаючи білий шоколад – на 8,5%, виробів макаронних без начинки – на 20%.</w:t>
      </w:r>
    </w:p>
    <w:p w:rsidR="00914F53" w:rsidRPr="00D36396" w:rsidRDefault="00914F53" w:rsidP="00914F53">
      <w:pPr>
        <w:widowControl w:val="0"/>
        <w:spacing w:after="120"/>
        <w:ind w:firstLine="709"/>
        <w:jc w:val="both"/>
        <w:rPr>
          <w:color w:val="000000" w:themeColor="text1"/>
          <w:lang w:val="uk-UA"/>
        </w:rPr>
      </w:pPr>
      <w:r w:rsidRPr="00D36396">
        <w:rPr>
          <w:color w:val="000000" w:themeColor="text1"/>
          <w:lang w:val="uk-UA"/>
        </w:rPr>
        <w:t xml:space="preserve"> З метою збільшення випуску конкурентоспроможної продукції проведено реконструкцію та введено в дію нове обладнання у ВАТ </w:t>
      </w:r>
      <w:r w:rsidR="00B96CDF" w:rsidRPr="00D36396">
        <w:rPr>
          <w:color w:val="000000" w:themeColor="text1"/>
          <w:lang w:val="uk-UA"/>
        </w:rPr>
        <w:t>«</w:t>
      </w:r>
      <w:r w:rsidRPr="00D36396">
        <w:rPr>
          <w:color w:val="000000" w:themeColor="text1"/>
          <w:lang w:val="uk-UA"/>
        </w:rPr>
        <w:t>Горлівський хлібокомбінат</w:t>
      </w:r>
      <w:r w:rsidR="00B96CDF" w:rsidRPr="00D36396">
        <w:rPr>
          <w:color w:val="000000" w:themeColor="text1"/>
          <w:lang w:val="uk-UA"/>
        </w:rPr>
        <w:t>»</w:t>
      </w:r>
      <w:r w:rsidRPr="00D36396">
        <w:rPr>
          <w:color w:val="000000" w:themeColor="text1"/>
          <w:lang w:val="uk-UA"/>
        </w:rPr>
        <w:t xml:space="preserve">, </w:t>
      </w:r>
      <w:r w:rsidR="002867E2" w:rsidRPr="00D36396">
        <w:rPr>
          <w:color w:val="000000" w:themeColor="text1"/>
          <w:lang w:val="uk-UA"/>
        </w:rPr>
        <w:t xml:space="preserve"> </w:t>
      </w:r>
      <w:r w:rsidRPr="00D36396">
        <w:rPr>
          <w:color w:val="000000" w:themeColor="text1"/>
          <w:lang w:val="uk-UA"/>
        </w:rPr>
        <w:t xml:space="preserve">ПрАТ </w:t>
      </w:r>
      <w:r w:rsidR="00B96CDF" w:rsidRPr="00D36396">
        <w:rPr>
          <w:color w:val="000000" w:themeColor="text1"/>
          <w:lang w:val="uk-UA"/>
        </w:rPr>
        <w:t>«</w:t>
      </w:r>
      <w:r w:rsidRPr="00D36396">
        <w:rPr>
          <w:color w:val="000000" w:themeColor="text1"/>
          <w:lang w:val="uk-UA"/>
        </w:rPr>
        <w:t>Дзержинський хлібокомбінат</w:t>
      </w:r>
      <w:r w:rsidR="00B96CDF" w:rsidRPr="00D36396">
        <w:rPr>
          <w:color w:val="000000" w:themeColor="text1"/>
          <w:lang w:val="uk-UA"/>
        </w:rPr>
        <w:t>»</w:t>
      </w:r>
      <w:r w:rsidRPr="00D36396">
        <w:rPr>
          <w:color w:val="000000" w:themeColor="text1"/>
          <w:lang w:val="uk-UA"/>
        </w:rPr>
        <w:t xml:space="preserve">, ВАТ </w:t>
      </w:r>
      <w:r w:rsidR="00B96CDF" w:rsidRPr="00D36396">
        <w:rPr>
          <w:color w:val="000000" w:themeColor="text1"/>
          <w:lang w:val="uk-UA"/>
        </w:rPr>
        <w:t>«</w:t>
      </w:r>
      <w:r w:rsidRPr="00D36396">
        <w:rPr>
          <w:color w:val="000000" w:themeColor="text1"/>
          <w:lang w:val="uk-UA"/>
        </w:rPr>
        <w:t xml:space="preserve">Краматорський хлібокомбінат, ПрАТ </w:t>
      </w:r>
      <w:r w:rsidR="00B96CDF" w:rsidRPr="00D36396">
        <w:rPr>
          <w:color w:val="000000" w:themeColor="text1"/>
          <w:lang w:val="uk-UA"/>
        </w:rPr>
        <w:t>«</w:t>
      </w:r>
      <w:r w:rsidRPr="00D36396">
        <w:rPr>
          <w:color w:val="000000" w:themeColor="text1"/>
          <w:lang w:val="uk-UA"/>
        </w:rPr>
        <w:t>Хліб</w:t>
      </w:r>
      <w:r w:rsidR="00B96CDF" w:rsidRPr="00D36396">
        <w:rPr>
          <w:color w:val="000000" w:themeColor="text1"/>
          <w:lang w:val="uk-UA"/>
        </w:rPr>
        <w:t>»</w:t>
      </w:r>
      <w:r w:rsidRPr="00D36396">
        <w:rPr>
          <w:color w:val="000000" w:themeColor="text1"/>
          <w:lang w:val="uk-UA"/>
        </w:rPr>
        <w:t xml:space="preserve"> (Слов’янськ), ВАТ </w:t>
      </w:r>
      <w:r w:rsidR="00B96CDF" w:rsidRPr="00D36396">
        <w:rPr>
          <w:color w:val="000000" w:themeColor="text1"/>
          <w:lang w:val="uk-UA"/>
        </w:rPr>
        <w:t>«</w:t>
      </w:r>
      <w:r w:rsidRPr="00D36396">
        <w:rPr>
          <w:color w:val="000000" w:themeColor="text1"/>
          <w:lang w:val="uk-UA"/>
        </w:rPr>
        <w:t>Шахтарський хліб</w:t>
      </w:r>
      <w:r w:rsidR="00B96CDF" w:rsidRPr="00D36396">
        <w:rPr>
          <w:color w:val="000000" w:themeColor="text1"/>
          <w:lang w:val="uk-UA"/>
        </w:rPr>
        <w:t>»</w:t>
      </w:r>
      <w:r w:rsidRPr="00D36396">
        <w:rPr>
          <w:color w:val="000000" w:themeColor="text1"/>
          <w:lang w:val="uk-UA"/>
        </w:rPr>
        <w:t xml:space="preserve">, ТОВ </w:t>
      </w:r>
      <w:r w:rsidR="00B96CDF" w:rsidRPr="00D36396">
        <w:rPr>
          <w:color w:val="000000" w:themeColor="text1"/>
          <w:lang w:val="uk-UA"/>
        </w:rPr>
        <w:t>«</w:t>
      </w:r>
      <w:r w:rsidRPr="00D36396">
        <w:rPr>
          <w:color w:val="000000" w:themeColor="text1"/>
          <w:lang w:val="uk-UA"/>
        </w:rPr>
        <w:t>Дружківська харчосмакова фабрика</w:t>
      </w:r>
      <w:r w:rsidR="00B96CDF" w:rsidRPr="00D36396">
        <w:rPr>
          <w:color w:val="000000" w:themeColor="text1"/>
          <w:lang w:val="uk-UA"/>
        </w:rPr>
        <w:t>»</w:t>
      </w:r>
      <w:r w:rsidRPr="00D36396">
        <w:rPr>
          <w:color w:val="000000" w:themeColor="text1"/>
          <w:lang w:val="uk-UA"/>
        </w:rPr>
        <w:t xml:space="preserve">, </w:t>
      </w:r>
      <w:r w:rsidR="002867E2" w:rsidRPr="00D36396">
        <w:rPr>
          <w:color w:val="000000" w:themeColor="text1"/>
          <w:lang w:val="uk-UA"/>
        </w:rPr>
        <w:t xml:space="preserve">           </w:t>
      </w:r>
      <w:r w:rsidRPr="00D36396">
        <w:rPr>
          <w:color w:val="000000" w:themeColor="text1"/>
          <w:lang w:val="uk-UA"/>
        </w:rPr>
        <w:t xml:space="preserve">ПрАТ </w:t>
      </w:r>
      <w:r w:rsidR="00B96CDF" w:rsidRPr="00D36396">
        <w:rPr>
          <w:color w:val="000000" w:themeColor="text1"/>
          <w:lang w:val="uk-UA"/>
        </w:rPr>
        <w:t>«</w:t>
      </w:r>
      <w:r w:rsidRPr="00D36396">
        <w:rPr>
          <w:color w:val="000000" w:themeColor="text1"/>
          <w:lang w:val="uk-UA"/>
        </w:rPr>
        <w:t>Артемівськ Вайнері</w:t>
      </w:r>
      <w:r w:rsidR="00B96CDF" w:rsidRPr="00D36396">
        <w:rPr>
          <w:color w:val="000000" w:themeColor="text1"/>
          <w:lang w:val="uk-UA"/>
        </w:rPr>
        <w:t>»</w:t>
      </w:r>
      <w:r w:rsidRPr="00D36396">
        <w:rPr>
          <w:color w:val="000000" w:themeColor="text1"/>
          <w:lang w:val="uk-UA"/>
        </w:rPr>
        <w:t xml:space="preserve">, ТОВ </w:t>
      </w:r>
      <w:r w:rsidR="00B96CDF" w:rsidRPr="00D36396">
        <w:rPr>
          <w:color w:val="000000" w:themeColor="text1"/>
          <w:lang w:val="uk-UA"/>
        </w:rPr>
        <w:t>«</w:t>
      </w:r>
      <w:r w:rsidRPr="00D36396">
        <w:rPr>
          <w:color w:val="000000" w:themeColor="text1"/>
          <w:lang w:val="uk-UA"/>
        </w:rPr>
        <w:t>Екоіллічпродукт</w:t>
      </w:r>
      <w:r w:rsidR="00B96CDF" w:rsidRPr="00D36396">
        <w:rPr>
          <w:color w:val="000000" w:themeColor="text1"/>
          <w:lang w:val="uk-UA"/>
        </w:rPr>
        <w:t>»</w:t>
      </w:r>
      <w:r w:rsidRPr="00D36396">
        <w:rPr>
          <w:color w:val="000000" w:themeColor="text1"/>
          <w:lang w:val="uk-UA"/>
        </w:rPr>
        <w:t xml:space="preserve"> (м.</w:t>
      </w:r>
      <w:r w:rsidR="00AF2D75" w:rsidRPr="00D36396">
        <w:rPr>
          <w:color w:val="000000" w:themeColor="text1"/>
          <w:lang w:val="uk-UA"/>
        </w:rPr>
        <w:t xml:space="preserve"> </w:t>
      </w:r>
      <w:r w:rsidRPr="00D36396">
        <w:rPr>
          <w:color w:val="000000" w:themeColor="text1"/>
          <w:lang w:val="uk-UA"/>
        </w:rPr>
        <w:t xml:space="preserve">Маріуполь), ВАТ </w:t>
      </w:r>
      <w:r w:rsidR="00B96CDF" w:rsidRPr="00D36396">
        <w:rPr>
          <w:color w:val="000000" w:themeColor="text1"/>
          <w:lang w:val="uk-UA"/>
        </w:rPr>
        <w:t>«</w:t>
      </w:r>
      <w:r w:rsidRPr="00D36396">
        <w:rPr>
          <w:color w:val="000000" w:themeColor="text1"/>
          <w:lang w:val="uk-UA"/>
        </w:rPr>
        <w:t>Слов’янський комбікормовий завод</w:t>
      </w:r>
      <w:r w:rsidR="00B96CDF" w:rsidRPr="00D36396">
        <w:rPr>
          <w:color w:val="000000" w:themeColor="text1"/>
          <w:lang w:val="uk-UA"/>
        </w:rPr>
        <w:t>»</w:t>
      </w:r>
      <w:r w:rsidRPr="00D36396">
        <w:rPr>
          <w:color w:val="000000" w:themeColor="text1"/>
          <w:lang w:val="uk-UA"/>
        </w:rPr>
        <w:t xml:space="preserve">, ТОВ </w:t>
      </w:r>
      <w:r w:rsidR="00B96CDF" w:rsidRPr="00D36396">
        <w:rPr>
          <w:color w:val="000000" w:themeColor="text1"/>
          <w:lang w:val="uk-UA"/>
        </w:rPr>
        <w:t>«</w:t>
      </w:r>
      <w:r w:rsidRPr="00D36396">
        <w:rPr>
          <w:color w:val="000000" w:themeColor="text1"/>
          <w:lang w:val="uk-UA"/>
        </w:rPr>
        <w:t>Сателіт</w:t>
      </w:r>
      <w:r w:rsidR="00B96CDF" w:rsidRPr="00D36396">
        <w:rPr>
          <w:color w:val="000000" w:themeColor="text1"/>
          <w:lang w:val="uk-UA"/>
        </w:rPr>
        <w:t>»</w:t>
      </w:r>
      <w:r w:rsidRPr="00D36396">
        <w:rPr>
          <w:color w:val="000000" w:themeColor="text1"/>
          <w:lang w:val="uk-UA"/>
        </w:rPr>
        <w:t>.</w:t>
      </w:r>
    </w:p>
    <w:p w:rsidR="00914F53" w:rsidRPr="00D36396" w:rsidRDefault="00914F53" w:rsidP="00914F53">
      <w:pPr>
        <w:widowControl w:val="0"/>
        <w:spacing w:after="120"/>
        <w:ind w:firstLine="709"/>
        <w:jc w:val="both"/>
        <w:rPr>
          <w:color w:val="000000" w:themeColor="text1"/>
          <w:lang w:val="uk-UA"/>
        </w:rPr>
      </w:pPr>
      <w:r w:rsidRPr="00D36396">
        <w:rPr>
          <w:color w:val="000000" w:themeColor="text1"/>
          <w:lang w:val="uk-UA"/>
        </w:rPr>
        <w:t xml:space="preserve">У ТОВ </w:t>
      </w:r>
      <w:r w:rsidR="00B96CDF" w:rsidRPr="00D36396">
        <w:rPr>
          <w:color w:val="000000" w:themeColor="text1"/>
          <w:lang w:val="uk-UA"/>
        </w:rPr>
        <w:t>«</w:t>
      </w:r>
      <w:r w:rsidRPr="00D36396">
        <w:rPr>
          <w:color w:val="000000" w:themeColor="text1"/>
          <w:lang w:val="uk-UA"/>
        </w:rPr>
        <w:t xml:space="preserve">Комбінат </w:t>
      </w:r>
      <w:r w:rsidR="00B96CDF" w:rsidRPr="00D36396">
        <w:rPr>
          <w:color w:val="000000" w:themeColor="text1"/>
          <w:lang w:val="uk-UA"/>
        </w:rPr>
        <w:t>«</w:t>
      </w:r>
      <w:r w:rsidRPr="00D36396">
        <w:rPr>
          <w:color w:val="000000" w:themeColor="text1"/>
          <w:lang w:val="uk-UA"/>
        </w:rPr>
        <w:t>Каргілл</w:t>
      </w:r>
      <w:r w:rsidR="00B96CDF" w:rsidRPr="00D36396">
        <w:rPr>
          <w:color w:val="000000" w:themeColor="text1"/>
          <w:lang w:val="uk-UA"/>
        </w:rPr>
        <w:t>»</w:t>
      </w:r>
      <w:r w:rsidRPr="00D36396">
        <w:rPr>
          <w:color w:val="000000" w:themeColor="text1"/>
          <w:lang w:val="uk-UA"/>
        </w:rPr>
        <w:t xml:space="preserve"> продовжується впровадження технології отримання лецитину з  фосфатидних концентратів соняшникової олії.  </w:t>
      </w:r>
    </w:p>
    <w:p w:rsidR="00914F53" w:rsidRPr="00D36396" w:rsidRDefault="00914F53" w:rsidP="00914F53">
      <w:pPr>
        <w:widowControl w:val="0"/>
        <w:spacing w:after="120"/>
        <w:ind w:firstLine="709"/>
        <w:jc w:val="both"/>
        <w:rPr>
          <w:color w:val="000000" w:themeColor="text1"/>
          <w:lang w:val="uk-UA"/>
        </w:rPr>
      </w:pPr>
      <w:r w:rsidRPr="00D36396">
        <w:rPr>
          <w:color w:val="000000" w:themeColor="text1"/>
          <w:lang w:val="uk-UA"/>
        </w:rPr>
        <w:t xml:space="preserve">АТ </w:t>
      </w:r>
      <w:r w:rsidR="00B96CDF" w:rsidRPr="00D36396">
        <w:rPr>
          <w:color w:val="000000" w:themeColor="text1"/>
          <w:lang w:val="uk-UA"/>
        </w:rPr>
        <w:t>«</w:t>
      </w:r>
      <w:r w:rsidRPr="00D36396">
        <w:rPr>
          <w:color w:val="000000" w:themeColor="text1"/>
          <w:lang w:val="uk-UA"/>
        </w:rPr>
        <w:t xml:space="preserve">ВО </w:t>
      </w:r>
      <w:r w:rsidR="00B96CDF" w:rsidRPr="00D36396">
        <w:rPr>
          <w:color w:val="000000" w:themeColor="text1"/>
          <w:lang w:val="uk-UA"/>
        </w:rPr>
        <w:t>«</w:t>
      </w:r>
      <w:r w:rsidRPr="00D36396">
        <w:rPr>
          <w:color w:val="000000" w:themeColor="text1"/>
          <w:lang w:val="uk-UA"/>
        </w:rPr>
        <w:t>КОНТІ</w:t>
      </w:r>
      <w:r w:rsidR="00B96CDF" w:rsidRPr="00D36396">
        <w:rPr>
          <w:color w:val="000000" w:themeColor="text1"/>
          <w:lang w:val="uk-UA"/>
        </w:rPr>
        <w:t>»</w:t>
      </w:r>
      <w:r w:rsidRPr="00D36396">
        <w:rPr>
          <w:color w:val="000000" w:themeColor="text1"/>
          <w:lang w:val="uk-UA"/>
        </w:rPr>
        <w:t xml:space="preserve">, компанія </w:t>
      </w:r>
      <w:r w:rsidR="00B96CDF" w:rsidRPr="00D36396">
        <w:rPr>
          <w:color w:val="000000" w:themeColor="text1"/>
          <w:lang w:val="uk-UA"/>
        </w:rPr>
        <w:t>«</w:t>
      </w:r>
      <w:r w:rsidRPr="00D36396">
        <w:rPr>
          <w:color w:val="000000" w:themeColor="text1"/>
          <w:lang w:val="uk-UA"/>
        </w:rPr>
        <w:t>АВК</w:t>
      </w:r>
      <w:r w:rsidR="00B96CDF" w:rsidRPr="00D36396">
        <w:rPr>
          <w:color w:val="000000" w:themeColor="text1"/>
          <w:lang w:val="uk-UA"/>
        </w:rPr>
        <w:t>»</w:t>
      </w:r>
      <w:r w:rsidRPr="00D36396">
        <w:rPr>
          <w:color w:val="000000" w:themeColor="text1"/>
          <w:lang w:val="uk-UA"/>
        </w:rPr>
        <w:t xml:space="preserve">, ТОВ </w:t>
      </w:r>
      <w:r w:rsidR="00B96CDF" w:rsidRPr="00D36396">
        <w:rPr>
          <w:color w:val="000000" w:themeColor="text1"/>
          <w:lang w:val="uk-UA"/>
        </w:rPr>
        <w:t>«</w:t>
      </w:r>
      <w:r w:rsidRPr="00D36396">
        <w:rPr>
          <w:color w:val="000000" w:themeColor="text1"/>
          <w:lang w:val="uk-UA"/>
        </w:rPr>
        <w:t>Голландський хліб</w:t>
      </w:r>
      <w:r w:rsidR="00B96CDF" w:rsidRPr="00D36396">
        <w:rPr>
          <w:color w:val="000000" w:themeColor="text1"/>
          <w:lang w:val="uk-UA"/>
        </w:rPr>
        <w:t>»</w:t>
      </w:r>
      <w:r w:rsidRPr="00D36396">
        <w:rPr>
          <w:color w:val="000000" w:themeColor="text1"/>
          <w:lang w:val="uk-UA"/>
        </w:rPr>
        <w:t xml:space="preserve"> впровадили у виробництво нові види продукції. </w:t>
      </w:r>
    </w:p>
    <w:p w:rsidR="00914F53" w:rsidRPr="00D36396" w:rsidRDefault="00914F53" w:rsidP="00914F53">
      <w:pPr>
        <w:spacing w:after="100"/>
        <w:ind w:firstLine="709"/>
        <w:jc w:val="both"/>
        <w:rPr>
          <w:color w:val="000000" w:themeColor="text1"/>
          <w:lang w:val="uk-UA"/>
        </w:rPr>
      </w:pPr>
      <w:r w:rsidRPr="00D36396">
        <w:rPr>
          <w:color w:val="000000" w:themeColor="text1"/>
          <w:lang w:val="uk-UA"/>
        </w:rPr>
        <w:t xml:space="preserve">На реалізацію заходів Програми підприємствами галузі  витрачено 203,6 </w:t>
      </w:r>
      <w:r w:rsidR="00B96CDF" w:rsidRPr="00D36396">
        <w:rPr>
          <w:color w:val="000000" w:themeColor="text1"/>
          <w:lang w:val="uk-UA"/>
        </w:rPr>
        <w:t>млн.грн.</w:t>
      </w:r>
      <w:r w:rsidRPr="00D36396">
        <w:rPr>
          <w:color w:val="000000" w:themeColor="text1"/>
          <w:lang w:val="uk-UA"/>
        </w:rPr>
        <w:t xml:space="preserve"> коштів підприємств, що складає 88,2% від запланованої суми на рік. </w:t>
      </w:r>
    </w:p>
    <w:p w:rsidR="00914F53" w:rsidRPr="00D36396" w:rsidRDefault="00914F53" w:rsidP="00914F53">
      <w:pPr>
        <w:pStyle w:val="20"/>
        <w:widowControl w:val="0"/>
        <w:spacing w:after="120"/>
        <w:ind w:firstLine="709"/>
        <w:rPr>
          <w:bCs/>
          <w:color w:val="000000" w:themeColor="text1"/>
          <w:sz w:val="24"/>
          <w:szCs w:val="24"/>
        </w:rPr>
      </w:pPr>
      <w:r w:rsidRPr="00D36396">
        <w:rPr>
          <w:bCs/>
          <w:color w:val="000000" w:themeColor="text1"/>
          <w:sz w:val="24"/>
          <w:szCs w:val="24"/>
        </w:rPr>
        <w:t xml:space="preserve">В усіх категоріях господарств </w:t>
      </w:r>
      <w:r w:rsidRPr="00D36396">
        <w:rPr>
          <w:b/>
          <w:color w:val="000000" w:themeColor="text1"/>
          <w:sz w:val="24"/>
          <w:szCs w:val="24"/>
        </w:rPr>
        <w:t>виробництво валової продукції</w:t>
      </w:r>
      <w:r w:rsidRPr="00D36396">
        <w:rPr>
          <w:bCs/>
          <w:color w:val="000000" w:themeColor="text1"/>
          <w:sz w:val="24"/>
          <w:szCs w:val="24"/>
        </w:rPr>
        <w:t xml:space="preserve"> </w:t>
      </w:r>
      <w:r w:rsidRPr="00D36396">
        <w:rPr>
          <w:b/>
          <w:bCs/>
          <w:color w:val="000000" w:themeColor="text1"/>
          <w:sz w:val="24"/>
          <w:szCs w:val="24"/>
        </w:rPr>
        <w:t>сільського господарства</w:t>
      </w:r>
      <w:r w:rsidRPr="00D36396">
        <w:rPr>
          <w:bCs/>
          <w:color w:val="000000" w:themeColor="text1"/>
          <w:sz w:val="24"/>
          <w:szCs w:val="24"/>
        </w:rPr>
        <w:t xml:space="preserve"> у порівнянних цінах 2010 року до рівня І півріччя 2011 року зросло на 10,8%.</w:t>
      </w:r>
    </w:p>
    <w:p w:rsidR="004F5CEF" w:rsidRPr="00D36396" w:rsidRDefault="004F5CEF" w:rsidP="00914F53">
      <w:pPr>
        <w:pStyle w:val="20"/>
        <w:widowControl w:val="0"/>
        <w:spacing w:after="120"/>
        <w:ind w:firstLine="709"/>
        <w:rPr>
          <w:bCs/>
          <w:color w:val="000000" w:themeColor="text1"/>
          <w:sz w:val="24"/>
          <w:szCs w:val="24"/>
        </w:rPr>
      </w:pPr>
    </w:p>
    <w:tbl>
      <w:tblPr>
        <w:tblW w:w="0" w:type="auto"/>
        <w:tblLook w:val="01E0"/>
      </w:tblPr>
      <w:tblGrid>
        <w:gridCol w:w="9854"/>
      </w:tblGrid>
      <w:tr w:rsidR="002867E2" w:rsidRPr="00D36396" w:rsidTr="004E6538">
        <w:tc>
          <w:tcPr>
            <w:tcW w:w="9854" w:type="dxa"/>
          </w:tcPr>
          <w:p w:rsidR="002867E2" w:rsidRPr="00D36396" w:rsidRDefault="002867E2" w:rsidP="004E6538">
            <w:pPr>
              <w:pStyle w:val="20"/>
              <w:widowControl w:val="0"/>
              <w:ind w:firstLine="0"/>
              <w:jc w:val="center"/>
              <w:rPr>
                <w:bCs/>
                <w:color w:val="000000" w:themeColor="text1"/>
                <w:sz w:val="24"/>
                <w:szCs w:val="24"/>
              </w:rPr>
            </w:pPr>
            <w:r w:rsidRPr="00D36396">
              <w:rPr>
                <w:b/>
                <w:bCs/>
                <w:color w:val="000000" w:themeColor="text1"/>
                <w:sz w:val="24"/>
                <w:szCs w:val="24"/>
              </w:rPr>
              <w:t>Динаміка обсягу сільськогосподарського виробництва</w:t>
            </w:r>
          </w:p>
          <w:p w:rsidR="002867E2" w:rsidRPr="00D36396" w:rsidRDefault="002867E2" w:rsidP="004E6538">
            <w:pPr>
              <w:pStyle w:val="20"/>
              <w:widowControl w:val="0"/>
              <w:spacing w:after="120"/>
              <w:ind w:firstLine="0"/>
              <w:jc w:val="center"/>
              <w:rPr>
                <w:bCs/>
                <w:i/>
                <w:color w:val="000000" w:themeColor="text1"/>
                <w:sz w:val="24"/>
                <w:szCs w:val="24"/>
              </w:rPr>
            </w:pPr>
            <w:r w:rsidRPr="00D36396">
              <w:rPr>
                <w:b/>
                <w:bCs/>
                <w:i/>
                <w:color w:val="000000" w:themeColor="text1"/>
                <w:sz w:val="24"/>
                <w:szCs w:val="24"/>
              </w:rPr>
              <w:t>(</w:t>
            </w:r>
            <w:r w:rsidRPr="00D36396">
              <w:rPr>
                <w:bCs/>
                <w:i/>
                <w:color w:val="000000" w:themeColor="text1"/>
                <w:sz w:val="24"/>
                <w:szCs w:val="24"/>
              </w:rPr>
              <w:t>наростаючим підсумком у % до відповідного періоду попереднього року)</w:t>
            </w:r>
          </w:p>
        </w:tc>
      </w:tr>
      <w:tr w:rsidR="00741C89" w:rsidRPr="00D36396" w:rsidTr="004E6538">
        <w:tc>
          <w:tcPr>
            <w:tcW w:w="9854" w:type="dxa"/>
          </w:tcPr>
          <w:p w:rsidR="00741C89" w:rsidRPr="00D36396" w:rsidRDefault="00453523" w:rsidP="004E6538">
            <w:pPr>
              <w:pStyle w:val="20"/>
              <w:widowControl w:val="0"/>
              <w:ind w:firstLine="0"/>
              <w:jc w:val="center"/>
              <w:rPr>
                <w:noProof/>
                <w:color w:val="000000" w:themeColor="text1"/>
                <w:sz w:val="24"/>
                <w:szCs w:val="24"/>
                <w:lang w:val="ru-RU"/>
              </w:rPr>
            </w:pPr>
            <w:r w:rsidRPr="00D36396">
              <w:rPr>
                <w:noProof/>
                <w:color w:val="000000" w:themeColor="text1"/>
                <w:sz w:val="24"/>
                <w:szCs w:val="24"/>
                <w:lang w:val="ru-RU"/>
              </w:rPr>
              <w:drawing>
                <wp:inline distT="0" distB="0" distL="0" distR="0">
                  <wp:extent cx="6099175" cy="1788795"/>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914F53" w:rsidRPr="00D36396" w:rsidRDefault="00914F53" w:rsidP="00914F53">
      <w:pPr>
        <w:pStyle w:val="20"/>
        <w:widowControl w:val="0"/>
        <w:ind w:firstLine="0"/>
        <w:rPr>
          <w:color w:val="000000" w:themeColor="text1"/>
          <w:sz w:val="24"/>
          <w:szCs w:val="24"/>
        </w:rPr>
      </w:pPr>
      <w:r w:rsidRPr="00D36396">
        <w:rPr>
          <w:color w:val="000000" w:themeColor="text1"/>
        </w:rPr>
        <w:tab/>
      </w:r>
      <w:r w:rsidRPr="00D36396">
        <w:rPr>
          <w:color w:val="000000" w:themeColor="text1"/>
          <w:sz w:val="24"/>
          <w:szCs w:val="24"/>
        </w:rPr>
        <w:t xml:space="preserve">Проведено комплекс агротехнічних заходів по збереженню посівів та підвищенню врожайності.  </w:t>
      </w:r>
    </w:p>
    <w:p w:rsidR="0059531C" w:rsidRPr="00D36396" w:rsidRDefault="00914F53" w:rsidP="0059531C">
      <w:pPr>
        <w:spacing w:after="100"/>
        <w:ind w:firstLine="709"/>
        <w:jc w:val="both"/>
        <w:rPr>
          <w:color w:val="000000" w:themeColor="text1"/>
          <w:lang w:val="uk-UA"/>
        </w:rPr>
      </w:pPr>
      <w:r w:rsidRPr="00D36396">
        <w:rPr>
          <w:color w:val="000000" w:themeColor="text1"/>
          <w:lang w:val="uk-UA"/>
        </w:rPr>
        <w:t>В області завершено збирання ранніх зернових культур, валовий збір склав                  1,4 млн.</w:t>
      </w:r>
      <w:r w:rsidR="00AF2D75" w:rsidRPr="00D36396">
        <w:rPr>
          <w:color w:val="000000" w:themeColor="text1"/>
          <w:lang w:val="uk-UA"/>
        </w:rPr>
        <w:t xml:space="preserve"> </w:t>
      </w:r>
      <w:r w:rsidRPr="00D36396">
        <w:rPr>
          <w:color w:val="000000" w:themeColor="text1"/>
          <w:lang w:val="uk-UA"/>
        </w:rPr>
        <w:t xml:space="preserve">т при врожайності 22,7 ц/га. </w:t>
      </w:r>
      <w:r w:rsidR="0059531C" w:rsidRPr="00D36396">
        <w:rPr>
          <w:color w:val="000000" w:themeColor="text1"/>
          <w:lang w:val="uk-UA"/>
        </w:rPr>
        <w:t>Найвища врожайність в сільгосппідприємствах Артемівського (34,8 ц/га), Мар’їнського (30,5 ц/га) районах. Врожайність понад 25 ц/га – в сільгосппідприємствах міста Красний Лиман, Новоазовського та Володарського районах. Найнижча врожайність в Шахтарському (18,6 ц/га), Добропільському (19,2 ц/га), Олександрівському (19,4 ц/га), Старобешівському (19,5 ц/га) районах.</w:t>
      </w:r>
    </w:p>
    <w:p w:rsidR="00914F53" w:rsidRPr="00D36396" w:rsidRDefault="00914F53" w:rsidP="00914F53">
      <w:pPr>
        <w:pStyle w:val="220"/>
        <w:widowControl w:val="0"/>
        <w:spacing w:after="0"/>
        <w:rPr>
          <w:color w:val="000000" w:themeColor="text1"/>
          <w:szCs w:val="24"/>
          <w:lang w:val="ru-RU"/>
        </w:rPr>
      </w:pPr>
      <w:r w:rsidRPr="00D36396">
        <w:rPr>
          <w:color w:val="000000" w:themeColor="text1"/>
          <w:szCs w:val="24"/>
        </w:rPr>
        <w:t xml:space="preserve">В тваринництві порівняно з відповідним періодом минулого року в усіх категоріях господарств </w:t>
      </w:r>
      <w:r w:rsidRPr="00D36396">
        <w:rPr>
          <w:color w:val="000000" w:themeColor="text1"/>
        </w:rPr>
        <w:t>реалізація на забій худоби та птиці зросла на 2,8% (завдання Програми на рік виконано на 41,6%)</w:t>
      </w:r>
      <w:r w:rsidRPr="00D36396">
        <w:rPr>
          <w:color w:val="000000" w:themeColor="text1"/>
          <w:szCs w:val="24"/>
        </w:rPr>
        <w:t>, виробництво молока збільшилось  на 1,8%</w:t>
      </w:r>
      <w:r w:rsidR="001365EA" w:rsidRPr="00D36396">
        <w:rPr>
          <w:color w:val="000000" w:themeColor="text1"/>
          <w:szCs w:val="24"/>
        </w:rPr>
        <w:t xml:space="preserve"> (48,9%), яєць на 6,5% (50,6%)</w:t>
      </w:r>
      <w:r w:rsidR="001365EA" w:rsidRPr="00D36396">
        <w:rPr>
          <w:color w:val="000000" w:themeColor="text1"/>
          <w:szCs w:val="24"/>
          <w:lang w:val="ru-RU"/>
        </w:rPr>
        <w:t>.</w:t>
      </w:r>
    </w:p>
    <w:p w:rsidR="004B37BD" w:rsidRPr="00D36396" w:rsidRDefault="004B37BD" w:rsidP="00914F53">
      <w:pPr>
        <w:pStyle w:val="220"/>
        <w:widowControl w:val="0"/>
        <w:spacing w:after="0"/>
        <w:rPr>
          <w:color w:val="000000" w:themeColor="text1"/>
          <w:szCs w:val="24"/>
          <w:lang w:val="ru-RU"/>
        </w:rPr>
      </w:pPr>
    </w:p>
    <w:p w:rsidR="004B37BD" w:rsidRPr="00D36396" w:rsidRDefault="004B37BD" w:rsidP="00914F53">
      <w:pPr>
        <w:pStyle w:val="220"/>
        <w:widowControl w:val="0"/>
        <w:spacing w:after="0"/>
        <w:rPr>
          <w:color w:val="000000" w:themeColor="text1"/>
          <w:szCs w:val="24"/>
          <w:lang w:val="ru-RU"/>
        </w:rPr>
      </w:pPr>
    </w:p>
    <w:tbl>
      <w:tblPr>
        <w:tblW w:w="0" w:type="auto"/>
        <w:tblLook w:val="01E0"/>
      </w:tblPr>
      <w:tblGrid>
        <w:gridCol w:w="9854"/>
      </w:tblGrid>
      <w:tr w:rsidR="002867E2" w:rsidRPr="00D36396" w:rsidTr="004E6538">
        <w:tc>
          <w:tcPr>
            <w:tcW w:w="9854" w:type="dxa"/>
          </w:tcPr>
          <w:p w:rsidR="002867E2" w:rsidRPr="00D36396" w:rsidRDefault="002867E2" w:rsidP="004E6538">
            <w:pPr>
              <w:pStyle w:val="210"/>
              <w:widowControl w:val="0"/>
              <w:ind w:firstLine="0"/>
              <w:jc w:val="center"/>
              <w:rPr>
                <w:b/>
                <w:bCs/>
                <w:color w:val="000000" w:themeColor="text1"/>
              </w:rPr>
            </w:pPr>
            <w:r w:rsidRPr="00D36396">
              <w:rPr>
                <w:b/>
                <w:bCs/>
                <w:color w:val="000000" w:themeColor="text1"/>
              </w:rPr>
              <w:lastRenderedPageBreak/>
              <w:t>Виробництво продукції тваринництва, тис.т</w:t>
            </w:r>
          </w:p>
        </w:tc>
      </w:tr>
      <w:tr w:rsidR="002867E2" w:rsidRPr="00D36396" w:rsidTr="004E6538">
        <w:tc>
          <w:tcPr>
            <w:tcW w:w="9854" w:type="dxa"/>
          </w:tcPr>
          <w:p w:rsidR="002867E2" w:rsidRPr="00D36396" w:rsidRDefault="00050D9A" w:rsidP="004E6538">
            <w:pPr>
              <w:pStyle w:val="210"/>
              <w:widowControl w:val="0"/>
              <w:ind w:firstLine="0"/>
              <w:jc w:val="center"/>
              <w:rPr>
                <w:b/>
                <w:bCs/>
                <w:color w:val="000000" w:themeColor="text1"/>
              </w:rPr>
            </w:pPr>
            <w:r w:rsidRPr="00D36396">
              <w:rPr>
                <w:b/>
                <w:noProof/>
                <w:color w:val="000000" w:themeColor="text1"/>
                <w:lang w:val="ru-RU"/>
              </w:rPr>
              <w:drawing>
                <wp:inline distT="0" distB="0" distL="0" distR="0">
                  <wp:extent cx="6189980" cy="228092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914F53" w:rsidRPr="00D36396" w:rsidRDefault="00914F53" w:rsidP="00914F53">
      <w:pPr>
        <w:pStyle w:val="210"/>
        <w:widowControl w:val="0"/>
        <w:ind w:firstLine="0"/>
        <w:rPr>
          <w:color w:val="000000" w:themeColor="text1"/>
        </w:rPr>
      </w:pPr>
      <w:r w:rsidRPr="00D36396">
        <w:rPr>
          <w:color w:val="000000" w:themeColor="text1"/>
        </w:rPr>
        <w:tab/>
      </w:r>
      <w:r w:rsidR="0059531C" w:rsidRPr="00D36396">
        <w:rPr>
          <w:color w:val="000000" w:themeColor="text1"/>
        </w:rPr>
        <w:t xml:space="preserve">В усіх категоріях господарств надій молока від однієї корови, яка була в наявності на початок року, збільшився 1,1% і склав </w:t>
      </w:r>
      <w:smartTag w:uri="urn:schemas-microsoft-com:office:smarttags" w:element="metricconverter">
        <w:smartTagPr>
          <w:attr w:name="ProductID" w:val="2298 кг"/>
        </w:smartTagPr>
        <w:r w:rsidR="0059531C" w:rsidRPr="00D36396">
          <w:rPr>
            <w:color w:val="000000" w:themeColor="text1"/>
          </w:rPr>
          <w:t>2298 кг</w:t>
        </w:r>
      </w:smartTag>
      <w:r w:rsidR="0059531C" w:rsidRPr="00D36396">
        <w:rPr>
          <w:color w:val="000000" w:themeColor="text1"/>
        </w:rPr>
        <w:t>. Найвищі надої в сільгосппідприємствах Старобешівського (</w:t>
      </w:r>
      <w:smartTag w:uri="urn:schemas-microsoft-com:office:smarttags" w:element="metricconverter">
        <w:smartTagPr>
          <w:attr w:name="ProductID" w:val="3190 кг"/>
        </w:smartTagPr>
        <w:r w:rsidR="0059531C" w:rsidRPr="00D36396">
          <w:rPr>
            <w:color w:val="000000" w:themeColor="text1"/>
          </w:rPr>
          <w:t>3190 кг</w:t>
        </w:r>
      </w:smartTag>
      <w:r w:rsidR="0059531C" w:rsidRPr="00D36396">
        <w:rPr>
          <w:color w:val="000000" w:themeColor="text1"/>
        </w:rPr>
        <w:t>), Мар’їнського (</w:t>
      </w:r>
      <w:smartTag w:uri="urn:schemas-microsoft-com:office:smarttags" w:element="metricconverter">
        <w:smartTagPr>
          <w:attr w:name="ProductID" w:val="2745 кг"/>
        </w:smartTagPr>
        <w:r w:rsidR="0059531C" w:rsidRPr="00D36396">
          <w:rPr>
            <w:color w:val="000000" w:themeColor="text1"/>
          </w:rPr>
          <w:t>2745 кг</w:t>
        </w:r>
      </w:smartTag>
      <w:r w:rsidR="0059531C" w:rsidRPr="00D36396">
        <w:rPr>
          <w:color w:val="000000" w:themeColor="text1"/>
        </w:rPr>
        <w:t>), Волноваського (</w:t>
      </w:r>
      <w:smartTag w:uri="urn:schemas-microsoft-com:office:smarttags" w:element="metricconverter">
        <w:smartTagPr>
          <w:attr w:name="ProductID" w:val="2677 кг"/>
        </w:smartTagPr>
        <w:r w:rsidR="0059531C" w:rsidRPr="00D36396">
          <w:rPr>
            <w:color w:val="000000" w:themeColor="text1"/>
          </w:rPr>
          <w:t>2677 кг</w:t>
        </w:r>
      </w:smartTag>
      <w:r w:rsidR="0059531C" w:rsidRPr="00D36396">
        <w:rPr>
          <w:color w:val="000000" w:themeColor="text1"/>
        </w:rPr>
        <w:t>)  районів, найнижчі – в сільгосппідприємствах Костянтинівського району (943</w:t>
      </w:r>
      <w:r w:rsidR="00D36396" w:rsidRPr="00D36396">
        <w:rPr>
          <w:color w:val="000000" w:themeColor="text1"/>
        </w:rPr>
        <w:t xml:space="preserve"> </w:t>
      </w:r>
      <w:r w:rsidR="0059531C" w:rsidRPr="00D36396">
        <w:rPr>
          <w:color w:val="000000" w:themeColor="text1"/>
        </w:rPr>
        <w:t xml:space="preserve">кг), міста </w:t>
      </w:r>
      <w:r w:rsidR="00662E0D" w:rsidRPr="00D36396">
        <w:rPr>
          <w:color w:val="000000" w:themeColor="text1"/>
        </w:rPr>
        <w:t xml:space="preserve">                    </w:t>
      </w:r>
      <w:r w:rsidR="0059531C" w:rsidRPr="00D36396">
        <w:rPr>
          <w:color w:val="000000" w:themeColor="text1"/>
        </w:rPr>
        <w:t>Красний Лиман (</w:t>
      </w:r>
      <w:smartTag w:uri="urn:schemas-microsoft-com:office:smarttags" w:element="metricconverter">
        <w:smartTagPr>
          <w:attr w:name="ProductID" w:val="1192 кг"/>
        </w:smartTagPr>
        <w:r w:rsidR="0059531C" w:rsidRPr="00D36396">
          <w:rPr>
            <w:color w:val="000000" w:themeColor="text1"/>
          </w:rPr>
          <w:t>1192 кг</w:t>
        </w:r>
      </w:smartTag>
      <w:r w:rsidR="0059531C" w:rsidRPr="00D36396">
        <w:rPr>
          <w:color w:val="000000" w:themeColor="text1"/>
        </w:rPr>
        <w:t>), Слов’янського району (</w:t>
      </w:r>
      <w:smartTag w:uri="urn:schemas-microsoft-com:office:smarttags" w:element="metricconverter">
        <w:smartTagPr>
          <w:attr w:name="ProductID" w:val="1224 кг"/>
        </w:smartTagPr>
        <w:r w:rsidR="0059531C" w:rsidRPr="00D36396">
          <w:rPr>
            <w:color w:val="000000" w:themeColor="text1"/>
          </w:rPr>
          <w:t>1224 кг</w:t>
        </w:r>
      </w:smartTag>
      <w:r w:rsidR="0059531C" w:rsidRPr="00D36396">
        <w:rPr>
          <w:color w:val="000000" w:themeColor="text1"/>
        </w:rPr>
        <w:t>).</w:t>
      </w:r>
    </w:p>
    <w:p w:rsidR="00914F53" w:rsidRPr="00D36396" w:rsidRDefault="00914F53" w:rsidP="00914F53">
      <w:pPr>
        <w:widowControl w:val="0"/>
        <w:ind w:firstLine="709"/>
        <w:jc w:val="both"/>
        <w:rPr>
          <w:color w:val="000000" w:themeColor="text1"/>
          <w:lang w:val="uk-UA"/>
        </w:rPr>
      </w:pPr>
      <w:r w:rsidRPr="00D36396">
        <w:rPr>
          <w:color w:val="000000" w:themeColor="text1"/>
          <w:lang w:val="uk-UA"/>
        </w:rPr>
        <w:t xml:space="preserve">Чисельність великої рогатої худоби порівняно з </w:t>
      </w:r>
      <w:r w:rsidR="008F588C" w:rsidRPr="00D36396">
        <w:rPr>
          <w:color w:val="000000" w:themeColor="text1"/>
          <w:lang w:val="uk-UA"/>
        </w:rPr>
        <w:t>першим</w:t>
      </w:r>
      <w:r w:rsidRPr="00D36396">
        <w:rPr>
          <w:color w:val="000000" w:themeColor="text1"/>
          <w:lang w:val="uk-UA"/>
        </w:rPr>
        <w:t xml:space="preserve"> півріччям 2011 року скоротилась на 1,7% (у тому числі корів – на 2,5%), птиці – на 3,2%. Поголів’я свиней зросло на 3,4%, овець та кіз – на 2,2%.</w:t>
      </w:r>
    </w:p>
    <w:tbl>
      <w:tblPr>
        <w:tblW w:w="0" w:type="auto"/>
        <w:tblLook w:val="01E0"/>
      </w:tblPr>
      <w:tblGrid>
        <w:gridCol w:w="9854"/>
      </w:tblGrid>
      <w:tr w:rsidR="002867E2" w:rsidRPr="00D36396" w:rsidTr="004E6538">
        <w:tc>
          <w:tcPr>
            <w:tcW w:w="9854" w:type="dxa"/>
          </w:tcPr>
          <w:p w:rsidR="002867E2" w:rsidRPr="00D36396" w:rsidRDefault="002867E2" w:rsidP="004E6538">
            <w:pPr>
              <w:widowControl w:val="0"/>
              <w:spacing w:before="120"/>
              <w:jc w:val="center"/>
              <w:rPr>
                <w:b/>
                <w:bCs/>
                <w:color w:val="000000" w:themeColor="text1"/>
                <w:lang w:val="uk-UA"/>
              </w:rPr>
            </w:pPr>
            <w:r w:rsidRPr="00D36396">
              <w:rPr>
                <w:b/>
                <w:bCs/>
                <w:color w:val="000000" w:themeColor="text1"/>
                <w:lang w:val="uk-UA"/>
              </w:rPr>
              <w:t>Поголів'я худоби, тис. голів</w:t>
            </w:r>
          </w:p>
        </w:tc>
      </w:tr>
      <w:tr w:rsidR="002867E2" w:rsidRPr="00D36396" w:rsidTr="004E6538">
        <w:tc>
          <w:tcPr>
            <w:tcW w:w="9854" w:type="dxa"/>
          </w:tcPr>
          <w:p w:rsidR="002867E2" w:rsidRPr="00D36396" w:rsidRDefault="00050D9A" w:rsidP="004E6538">
            <w:pPr>
              <w:widowControl w:val="0"/>
              <w:jc w:val="both"/>
              <w:rPr>
                <w:color w:val="000000" w:themeColor="text1"/>
                <w:lang w:val="uk-UA"/>
              </w:rPr>
            </w:pPr>
            <w:r w:rsidRPr="00D36396">
              <w:rPr>
                <w:noProof/>
                <w:color w:val="000000" w:themeColor="text1"/>
              </w:rPr>
              <w:drawing>
                <wp:inline distT="0" distB="0" distL="0" distR="0">
                  <wp:extent cx="6119495" cy="228092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B6C43" w:rsidRPr="00D36396" w:rsidRDefault="004B6C43" w:rsidP="00914F53">
      <w:pPr>
        <w:widowControl w:val="0"/>
        <w:jc w:val="both"/>
        <w:rPr>
          <w:color w:val="000000" w:themeColor="text1"/>
          <w:lang w:val="uk-UA"/>
        </w:rPr>
      </w:pPr>
    </w:p>
    <w:p w:rsidR="00914F53" w:rsidRPr="00D36396" w:rsidRDefault="00914F53" w:rsidP="004B6C43">
      <w:pPr>
        <w:widowControl w:val="0"/>
        <w:ind w:firstLine="720"/>
        <w:jc w:val="both"/>
        <w:rPr>
          <w:color w:val="000000" w:themeColor="text1"/>
          <w:lang w:val="uk-UA"/>
        </w:rPr>
      </w:pPr>
      <w:r w:rsidRPr="00D36396">
        <w:rPr>
          <w:color w:val="000000" w:themeColor="text1"/>
          <w:lang w:val="uk-UA"/>
        </w:rPr>
        <w:t>З метою підвищення ефективності аграрного виробництва, забезпечення потреб населення в продовольстві здійснювалось будівництво та реконструкція великотоварних комплексів.</w:t>
      </w:r>
    </w:p>
    <w:p w:rsidR="00914F53" w:rsidRPr="00D36396" w:rsidRDefault="00914F53" w:rsidP="00914F53">
      <w:pPr>
        <w:pStyle w:val="a4"/>
        <w:spacing w:after="120" w:line="240" w:lineRule="auto"/>
        <w:ind w:left="-33" w:firstLine="753"/>
        <w:rPr>
          <w:color w:val="000000" w:themeColor="text1"/>
          <w:sz w:val="24"/>
          <w:szCs w:val="24"/>
        </w:rPr>
      </w:pPr>
      <w:r w:rsidRPr="00D36396">
        <w:rPr>
          <w:color w:val="000000" w:themeColor="text1"/>
          <w:sz w:val="24"/>
          <w:szCs w:val="24"/>
        </w:rPr>
        <w:t xml:space="preserve">У ТОВ </w:t>
      </w:r>
      <w:r w:rsidR="00B96CDF" w:rsidRPr="00D36396">
        <w:rPr>
          <w:color w:val="000000" w:themeColor="text1"/>
          <w:sz w:val="24"/>
          <w:szCs w:val="24"/>
        </w:rPr>
        <w:t>«</w:t>
      </w:r>
      <w:r w:rsidRPr="00D36396">
        <w:rPr>
          <w:color w:val="000000" w:themeColor="text1"/>
          <w:sz w:val="24"/>
          <w:szCs w:val="24"/>
        </w:rPr>
        <w:t>Мир</w:t>
      </w:r>
      <w:r w:rsidR="00B96CDF" w:rsidRPr="00D36396">
        <w:rPr>
          <w:color w:val="000000" w:themeColor="text1"/>
          <w:sz w:val="24"/>
          <w:szCs w:val="24"/>
        </w:rPr>
        <w:t>»</w:t>
      </w:r>
      <w:r w:rsidRPr="00D36396">
        <w:rPr>
          <w:color w:val="000000" w:themeColor="text1"/>
          <w:sz w:val="24"/>
          <w:szCs w:val="24"/>
        </w:rPr>
        <w:t xml:space="preserve"> (Ясинуватський район) велось будівництво ІІ черги комплексу по вирощуванню овочів. </w:t>
      </w:r>
    </w:p>
    <w:p w:rsidR="00914F53" w:rsidRPr="00D36396" w:rsidRDefault="00914F53" w:rsidP="00914F53">
      <w:pPr>
        <w:pStyle w:val="a4"/>
        <w:spacing w:after="120" w:line="240" w:lineRule="auto"/>
        <w:ind w:left="-33" w:firstLine="753"/>
        <w:rPr>
          <w:color w:val="000000" w:themeColor="text1"/>
          <w:sz w:val="24"/>
          <w:szCs w:val="24"/>
        </w:rPr>
      </w:pPr>
      <w:r w:rsidRPr="00D36396">
        <w:rPr>
          <w:color w:val="000000" w:themeColor="text1"/>
          <w:sz w:val="24"/>
          <w:szCs w:val="24"/>
        </w:rPr>
        <w:t xml:space="preserve">У ТОВ </w:t>
      </w:r>
      <w:r w:rsidR="00B96CDF" w:rsidRPr="00D36396">
        <w:rPr>
          <w:color w:val="000000" w:themeColor="text1"/>
          <w:sz w:val="24"/>
          <w:szCs w:val="24"/>
        </w:rPr>
        <w:t>«</w:t>
      </w:r>
      <w:r w:rsidRPr="00D36396">
        <w:rPr>
          <w:color w:val="000000" w:themeColor="text1"/>
          <w:sz w:val="24"/>
          <w:szCs w:val="24"/>
        </w:rPr>
        <w:t>МІКО-ФУД</w:t>
      </w:r>
      <w:r w:rsidR="00B96CDF" w:rsidRPr="00D36396">
        <w:rPr>
          <w:color w:val="000000" w:themeColor="text1"/>
          <w:sz w:val="24"/>
          <w:szCs w:val="24"/>
        </w:rPr>
        <w:t>»</w:t>
      </w:r>
      <w:r w:rsidRPr="00D36396">
        <w:rPr>
          <w:color w:val="000000" w:themeColor="text1"/>
          <w:sz w:val="24"/>
          <w:szCs w:val="24"/>
        </w:rPr>
        <w:t xml:space="preserve"> (Ясинуватський район) велось будівництво ІІ черги комплексу по вирощуванню грибів. </w:t>
      </w:r>
    </w:p>
    <w:p w:rsidR="00914F53" w:rsidRPr="00D36396" w:rsidRDefault="00914F53" w:rsidP="00914F53">
      <w:pPr>
        <w:spacing w:after="120"/>
        <w:ind w:firstLine="792"/>
        <w:jc w:val="both"/>
        <w:rPr>
          <w:color w:val="000000" w:themeColor="text1"/>
          <w:lang w:val="uk-UA"/>
        </w:rPr>
      </w:pPr>
      <w:r w:rsidRPr="00D36396">
        <w:rPr>
          <w:color w:val="000000" w:themeColor="text1"/>
          <w:lang w:val="uk-UA"/>
        </w:rPr>
        <w:t xml:space="preserve">В рамках реалізації інвестиційного проекту </w:t>
      </w:r>
      <w:r w:rsidR="00B96CDF" w:rsidRPr="00D36396">
        <w:rPr>
          <w:color w:val="000000" w:themeColor="text1"/>
          <w:lang w:val="uk-UA"/>
        </w:rPr>
        <w:t>«</w:t>
      </w:r>
      <w:r w:rsidRPr="00D36396">
        <w:rPr>
          <w:color w:val="000000" w:themeColor="text1"/>
          <w:lang w:val="uk-UA"/>
        </w:rPr>
        <w:t xml:space="preserve">Розширення підприємства                                 ДП </w:t>
      </w:r>
      <w:r w:rsidR="00B96CDF" w:rsidRPr="00D36396">
        <w:rPr>
          <w:color w:val="000000" w:themeColor="text1"/>
          <w:lang w:val="uk-UA"/>
        </w:rPr>
        <w:t>«</w:t>
      </w:r>
      <w:r w:rsidRPr="00D36396">
        <w:rPr>
          <w:color w:val="000000" w:themeColor="text1"/>
          <w:lang w:val="uk-UA"/>
        </w:rPr>
        <w:t>Птахофабрика Шахтарська Нова</w:t>
      </w:r>
      <w:r w:rsidR="00B96CDF" w:rsidRPr="00D36396">
        <w:rPr>
          <w:color w:val="000000" w:themeColor="text1"/>
          <w:lang w:val="uk-UA"/>
        </w:rPr>
        <w:t>»</w:t>
      </w:r>
      <w:r w:rsidRPr="00D36396">
        <w:rPr>
          <w:color w:val="000000" w:themeColor="text1"/>
          <w:lang w:val="uk-UA"/>
        </w:rPr>
        <w:t xml:space="preserve"> ПАТ </w:t>
      </w:r>
      <w:r w:rsidR="00B96CDF" w:rsidRPr="00D36396">
        <w:rPr>
          <w:color w:val="000000" w:themeColor="text1"/>
          <w:lang w:val="uk-UA"/>
        </w:rPr>
        <w:t>«</w:t>
      </w:r>
      <w:r w:rsidRPr="00D36396">
        <w:rPr>
          <w:color w:val="000000" w:themeColor="text1"/>
          <w:lang w:val="uk-UA"/>
        </w:rPr>
        <w:t>Миронівський хлібопродукт</w:t>
      </w:r>
      <w:r w:rsidR="00B96CDF" w:rsidRPr="00D36396">
        <w:rPr>
          <w:color w:val="000000" w:themeColor="text1"/>
          <w:lang w:val="uk-UA"/>
        </w:rPr>
        <w:t>»</w:t>
      </w:r>
      <w:r w:rsidRPr="00D36396">
        <w:rPr>
          <w:color w:val="000000" w:themeColor="text1"/>
          <w:lang w:val="uk-UA"/>
        </w:rPr>
        <w:t xml:space="preserve"> введено в експлуатацію першу зону з вирощування ремонтного молодняка. </w:t>
      </w:r>
    </w:p>
    <w:p w:rsidR="00914F53" w:rsidRPr="00D36396" w:rsidRDefault="00914F53" w:rsidP="00914F53">
      <w:pPr>
        <w:spacing w:after="120"/>
        <w:ind w:firstLine="612"/>
        <w:jc w:val="both"/>
        <w:rPr>
          <w:color w:val="000000" w:themeColor="text1"/>
          <w:lang w:val="uk-UA"/>
        </w:rPr>
      </w:pPr>
      <w:r w:rsidRPr="00D36396">
        <w:rPr>
          <w:color w:val="000000" w:themeColor="text1"/>
          <w:lang w:val="uk-UA"/>
        </w:rPr>
        <w:t xml:space="preserve">Введено в експлуатацію І чергу оптового ринку сільськогосподарської продукції </w:t>
      </w:r>
      <w:r w:rsidR="00B96CDF" w:rsidRPr="00D36396">
        <w:rPr>
          <w:color w:val="000000" w:themeColor="text1"/>
          <w:lang w:val="uk-UA"/>
        </w:rPr>
        <w:t>«</w:t>
      </w:r>
      <w:r w:rsidRPr="00D36396">
        <w:rPr>
          <w:color w:val="000000" w:themeColor="text1"/>
          <w:lang w:val="uk-UA"/>
        </w:rPr>
        <w:t>Азовський</w:t>
      </w:r>
      <w:r w:rsidR="00B96CDF" w:rsidRPr="00D36396">
        <w:rPr>
          <w:color w:val="000000" w:themeColor="text1"/>
          <w:lang w:val="uk-UA"/>
        </w:rPr>
        <w:t>»</w:t>
      </w:r>
      <w:r w:rsidRPr="00D36396">
        <w:rPr>
          <w:color w:val="000000" w:themeColor="text1"/>
          <w:lang w:val="uk-UA"/>
        </w:rPr>
        <w:t xml:space="preserve"> (м.</w:t>
      </w:r>
      <w:r w:rsidR="00AF2D75" w:rsidRPr="00D36396">
        <w:rPr>
          <w:color w:val="000000" w:themeColor="text1"/>
          <w:lang w:val="uk-UA"/>
        </w:rPr>
        <w:t xml:space="preserve"> </w:t>
      </w:r>
      <w:r w:rsidRPr="00D36396">
        <w:rPr>
          <w:color w:val="000000" w:themeColor="text1"/>
          <w:lang w:val="uk-UA"/>
        </w:rPr>
        <w:t>Маріуполь).</w:t>
      </w:r>
    </w:p>
    <w:p w:rsidR="00914F53" w:rsidRPr="00D36396" w:rsidRDefault="00914F53" w:rsidP="00914F53">
      <w:pPr>
        <w:pStyle w:val="a4"/>
        <w:widowControl w:val="0"/>
        <w:spacing w:after="120" w:line="240" w:lineRule="auto"/>
        <w:ind w:right="0" w:firstLine="709"/>
        <w:rPr>
          <w:color w:val="000000" w:themeColor="text1"/>
          <w:sz w:val="24"/>
          <w:szCs w:val="24"/>
        </w:rPr>
      </w:pPr>
      <w:r w:rsidRPr="00D36396">
        <w:rPr>
          <w:color w:val="000000" w:themeColor="text1"/>
          <w:sz w:val="24"/>
          <w:szCs w:val="24"/>
        </w:rPr>
        <w:lastRenderedPageBreak/>
        <w:t xml:space="preserve">Для оновлення машинно-тракторного парку з початку року придбано 112 одиниць сільськогосподарської техніки на суму 49,6 </w:t>
      </w:r>
      <w:r w:rsidR="00B96CDF" w:rsidRPr="00D36396">
        <w:rPr>
          <w:color w:val="000000" w:themeColor="text1"/>
          <w:sz w:val="24"/>
          <w:szCs w:val="24"/>
        </w:rPr>
        <w:t>млн.грн.</w:t>
      </w:r>
    </w:p>
    <w:p w:rsidR="00914F53" w:rsidRPr="00D36396" w:rsidRDefault="00914F53" w:rsidP="00914F53">
      <w:pPr>
        <w:pStyle w:val="a4"/>
        <w:widowControl w:val="0"/>
        <w:spacing w:after="120" w:line="240" w:lineRule="auto"/>
        <w:ind w:right="0" w:firstLine="709"/>
        <w:rPr>
          <w:color w:val="000000" w:themeColor="text1"/>
          <w:sz w:val="24"/>
          <w:szCs w:val="24"/>
        </w:rPr>
      </w:pPr>
      <w:r w:rsidRPr="00D36396">
        <w:rPr>
          <w:color w:val="000000" w:themeColor="text1"/>
          <w:sz w:val="24"/>
          <w:szCs w:val="24"/>
        </w:rPr>
        <w:t xml:space="preserve">На реалізацію заходів Програми щодо розвитку сільського господарства було спрямовано 250,7 </w:t>
      </w:r>
      <w:r w:rsidR="00B96CDF" w:rsidRPr="00D36396">
        <w:rPr>
          <w:color w:val="000000" w:themeColor="text1"/>
          <w:sz w:val="24"/>
          <w:szCs w:val="24"/>
        </w:rPr>
        <w:t>млн.грн.</w:t>
      </w:r>
      <w:r w:rsidRPr="00D36396">
        <w:rPr>
          <w:color w:val="000000" w:themeColor="text1"/>
          <w:sz w:val="24"/>
          <w:szCs w:val="24"/>
        </w:rPr>
        <w:t>, що складає 15,6% від запланованої суми на рік.</w:t>
      </w:r>
    </w:p>
    <w:p w:rsidR="00914F53" w:rsidRPr="00D36396" w:rsidRDefault="00914F53" w:rsidP="00914F53">
      <w:pPr>
        <w:spacing w:after="120"/>
        <w:ind w:firstLine="709"/>
        <w:jc w:val="both"/>
        <w:rPr>
          <w:b/>
          <w:bCs/>
          <w:color w:val="000000" w:themeColor="text1"/>
          <w:lang w:val="uk-UA"/>
        </w:rPr>
      </w:pPr>
      <w:r w:rsidRPr="00D36396">
        <w:rPr>
          <w:color w:val="000000" w:themeColor="text1"/>
          <w:lang w:val="uk-UA"/>
        </w:rPr>
        <w:t xml:space="preserve">Продовжувалася робота по </w:t>
      </w:r>
      <w:r w:rsidRPr="00D36396">
        <w:rPr>
          <w:b/>
          <w:bCs/>
          <w:color w:val="000000" w:themeColor="text1"/>
          <w:lang w:val="uk-UA"/>
        </w:rPr>
        <w:t>реформуванню земельних відносин.</w:t>
      </w:r>
    </w:p>
    <w:p w:rsidR="00914F53" w:rsidRPr="00D36396" w:rsidRDefault="00914F53" w:rsidP="00914F53">
      <w:pPr>
        <w:spacing w:after="120"/>
        <w:ind w:firstLine="709"/>
        <w:jc w:val="both"/>
        <w:rPr>
          <w:color w:val="000000" w:themeColor="text1"/>
          <w:lang w:val="uk-UA"/>
        </w:rPr>
      </w:pPr>
      <w:r w:rsidRPr="00D36396">
        <w:rPr>
          <w:color w:val="000000" w:themeColor="text1"/>
          <w:lang w:val="uk-UA"/>
        </w:rPr>
        <w:t xml:space="preserve">В області із загальної чисельності громадян, які набули право на земельну частку (пай), 98,8% одержали сертифікати. Виготовлено 230,4 тис. державних актів на право приватної власності на землю взамін сертифікатів, або 98,1%, видано – 97,2%. </w:t>
      </w:r>
    </w:p>
    <w:p w:rsidR="00914F53" w:rsidRPr="00D36396" w:rsidRDefault="00914F53" w:rsidP="00914F53">
      <w:pPr>
        <w:spacing w:after="120"/>
        <w:ind w:firstLine="709"/>
        <w:jc w:val="both"/>
        <w:rPr>
          <w:color w:val="000000" w:themeColor="text1"/>
          <w:lang w:val="uk-UA"/>
        </w:rPr>
      </w:pPr>
      <w:r w:rsidRPr="00D36396">
        <w:rPr>
          <w:color w:val="000000" w:themeColor="text1"/>
          <w:lang w:val="uk-UA"/>
        </w:rPr>
        <w:t>Укладено 176,7 тис. договорів на оренду земельної частки (паю), що становить 75,3% від загальної кількості отриманих громадянами сертифікатів. Середній розмір орендної плати становить 389,22</w:t>
      </w:r>
      <w:r w:rsidR="00F5461E" w:rsidRPr="00D36396">
        <w:rPr>
          <w:color w:val="000000" w:themeColor="text1"/>
          <w:lang w:val="uk-UA"/>
        </w:rPr>
        <w:t xml:space="preserve"> грн. за </w:t>
      </w:r>
      <w:smartTag w:uri="urn:schemas-microsoft-com:office:smarttags" w:element="metricconverter">
        <w:smartTagPr>
          <w:attr w:name="ProductID" w:val="1 га"/>
        </w:smartTagPr>
        <w:r w:rsidR="00F5461E" w:rsidRPr="00D36396">
          <w:rPr>
            <w:color w:val="000000" w:themeColor="text1"/>
            <w:lang w:val="uk-UA"/>
          </w:rPr>
          <w:t>1 га</w:t>
        </w:r>
      </w:smartTag>
      <w:r w:rsidRPr="00D36396">
        <w:rPr>
          <w:color w:val="000000" w:themeColor="text1"/>
          <w:lang w:val="uk-UA"/>
        </w:rPr>
        <w:t xml:space="preserve">, або 3% проіндексованої грошової вартості земельних ділянок. </w:t>
      </w:r>
    </w:p>
    <w:p w:rsidR="00914F53" w:rsidRPr="00D36396" w:rsidRDefault="00914F53" w:rsidP="00914F53">
      <w:pPr>
        <w:pStyle w:val="20"/>
        <w:spacing w:after="120"/>
        <w:ind w:firstLine="709"/>
        <w:rPr>
          <w:color w:val="000000" w:themeColor="text1"/>
          <w:sz w:val="24"/>
          <w:szCs w:val="24"/>
        </w:rPr>
      </w:pPr>
      <w:r w:rsidRPr="00D36396">
        <w:rPr>
          <w:color w:val="000000" w:themeColor="text1"/>
          <w:sz w:val="24"/>
          <w:szCs w:val="24"/>
        </w:rPr>
        <w:t>Розроблено 11 проектів землеустрою, що забезпечують еколого-економічне обґрунтування сівозмін та впорядкування угідь на території Амвросіївського (3 проекти), Артемівського (3), Волноваського (3), Красноармійського (1), Шахтарського (1) районів  (профінансовано 3,4% обсягу, передбаченого на рік).</w:t>
      </w:r>
    </w:p>
    <w:p w:rsidR="00914F53" w:rsidRPr="00D36396" w:rsidRDefault="00914F53" w:rsidP="00914F53">
      <w:pPr>
        <w:spacing w:after="120"/>
        <w:ind w:firstLine="709"/>
        <w:jc w:val="both"/>
        <w:rPr>
          <w:color w:val="000000" w:themeColor="text1"/>
          <w:lang w:val="uk-UA"/>
        </w:rPr>
      </w:pPr>
      <w:r w:rsidRPr="00D36396">
        <w:rPr>
          <w:color w:val="000000" w:themeColor="text1"/>
          <w:lang w:val="uk-UA"/>
        </w:rPr>
        <w:t>Здійснено розмежування земель державної та комунальної власності на території Амвросіївського, Добропільського, Костянтинівського, Олександрівського, Тельманівського районів (6,7%).</w:t>
      </w:r>
    </w:p>
    <w:p w:rsidR="00914F53" w:rsidRPr="00D36396" w:rsidRDefault="00914F53" w:rsidP="00914F53">
      <w:pPr>
        <w:spacing w:after="120"/>
        <w:ind w:firstLine="709"/>
        <w:jc w:val="both"/>
        <w:rPr>
          <w:rFonts w:eastAsia="SimSun"/>
          <w:color w:val="000000" w:themeColor="text1"/>
          <w:lang w:val="uk-UA"/>
        </w:rPr>
      </w:pPr>
      <w:r w:rsidRPr="00D36396">
        <w:rPr>
          <w:rFonts w:eastAsia="SimSun"/>
          <w:color w:val="000000" w:themeColor="text1"/>
          <w:lang w:val="uk-UA"/>
        </w:rPr>
        <w:t>Проведено нормативну грошову оцінку земель 51 населеного пункту (12,6%).</w:t>
      </w:r>
    </w:p>
    <w:p w:rsidR="00914F53" w:rsidRPr="00D36396" w:rsidRDefault="00914F53" w:rsidP="00914F53">
      <w:pPr>
        <w:pStyle w:val="20"/>
        <w:spacing w:after="120"/>
        <w:ind w:firstLine="709"/>
        <w:rPr>
          <w:color w:val="000000" w:themeColor="text1"/>
          <w:sz w:val="24"/>
          <w:szCs w:val="24"/>
        </w:rPr>
      </w:pPr>
      <w:r w:rsidRPr="00D36396">
        <w:rPr>
          <w:color w:val="000000" w:themeColor="text1"/>
          <w:sz w:val="24"/>
          <w:szCs w:val="24"/>
        </w:rPr>
        <w:t xml:space="preserve">Проведено інвентаризацію земель несільськогосподарського призначення на площі </w:t>
      </w:r>
      <w:r w:rsidR="002867E2" w:rsidRPr="00D36396">
        <w:rPr>
          <w:color w:val="000000" w:themeColor="text1"/>
          <w:sz w:val="24"/>
          <w:szCs w:val="24"/>
        </w:rPr>
        <w:t xml:space="preserve"> </w:t>
      </w:r>
      <w:r w:rsidRPr="00D36396">
        <w:rPr>
          <w:color w:val="000000" w:themeColor="text1"/>
          <w:sz w:val="24"/>
          <w:szCs w:val="24"/>
        </w:rPr>
        <w:t>19 тис. га (27,6%).</w:t>
      </w:r>
    </w:p>
    <w:p w:rsidR="00914F53" w:rsidRPr="00D36396" w:rsidRDefault="00914F53" w:rsidP="00914F53">
      <w:pPr>
        <w:spacing w:after="120"/>
        <w:ind w:firstLine="709"/>
        <w:jc w:val="both"/>
        <w:rPr>
          <w:rFonts w:eastAsia="SimSun"/>
          <w:color w:val="000000" w:themeColor="text1"/>
          <w:lang w:val="uk-UA"/>
        </w:rPr>
      </w:pPr>
      <w:r w:rsidRPr="00D36396">
        <w:rPr>
          <w:color w:val="000000" w:themeColor="text1"/>
          <w:lang w:val="uk-UA"/>
        </w:rPr>
        <w:t xml:space="preserve">Здійснювались роботи щодо будівництва і реконструкції протиерозійних, гідротехнічних споруд, проведення заходів з захисту від підтоплення території міста Маріуполь протяжністю </w:t>
      </w:r>
      <w:smartTag w:uri="urn:schemas-microsoft-com:office:smarttags" w:element="metricconverter">
        <w:smartTagPr>
          <w:attr w:name="ProductID" w:val="2,12 км"/>
        </w:smartTagPr>
        <w:r w:rsidRPr="00D36396">
          <w:rPr>
            <w:color w:val="000000" w:themeColor="text1"/>
            <w:lang w:val="uk-UA"/>
          </w:rPr>
          <w:t>2,12 км</w:t>
        </w:r>
      </w:smartTag>
      <w:r w:rsidRPr="00D36396">
        <w:rPr>
          <w:color w:val="000000" w:themeColor="text1"/>
          <w:lang w:val="uk-UA"/>
        </w:rPr>
        <w:t xml:space="preserve"> (0,6%).</w:t>
      </w:r>
    </w:p>
    <w:p w:rsidR="00914F53" w:rsidRPr="00D36396" w:rsidRDefault="00914F53" w:rsidP="00914F53">
      <w:pPr>
        <w:pStyle w:val="20"/>
        <w:spacing w:after="120"/>
        <w:ind w:firstLine="709"/>
        <w:rPr>
          <w:b/>
          <w:color w:val="000000" w:themeColor="text1"/>
          <w:sz w:val="24"/>
          <w:szCs w:val="24"/>
        </w:rPr>
      </w:pPr>
      <w:r w:rsidRPr="00D36396">
        <w:rPr>
          <w:color w:val="000000" w:themeColor="text1"/>
          <w:sz w:val="24"/>
          <w:szCs w:val="24"/>
        </w:rPr>
        <w:t xml:space="preserve">Поліпшено малопродуктивних земель на площі </w:t>
      </w:r>
      <w:smartTag w:uri="urn:schemas-microsoft-com:office:smarttags" w:element="metricconverter">
        <w:smartTagPr>
          <w:attr w:name="ProductID" w:val="143,4 га"/>
        </w:smartTagPr>
        <w:r w:rsidRPr="00D36396">
          <w:rPr>
            <w:color w:val="000000" w:themeColor="text1"/>
            <w:sz w:val="24"/>
            <w:szCs w:val="24"/>
          </w:rPr>
          <w:t>143,4 га</w:t>
        </w:r>
      </w:smartTag>
      <w:r w:rsidRPr="00D36396">
        <w:rPr>
          <w:color w:val="000000" w:themeColor="text1"/>
          <w:sz w:val="24"/>
          <w:szCs w:val="24"/>
        </w:rPr>
        <w:t xml:space="preserve"> (96,9%), рекультивовано порушених земель на площі </w:t>
      </w:r>
      <w:smartTag w:uri="urn:schemas-microsoft-com:office:smarttags" w:element="metricconverter">
        <w:smartTagPr>
          <w:attr w:name="ProductID" w:val="19 га"/>
        </w:smartTagPr>
        <w:r w:rsidRPr="00D36396">
          <w:rPr>
            <w:color w:val="000000" w:themeColor="text1"/>
            <w:sz w:val="24"/>
            <w:szCs w:val="24"/>
          </w:rPr>
          <w:t>19 га</w:t>
        </w:r>
      </w:smartTag>
      <w:r w:rsidRPr="00D36396">
        <w:rPr>
          <w:color w:val="000000" w:themeColor="text1"/>
          <w:sz w:val="24"/>
          <w:szCs w:val="24"/>
        </w:rPr>
        <w:t xml:space="preserve"> (51,6%).</w:t>
      </w:r>
    </w:p>
    <w:p w:rsidR="00914F53" w:rsidRPr="00D36396" w:rsidRDefault="00914F53" w:rsidP="00914F53">
      <w:pPr>
        <w:pStyle w:val="a4"/>
        <w:widowControl w:val="0"/>
        <w:spacing w:after="120" w:line="240" w:lineRule="auto"/>
        <w:ind w:right="0" w:firstLine="709"/>
        <w:rPr>
          <w:color w:val="000000" w:themeColor="text1"/>
          <w:sz w:val="24"/>
          <w:szCs w:val="24"/>
        </w:rPr>
      </w:pPr>
      <w:r w:rsidRPr="00D36396">
        <w:rPr>
          <w:color w:val="000000" w:themeColor="text1"/>
          <w:sz w:val="24"/>
          <w:szCs w:val="24"/>
        </w:rPr>
        <w:t xml:space="preserve">На реалізацію заходів щодо розвитку земельних відносин було спрямовано              31,1 </w:t>
      </w:r>
      <w:r w:rsidR="00B96CDF" w:rsidRPr="00D36396">
        <w:rPr>
          <w:color w:val="000000" w:themeColor="text1"/>
          <w:sz w:val="24"/>
          <w:szCs w:val="24"/>
        </w:rPr>
        <w:t>млн.грн.</w:t>
      </w:r>
      <w:r w:rsidRPr="00D36396">
        <w:rPr>
          <w:color w:val="000000" w:themeColor="text1"/>
          <w:sz w:val="24"/>
          <w:szCs w:val="24"/>
        </w:rPr>
        <w:t>, або 26,2% до обсягу передбаченого в Програмі.</w:t>
      </w:r>
    </w:p>
    <w:p w:rsidR="00914F53" w:rsidRPr="00D36396" w:rsidRDefault="00914F53" w:rsidP="00914F53">
      <w:pPr>
        <w:spacing w:after="120"/>
        <w:ind w:firstLine="720"/>
        <w:jc w:val="both"/>
        <w:rPr>
          <w:bCs/>
          <w:color w:val="000000" w:themeColor="text1"/>
          <w:lang w:val="uk-UA"/>
        </w:rPr>
      </w:pPr>
      <w:r w:rsidRPr="00D36396">
        <w:rPr>
          <w:color w:val="000000" w:themeColor="text1"/>
          <w:lang w:val="uk-UA"/>
        </w:rPr>
        <w:t xml:space="preserve">З метою активізації </w:t>
      </w:r>
      <w:r w:rsidRPr="00D36396">
        <w:rPr>
          <w:b/>
          <w:color w:val="000000" w:themeColor="text1"/>
          <w:lang w:val="uk-UA"/>
        </w:rPr>
        <w:t>науково-технічної та інноваційної діяльності</w:t>
      </w:r>
      <w:r w:rsidRPr="00D36396">
        <w:rPr>
          <w:color w:val="000000" w:themeColor="text1"/>
          <w:lang w:val="uk-UA"/>
        </w:rPr>
        <w:t xml:space="preserve"> в березні поточного року під час проведення засідання Регіональної ради з питань науки і технологій підписано Угоду про співробітництво між Державним агентством з питань науки, інновацій та інформатизації України, Донецькою облдержадміністрацією та Донецькою обласною радою. </w:t>
      </w:r>
    </w:p>
    <w:p w:rsidR="00914F53" w:rsidRPr="00D36396" w:rsidRDefault="00914F53" w:rsidP="00914F53">
      <w:pPr>
        <w:spacing w:after="120"/>
        <w:ind w:firstLine="720"/>
        <w:jc w:val="both"/>
        <w:rPr>
          <w:bCs/>
          <w:color w:val="000000" w:themeColor="text1"/>
          <w:lang w:val="uk-UA"/>
        </w:rPr>
      </w:pPr>
      <w:r w:rsidRPr="00D36396">
        <w:rPr>
          <w:color w:val="000000" w:themeColor="text1"/>
          <w:lang w:val="uk-UA"/>
        </w:rPr>
        <w:t>З метою створення конкурентоспроможних виробництв за пріоритетними напрямами інноваційного розвитку регіону підприємствами, організаціями та установами в  І півріччі 2012 року розпочато 54  проекти, на які спрямовано</w:t>
      </w:r>
      <w:r w:rsidRPr="00D36396">
        <w:rPr>
          <w:bCs/>
          <w:color w:val="000000" w:themeColor="text1"/>
          <w:lang w:val="uk-UA"/>
        </w:rPr>
        <w:t xml:space="preserve"> 263,3 </w:t>
      </w:r>
      <w:r w:rsidR="00B96CDF" w:rsidRPr="00D36396">
        <w:rPr>
          <w:bCs/>
          <w:color w:val="000000" w:themeColor="text1"/>
          <w:lang w:val="uk-UA"/>
        </w:rPr>
        <w:t>млн.грн.</w:t>
      </w:r>
      <w:r w:rsidRPr="00D36396">
        <w:rPr>
          <w:bCs/>
          <w:color w:val="000000" w:themeColor="text1"/>
          <w:lang w:val="uk-UA"/>
        </w:rPr>
        <w:t xml:space="preserve"> (72,4% від передбаченого Програмою обсягу фінансування), з них з держбюджету – 2,8 </w:t>
      </w:r>
      <w:r w:rsidR="00B96CDF" w:rsidRPr="00D36396">
        <w:rPr>
          <w:bCs/>
          <w:color w:val="000000" w:themeColor="text1"/>
          <w:lang w:val="uk-UA"/>
        </w:rPr>
        <w:t>млн.грн.</w:t>
      </w:r>
      <w:r w:rsidRPr="00D36396">
        <w:rPr>
          <w:bCs/>
          <w:color w:val="000000" w:themeColor="text1"/>
          <w:lang w:val="uk-UA"/>
        </w:rPr>
        <w:t xml:space="preserve"> (22,4%), власних коштів підприємств – 149,6 </w:t>
      </w:r>
      <w:r w:rsidR="00B96CDF" w:rsidRPr="00D36396">
        <w:rPr>
          <w:bCs/>
          <w:color w:val="000000" w:themeColor="text1"/>
          <w:lang w:val="uk-UA"/>
        </w:rPr>
        <w:t>млн.грн.</w:t>
      </w:r>
      <w:r w:rsidRPr="00D36396">
        <w:rPr>
          <w:bCs/>
          <w:color w:val="000000" w:themeColor="text1"/>
          <w:lang w:val="uk-UA"/>
        </w:rPr>
        <w:t xml:space="preserve"> (62,7%). </w:t>
      </w:r>
    </w:p>
    <w:p w:rsidR="00914F53" w:rsidRPr="00D36396" w:rsidRDefault="00914F53" w:rsidP="00914F53">
      <w:pPr>
        <w:spacing w:after="120"/>
        <w:ind w:firstLine="720"/>
        <w:jc w:val="both"/>
        <w:rPr>
          <w:color w:val="000000" w:themeColor="text1"/>
          <w:lang w:val="uk-UA"/>
        </w:rPr>
      </w:pPr>
      <w:r w:rsidRPr="00D36396">
        <w:rPr>
          <w:color w:val="000000" w:themeColor="text1"/>
          <w:lang w:val="uk-UA"/>
        </w:rPr>
        <w:t>В рамках</w:t>
      </w:r>
      <w:r w:rsidRPr="00D36396">
        <w:rPr>
          <w:b/>
          <w:color w:val="000000" w:themeColor="text1"/>
          <w:lang w:val="uk-UA"/>
        </w:rPr>
        <w:t xml:space="preserve"> виставково-конгресної діяльності</w:t>
      </w:r>
      <w:r w:rsidRPr="00D36396">
        <w:rPr>
          <w:color w:val="000000" w:themeColor="text1"/>
          <w:lang w:val="uk-UA"/>
        </w:rPr>
        <w:t xml:space="preserve"> за участю області проведено 20 виставкових заходів, в тому числі 2 – за кордоном, 4 – в межах України, 14 – обласних. </w:t>
      </w:r>
    </w:p>
    <w:p w:rsidR="00914F53" w:rsidRPr="00D36396" w:rsidRDefault="00914F53" w:rsidP="00914F53">
      <w:pPr>
        <w:ind w:firstLine="709"/>
        <w:jc w:val="both"/>
        <w:rPr>
          <w:color w:val="000000" w:themeColor="text1"/>
          <w:lang w:val="uk-UA"/>
        </w:rPr>
      </w:pPr>
      <w:r w:rsidRPr="00D36396">
        <w:rPr>
          <w:color w:val="000000" w:themeColor="text1"/>
          <w:lang w:val="uk-UA"/>
        </w:rPr>
        <w:t xml:space="preserve">Найбільш знакові з них: Міжнародна агропромислова виставка-ярмарок </w:t>
      </w:r>
      <w:r w:rsidR="00B96CDF" w:rsidRPr="00D36396">
        <w:rPr>
          <w:color w:val="000000" w:themeColor="text1"/>
          <w:lang w:val="uk-UA"/>
        </w:rPr>
        <w:t>«</w:t>
      </w:r>
      <w:r w:rsidRPr="00D36396">
        <w:rPr>
          <w:color w:val="000000" w:themeColor="text1"/>
          <w:lang w:val="uk-UA"/>
        </w:rPr>
        <w:t>Зелений тиждень-2012</w:t>
      </w:r>
      <w:r w:rsidR="00B96CDF" w:rsidRPr="00D36396">
        <w:rPr>
          <w:color w:val="000000" w:themeColor="text1"/>
          <w:lang w:val="uk-UA"/>
        </w:rPr>
        <w:t>»</w:t>
      </w:r>
      <w:r w:rsidRPr="00D36396">
        <w:rPr>
          <w:color w:val="000000" w:themeColor="text1"/>
          <w:lang w:val="uk-UA"/>
        </w:rPr>
        <w:t xml:space="preserve"> (м. Берлін, Німеччина), Другий міжнародний екологічний форум </w:t>
      </w:r>
      <w:r w:rsidR="00B96CDF" w:rsidRPr="00D36396">
        <w:rPr>
          <w:color w:val="000000" w:themeColor="text1"/>
          <w:lang w:val="uk-UA"/>
        </w:rPr>
        <w:t>«</w:t>
      </w:r>
      <w:r w:rsidRPr="00D36396">
        <w:rPr>
          <w:color w:val="000000" w:themeColor="text1"/>
          <w:lang w:val="uk-UA"/>
        </w:rPr>
        <w:t>Екологія промислового регіону</w:t>
      </w:r>
      <w:r w:rsidR="00B96CDF" w:rsidRPr="00D36396">
        <w:rPr>
          <w:color w:val="000000" w:themeColor="text1"/>
          <w:lang w:val="uk-UA"/>
        </w:rPr>
        <w:t>»</w:t>
      </w:r>
      <w:r w:rsidRPr="00D36396">
        <w:rPr>
          <w:color w:val="000000" w:themeColor="text1"/>
          <w:lang w:val="uk-UA"/>
        </w:rPr>
        <w:t xml:space="preserve"> (м.</w:t>
      </w:r>
      <w:r w:rsidR="00AF2D75" w:rsidRPr="00D36396">
        <w:rPr>
          <w:color w:val="000000" w:themeColor="text1"/>
          <w:lang w:val="uk-UA"/>
        </w:rPr>
        <w:t xml:space="preserve"> </w:t>
      </w:r>
      <w:r w:rsidRPr="00D36396">
        <w:rPr>
          <w:color w:val="000000" w:themeColor="text1"/>
          <w:lang w:val="uk-UA"/>
        </w:rPr>
        <w:t>Донецьк), Міжнародний енергетичний форум (м.</w:t>
      </w:r>
      <w:r w:rsidR="00AF2D75" w:rsidRPr="00D36396">
        <w:rPr>
          <w:color w:val="000000" w:themeColor="text1"/>
          <w:lang w:val="uk-UA"/>
        </w:rPr>
        <w:t xml:space="preserve"> </w:t>
      </w:r>
      <w:r w:rsidRPr="00D36396">
        <w:rPr>
          <w:color w:val="000000" w:themeColor="text1"/>
          <w:lang w:val="uk-UA"/>
        </w:rPr>
        <w:t xml:space="preserve">Донецьк),                 ХІІ Міжрегіональний універсальний оптово-роздрібний виставка-ярмарок </w:t>
      </w:r>
      <w:r w:rsidR="00B96CDF" w:rsidRPr="00D36396">
        <w:rPr>
          <w:color w:val="000000" w:themeColor="text1"/>
          <w:lang w:val="uk-UA"/>
        </w:rPr>
        <w:t>«</w:t>
      </w:r>
      <w:r w:rsidRPr="00D36396">
        <w:rPr>
          <w:color w:val="000000" w:themeColor="text1"/>
          <w:lang w:val="uk-UA"/>
        </w:rPr>
        <w:t>Курський Коренський ярмарок-2012</w:t>
      </w:r>
      <w:r w:rsidR="00B96CDF" w:rsidRPr="00D36396">
        <w:rPr>
          <w:color w:val="000000" w:themeColor="text1"/>
          <w:lang w:val="uk-UA"/>
        </w:rPr>
        <w:t>»</w:t>
      </w:r>
      <w:r w:rsidRPr="00D36396">
        <w:rPr>
          <w:color w:val="000000" w:themeColor="text1"/>
          <w:lang w:val="uk-UA"/>
        </w:rPr>
        <w:t>.</w:t>
      </w:r>
    </w:p>
    <w:p w:rsidR="00914F53" w:rsidRPr="00D36396" w:rsidRDefault="00914F53" w:rsidP="00914F53">
      <w:pPr>
        <w:spacing w:before="120" w:after="120"/>
        <w:ind w:firstLine="709"/>
        <w:jc w:val="both"/>
        <w:rPr>
          <w:color w:val="000000" w:themeColor="text1"/>
          <w:lang w:val="uk-UA"/>
        </w:rPr>
      </w:pPr>
      <w:r w:rsidRPr="00D36396">
        <w:rPr>
          <w:color w:val="000000" w:themeColor="text1"/>
          <w:lang w:val="uk-UA"/>
        </w:rPr>
        <w:lastRenderedPageBreak/>
        <w:t xml:space="preserve"> </w:t>
      </w:r>
      <w:r w:rsidRPr="00D36396">
        <w:rPr>
          <w:b/>
          <w:color w:val="000000" w:themeColor="text1"/>
          <w:lang w:val="uk-UA"/>
        </w:rPr>
        <w:t>Зовнішньоторговельний оборот товарами</w:t>
      </w:r>
      <w:r w:rsidRPr="00D36396">
        <w:rPr>
          <w:color w:val="000000" w:themeColor="text1"/>
          <w:lang w:val="uk-UA"/>
        </w:rPr>
        <w:t xml:space="preserve"> порівняно з січнем-</w:t>
      </w:r>
      <w:r w:rsidR="00CD7F02" w:rsidRPr="00D36396">
        <w:rPr>
          <w:color w:val="000000" w:themeColor="text1"/>
          <w:lang w:val="uk-UA"/>
        </w:rPr>
        <w:t>червнем</w:t>
      </w:r>
      <w:r w:rsidRPr="00D36396">
        <w:rPr>
          <w:color w:val="000000" w:themeColor="text1"/>
          <w:lang w:val="uk-UA"/>
        </w:rPr>
        <w:t xml:space="preserve"> 2011 року зменшився на </w:t>
      </w:r>
      <w:r w:rsidR="00CD7F02" w:rsidRPr="00D36396">
        <w:rPr>
          <w:color w:val="000000" w:themeColor="text1"/>
          <w:lang w:val="uk-UA"/>
        </w:rPr>
        <w:t>6,2</w:t>
      </w:r>
      <w:r w:rsidRPr="00D36396">
        <w:rPr>
          <w:color w:val="000000" w:themeColor="text1"/>
          <w:lang w:val="uk-UA"/>
        </w:rPr>
        <w:t xml:space="preserve">%, у тому числі експорт –  на </w:t>
      </w:r>
      <w:r w:rsidR="00CD7F02" w:rsidRPr="00D36396">
        <w:rPr>
          <w:color w:val="000000" w:themeColor="text1"/>
          <w:lang w:val="uk-UA"/>
        </w:rPr>
        <w:t>14,2</w:t>
      </w:r>
      <w:r w:rsidRPr="00D36396">
        <w:rPr>
          <w:color w:val="000000" w:themeColor="text1"/>
          <w:lang w:val="uk-UA"/>
        </w:rPr>
        <w:t xml:space="preserve">%, імпорт збільшився на </w:t>
      </w:r>
      <w:r w:rsidR="00CD7F02" w:rsidRPr="00D36396">
        <w:rPr>
          <w:color w:val="000000" w:themeColor="text1"/>
          <w:lang w:val="uk-UA"/>
        </w:rPr>
        <w:t>27,1</w:t>
      </w:r>
      <w:r w:rsidRPr="00D36396">
        <w:rPr>
          <w:color w:val="000000" w:themeColor="text1"/>
          <w:lang w:val="uk-UA"/>
        </w:rPr>
        <w:t xml:space="preserve">%. Сальдо зовнішньоторговельного обороту позитивне – </w:t>
      </w:r>
      <w:r w:rsidR="00CD7F02" w:rsidRPr="00D36396">
        <w:rPr>
          <w:color w:val="000000" w:themeColor="text1"/>
          <w:lang w:val="uk-UA"/>
        </w:rPr>
        <w:t>4,9</w:t>
      </w:r>
      <w:r w:rsidRPr="00D36396">
        <w:rPr>
          <w:color w:val="000000" w:themeColor="text1"/>
          <w:lang w:val="uk-UA"/>
        </w:rPr>
        <w:t xml:space="preserve"> млрд.</w:t>
      </w:r>
      <w:r w:rsidR="00AF2D75" w:rsidRPr="00D36396">
        <w:rPr>
          <w:color w:val="000000" w:themeColor="text1"/>
          <w:lang w:val="uk-UA"/>
        </w:rPr>
        <w:t xml:space="preserve"> </w:t>
      </w:r>
      <w:r w:rsidRPr="00D36396">
        <w:rPr>
          <w:color w:val="000000" w:themeColor="text1"/>
          <w:lang w:val="uk-UA"/>
        </w:rPr>
        <w:t>дол.</w:t>
      </w:r>
      <w:r w:rsidR="00AF2D75" w:rsidRPr="00D36396">
        <w:rPr>
          <w:color w:val="000000" w:themeColor="text1"/>
          <w:lang w:val="uk-UA"/>
        </w:rPr>
        <w:t xml:space="preserve"> </w:t>
      </w:r>
      <w:r w:rsidRPr="00D36396">
        <w:rPr>
          <w:color w:val="000000" w:themeColor="text1"/>
          <w:lang w:val="uk-UA"/>
        </w:rPr>
        <w:t xml:space="preserve">США (зменшення на </w:t>
      </w:r>
      <w:r w:rsidR="00CD7F02" w:rsidRPr="00D36396">
        <w:rPr>
          <w:color w:val="000000" w:themeColor="text1"/>
          <w:lang w:val="uk-UA"/>
        </w:rPr>
        <w:t>27,3</w:t>
      </w:r>
      <w:r w:rsidRPr="00D36396">
        <w:rPr>
          <w:color w:val="000000" w:themeColor="text1"/>
          <w:lang w:val="uk-UA"/>
        </w:rPr>
        <w:t>%).</w:t>
      </w:r>
      <w:r w:rsidRPr="00D36396">
        <w:rPr>
          <w:iCs/>
          <w:color w:val="000000" w:themeColor="text1"/>
          <w:lang w:val="uk-UA"/>
        </w:rPr>
        <w:t xml:space="preserve"> </w:t>
      </w:r>
    </w:p>
    <w:p w:rsidR="00914F53" w:rsidRPr="00D36396" w:rsidRDefault="00914F53" w:rsidP="00914F53">
      <w:pPr>
        <w:pStyle w:val="3"/>
        <w:keepLines/>
        <w:spacing w:after="100"/>
        <w:ind w:left="0"/>
        <w:jc w:val="center"/>
        <w:rPr>
          <w:b/>
          <w:color w:val="000000" w:themeColor="text1"/>
          <w:lang w:val="ru-RU"/>
        </w:rPr>
      </w:pPr>
      <w:r w:rsidRPr="00D36396">
        <w:rPr>
          <w:b/>
          <w:color w:val="000000" w:themeColor="text1"/>
        </w:rPr>
        <w:t>Динаміка  зовнішньоторговельного обороту товарами, млрд.дол.США</w:t>
      </w:r>
    </w:p>
    <w:p w:rsidR="001365EA" w:rsidRPr="00D36396" w:rsidRDefault="001365EA" w:rsidP="001365EA"/>
    <w:p w:rsidR="001365EA" w:rsidRPr="00D36396" w:rsidRDefault="001365EA" w:rsidP="001365EA">
      <w:r w:rsidRPr="00D36396">
        <w:rPr>
          <w:noProof/>
        </w:rPr>
        <w:drawing>
          <wp:inline distT="0" distB="0" distL="0" distR="0">
            <wp:extent cx="5486400" cy="190918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720F" w:rsidRPr="00D36396" w:rsidRDefault="00914F53" w:rsidP="00914F53">
      <w:pPr>
        <w:pStyle w:val="a4"/>
        <w:keepNext/>
        <w:keepLines/>
        <w:tabs>
          <w:tab w:val="left" w:pos="600"/>
        </w:tabs>
        <w:spacing w:after="100" w:line="240" w:lineRule="auto"/>
        <w:ind w:right="85" w:firstLine="0"/>
        <w:rPr>
          <w:color w:val="000000" w:themeColor="text1"/>
          <w:sz w:val="24"/>
          <w:szCs w:val="24"/>
          <w:lang w:val="ru-RU"/>
        </w:rPr>
      </w:pPr>
      <w:r w:rsidRPr="00D36396">
        <w:rPr>
          <w:color w:val="000000" w:themeColor="text1"/>
          <w:sz w:val="24"/>
          <w:szCs w:val="24"/>
        </w:rPr>
        <w:tab/>
      </w:r>
    </w:p>
    <w:p w:rsidR="00914F53" w:rsidRPr="00D36396" w:rsidRDefault="00914F53" w:rsidP="00C4720F">
      <w:pPr>
        <w:pStyle w:val="a4"/>
        <w:keepNext/>
        <w:keepLines/>
        <w:tabs>
          <w:tab w:val="left" w:pos="600"/>
        </w:tabs>
        <w:spacing w:after="100" w:line="240" w:lineRule="auto"/>
        <w:ind w:right="0" w:firstLine="709"/>
        <w:rPr>
          <w:b/>
          <w:color w:val="000000" w:themeColor="text1"/>
          <w:sz w:val="24"/>
          <w:szCs w:val="24"/>
        </w:rPr>
      </w:pPr>
      <w:r w:rsidRPr="00D36396">
        <w:rPr>
          <w:color w:val="000000" w:themeColor="text1"/>
          <w:sz w:val="24"/>
          <w:szCs w:val="24"/>
        </w:rPr>
        <w:t xml:space="preserve">Експорт товарів здійснювався до </w:t>
      </w:r>
      <w:r w:rsidR="006A2CEA" w:rsidRPr="00D36396">
        <w:rPr>
          <w:color w:val="000000" w:themeColor="text1"/>
          <w:sz w:val="24"/>
          <w:szCs w:val="24"/>
        </w:rPr>
        <w:t>124</w:t>
      </w:r>
      <w:r w:rsidRPr="00D36396">
        <w:rPr>
          <w:color w:val="000000" w:themeColor="text1"/>
          <w:sz w:val="24"/>
          <w:szCs w:val="24"/>
        </w:rPr>
        <w:t xml:space="preserve"> країн світу, імпорт </w:t>
      </w:r>
      <w:r w:rsidRPr="00D36396">
        <w:rPr>
          <w:iCs/>
          <w:color w:val="000000" w:themeColor="text1"/>
          <w:sz w:val="24"/>
          <w:szCs w:val="24"/>
        </w:rPr>
        <w:t>–</w:t>
      </w:r>
      <w:r w:rsidRPr="00D36396">
        <w:rPr>
          <w:color w:val="000000" w:themeColor="text1"/>
          <w:sz w:val="24"/>
          <w:szCs w:val="24"/>
        </w:rPr>
        <w:t xml:space="preserve"> з </w:t>
      </w:r>
      <w:r w:rsidR="006A2CEA" w:rsidRPr="00D36396">
        <w:rPr>
          <w:color w:val="000000" w:themeColor="text1"/>
          <w:sz w:val="24"/>
          <w:szCs w:val="24"/>
        </w:rPr>
        <w:t>97</w:t>
      </w:r>
      <w:r w:rsidRPr="00D36396">
        <w:rPr>
          <w:color w:val="000000" w:themeColor="text1"/>
          <w:sz w:val="24"/>
          <w:szCs w:val="24"/>
        </w:rPr>
        <w:t xml:space="preserve"> країн світу. </w:t>
      </w:r>
    </w:p>
    <w:p w:rsidR="00914F53" w:rsidRPr="00D36396" w:rsidRDefault="00914F53" w:rsidP="00914F53">
      <w:pPr>
        <w:spacing w:before="120"/>
        <w:ind w:firstLine="709"/>
        <w:jc w:val="both"/>
        <w:rPr>
          <w:bCs/>
          <w:color w:val="000000" w:themeColor="text1"/>
          <w:lang w:val="uk-UA"/>
        </w:rPr>
      </w:pPr>
      <w:r w:rsidRPr="00D36396">
        <w:rPr>
          <w:b/>
          <w:color w:val="000000" w:themeColor="text1"/>
          <w:lang w:val="uk-UA"/>
        </w:rPr>
        <w:t>З метою розвитку зовнішніх зв’язків області</w:t>
      </w:r>
      <w:r w:rsidRPr="00D36396">
        <w:rPr>
          <w:color w:val="000000" w:themeColor="text1"/>
          <w:lang w:val="uk-UA"/>
        </w:rPr>
        <w:t xml:space="preserve"> продовжувалась співпраця в рамках угод про співробітництво з 14 регіонами іноземних держав (Російська Федерація, Республіка Білорусь, Республіка Польща, Чеська Республіка, </w:t>
      </w:r>
      <w:r w:rsidRPr="00D36396">
        <w:rPr>
          <w:bCs/>
          <w:color w:val="000000" w:themeColor="text1"/>
          <w:lang w:val="uk-UA"/>
        </w:rPr>
        <w:t>Туркменістан).</w:t>
      </w:r>
    </w:p>
    <w:p w:rsidR="00914F53" w:rsidRPr="00D36396" w:rsidRDefault="00914F53" w:rsidP="00914F53">
      <w:pPr>
        <w:spacing w:before="120"/>
        <w:ind w:firstLine="709"/>
        <w:jc w:val="both"/>
        <w:rPr>
          <w:color w:val="000000" w:themeColor="text1"/>
          <w:lang w:val="uk-UA"/>
        </w:rPr>
      </w:pPr>
      <w:r w:rsidRPr="00D36396">
        <w:rPr>
          <w:color w:val="000000" w:themeColor="text1"/>
          <w:spacing w:val="-4"/>
          <w:lang w:val="uk-UA"/>
        </w:rPr>
        <w:t xml:space="preserve">З метою забезпечення діяльності області в Єврорегіоні </w:t>
      </w:r>
      <w:r w:rsidR="00B96CDF" w:rsidRPr="00D36396">
        <w:rPr>
          <w:color w:val="000000" w:themeColor="text1"/>
          <w:spacing w:val="-4"/>
          <w:lang w:val="uk-UA"/>
        </w:rPr>
        <w:t>«</w:t>
      </w:r>
      <w:r w:rsidRPr="00D36396">
        <w:rPr>
          <w:color w:val="000000" w:themeColor="text1"/>
          <w:spacing w:val="-4"/>
          <w:lang w:val="uk-UA"/>
        </w:rPr>
        <w:t>Донбас</w:t>
      </w:r>
      <w:r w:rsidR="00B96CDF" w:rsidRPr="00D36396">
        <w:rPr>
          <w:color w:val="000000" w:themeColor="text1"/>
          <w:spacing w:val="-4"/>
          <w:lang w:val="uk-UA"/>
        </w:rPr>
        <w:t>»</w:t>
      </w:r>
      <w:r w:rsidRPr="00D36396">
        <w:rPr>
          <w:color w:val="000000" w:themeColor="text1"/>
          <w:spacing w:val="-4"/>
          <w:lang w:val="uk-UA"/>
        </w:rPr>
        <w:t xml:space="preserve"> д</w:t>
      </w:r>
      <w:r w:rsidRPr="00D36396">
        <w:rPr>
          <w:iCs/>
          <w:color w:val="000000" w:themeColor="text1"/>
          <w:lang w:val="uk-UA"/>
        </w:rPr>
        <w:t>елегація Донецької області приймала участь у засіданнях Секретаріату Єврорегіону (17 лютого 2012 року) і Ради Єврорегіону  (10 квітня 2012 року) у м.</w:t>
      </w:r>
      <w:r w:rsidR="00AF2D75" w:rsidRPr="00D36396">
        <w:rPr>
          <w:iCs/>
          <w:color w:val="000000" w:themeColor="text1"/>
          <w:lang w:val="uk-UA"/>
        </w:rPr>
        <w:t xml:space="preserve"> </w:t>
      </w:r>
      <w:r w:rsidRPr="00D36396">
        <w:rPr>
          <w:iCs/>
          <w:color w:val="000000" w:themeColor="text1"/>
          <w:lang w:val="uk-UA"/>
        </w:rPr>
        <w:t xml:space="preserve">Луганськ. Крім того, 11 червня поточного року  у      м. Донецьк відбулась робоча зустріч </w:t>
      </w:r>
      <w:r w:rsidRPr="00D36396">
        <w:rPr>
          <w:color w:val="000000" w:themeColor="text1"/>
          <w:lang w:val="uk-UA"/>
        </w:rPr>
        <w:t xml:space="preserve">з питань співробітництва в рамках Єврорегіону за участю керівників Донецької, Луганської і Ростовської областей, які є співголовами Ради Єврорегіону. Під час зустрічі були розглянуті питання щодо проведення Універсальної виставки-ярмарку </w:t>
      </w:r>
      <w:r w:rsidR="00B96CDF" w:rsidRPr="00D36396">
        <w:rPr>
          <w:color w:val="000000" w:themeColor="text1"/>
          <w:lang w:val="uk-UA"/>
        </w:rPr>
        <w:t>«</w:t>
      </w:r>
      <w:r w:rsidRPr="00D36396">
        <w:rPr>
          <w:color w:val="000000" w:themeColor="text1"/>
          <w:lang w:val="uk-UA"/>
        </w:rPr>
        <w:t>Єврорегіон Донбас-2012</w:t>
      </w:r>
      <w:r w:rsidR="00B96CDF" w:rsidRPr="00D36396">
        <w:rPr>
          <w:color w:val="000000" w:themeColor="text1"/>
          <w:lang w:val="uk-UA"/>
        </w:rPr>
        <w:t>»</w:t>
      </w:r>
      <w:r w:rsidRPr="00D36396">
        <w:rPr>
          <w:color w:val="000000" w:themeColor="text1"/>
          <w:lang w:val="uk-UA"/>
        </w:rPr>
        <w:t xml:space="preserve"> (7-8 вересня 2012 року, м. Маріуполь) та можливості приєднання Воронезької області Російської Федерації до Єврорегіону </w:t>
      </w:r>
      <w:r w:rsidR="00B96CDF" w:rsidRPr="00D36396">
        <w:rPr>
          <w:color w:val="000000" w:themeColor="text1"/>
          <w:lang w:val="uk-UA"/>
        </w:rPr>
        <w:t>«</w:t>
      </w:r>
      <w:r w:rsidRPr="00D36396">
        <w:rPr>
          <w:color w:val="000000" w:themeColor="text1"/>
          <w:lang w:val="uk-UA"/>
        </w:rPr>
        <w:t>Донбас</w:t>
      </w:r>
      <w:r w:rsidR="00B96CDF" w:rsidRPr="00D36396">
        <w:rPr>
          <w:color w:val="000000" w:themeColor="text1"/>
          <w:lang w:val="uk-UA"/>
        </w:rPr>
        <w:t>»</w:t>
      </w:r>
      <w:r w:rsidRPr="00D36396">
        <w:rPr>
          <w:color w:val="000000" w:themeColor="text1"/>
          <w:lang w:val="uk-UA"/>
        </w:rPr>
        <w:t>.</w:t>
      </w:r>
    </w:p>
    <w:p w:rsidR="00914F53" w:rsidRPr="00D36396" w:rsidRDefault="00914F53" w:rsidP="00914F53">
      <w:pPr>
        <w:tabs>
          <w:tab w:val="left" w:pos="0"/>
        </w:tabs>
        <w:spacing w:before="120"/>
        <w:ind w:firstLine="709"/>
        <w:jc w:val="both"/>
        <w:rPr>
          <w:iCs/>
          <w:color w:val="000000" w:themeColor="text1"/>
          <w:lang w:val="uk-UA"/>
        </w:rPr>
      </w:pPr>
      <w:r w:rsidRPr="00D36396">
        <w:rPr>
          <w:color w:val="000000" w:themeColor="text1"/>
          <w:lang w:val="uk-UA"/>
        </w:rPr>
        <w:t xml:space="preserve">Рішенням Ради Єврорегіону </w:t>
      </w:r>
      <w:r w:rsidR="00B96CDF" w:rsidRPr="00D36396">
        <w:rPr>
          <w:color w:val="000000" w:themeColor="text1"/>
          <w:lang w:val="uk-UA"/>
        </w:rPr>
        <w:t>«</w:t>
      </w:r>
      <w:r w:rsidRPr="00D36396">
        <w:rPr>
          <w:color w:val="000000" w:themeColor="text1"/>
          <w:lang w:val="uk-UA"/>
        </w:rPr>
        <w:t>Донбас</w:t>
      </w:r>
      <w:r w:rsidR="00B96CDF" w:rsidRPr="00D36396">
        <w:rPr>
          <w:color w:val="000000" w:themeColor="text1"/>
          <w:lang w:val="uk-UA"/>
        </w:rPr>
        <w:t>»</w:t>
      </w:r>
      <w:r w:rsidRPr="00D36396">
        <w:rPr>
          <w:color w:val="000000" w:themeColor="text1"/>
          <w:lang w:val="uk-UA"/>
        </w:rPr>
        <w:t xml:space="preserve"> від 10.04.2012 затверджено </w:t>
      </w:r>
      <w:r w:rsidRPr="00D36396">
        <w:rPr>
          <w:rStyle w:val="hps"/>
          <w:rFonts w:eastAsia="Calibri"/>
          <w:color w:val="000000" w:themeColor="text1"/>
          <w:lang w:val="uk-UA"/>
        </w:rPr>
        <w:t>Стратегію соціально</w:t>
      </w:r>
      <w:r w:rsidRPr="00D36396">
        <w:rPr>
          <w:rStyle w:val="atn"/>
          <w:color w:val="000000" w:themeColor="text1"/>
          <w:lang w:val="uk-UA"/>
        </w:rPr>
        <w:t>-</w:t>
      </w:r>
      <w:r w:rsidRPr="00D36396">
        <w:rPr>
          <w:color w:val="000000" w:themeColor="text1"/>
          <w:lang w:val="uk-UA"/>
        </w:rPr>
        <w:t xml:space="preserve">економічного </w:t>
      </w:r>
      <w:r w:rsidRPr="00D36396">
        <w:rPr>
          <w:rStyle w:val="hps"/>
          <w:rFonts w:eastAsia="Calibri"/>
          <w:color w:val="000000" w:themeColor="text1"/>
          <w:lang w:val="uk-UA"/>
        </w:rPr>
        <w:t>розвитку</w:t>
      </w:r>
      <w:r w:rsidRPr="00D36396">
        <w:rPr>
          <w:color w:val="000000" w:themeColor="text1"/>
          <w:lang w:val="uk-UA"/>
        </w:rPr>
        <w:t xml:space="preserve"> </w:t>
      </w:r>
      <w:r w:rsidRPr="00D36396">
        <w:rPr>
          <w:rStyle w:val="hps"/>
          <w:rFonts w:eastAsia="Calibri"/>
          <w:color w:val="000000" w:themeColor="text1"/>
          <w:lang w:val="uk-UA"/>
        </w:rPr>
        <w:t>Єврорегіону</w:t>
      </w:r>
      <w:r w:rsidRPr="00D36396">
        <w:rPr>
          <w:color w:val="000000" w:themeColor="text1"/>
          <w:lang w:val="uk-UA"/>
        </w:rPr>
        <w:t xml:space="preserve"> </w:t>
      </w:r>
      <w:r w:rsidR="00B96CDF" w:rsidRPr="00D36396">
        <w:rPr>
          <w:rStyle w:val="hps"/>
          <w:rFonts w:eastAsia="Calibri"/>
          <w:color w:val="000000" w:themeColor="text1"/>
          <w:lang w:val="uk-UA"/>
        </w:rPr>
        <w:t>«</w:t>
      </w:r>
      <w:r w:rsidRPr="00D36396">
        <w:rPr>
          <w:color w:val="000000" w:themeColor="text1"/>
          <w:lang w:val="uk-UA"/>
        </w:rPr>
        <w:t>Донбас</w:t>
      </w:r>
      <w:r w:rsidR="00B96CDF" w:rsidRPr="00D36396">
        <w:rPr>
          <w:color w:val="000000" w:themeColor="text1"/>
          <w:lang w:val="uk-UA"/>
        </w:rPr>
        <w:t>»</w:t>
      </w:r>
      <w:r w:rsidRPr="00D36396">
        <w:rPr>
          <w:color w:val="000000" w:themeColor="text1"/>
          <w:lang w:val="uk-UA"/>
        </w:rPr>
        <w:t xml:space="preserve"> </w:t>
      </w:r>
      <w:r w:rsidRPr="00D36396">
        <w:rPr>
          <w:rStyle w:val="hps"/>
          <w:rFonts w:eastAsia="Calibri"/>
          <w:color w:val="000000" w:themeColor="text1"/>
          <w:lang w:val="uk-UA"/>
        </w:rPr>
        <w:t xml:space="preserve">до 2020 року та </w:t>
      </w:r>
      <w:r w:rsidRPr="00D36396">
        <w:rPr>
          <w:color w:val="000000" w:themeColor="text1"/>
          <w:lang w:val="uk-UA"/>
        </w:rPr>
        <w:t xml:space="preserve">План роботи Єврорегіону </w:t>
      </w:r>
      <w:r w:rsidR="00B96CDF" w:rsidRPr="00D36396">
        <w:rPr>
          <w:color w:val="000000" w:themeColor="text1"/>
          <w:lang w:val="uk-UA"/>
        </w:rPr>
        <w:t>«</w:t>
      </w:r>
      <w:r w:rsidRPr="00D36396">
        <w:rPr>
          <w:color w:val="000000" w:themeColor="text1"/>
          <w:lang w:val="uk-UA"/>
        </w:rPr>
        <w:t>Донбас</w:t>
      </w:r>
      <w:r w:rsidR="00B96CDF" w:rsidRPr="00D36396">
        <w:rPr>
          <w:color w:val="000000" w:themeColor="text1"/>
          <w:lang w:val="uk-UA"/>
        </w:rPr>
        <w:t>»</w:t>
      </w:r>
      <w:r w:rsidRPr="00D36396">
        <w:rPr>
          <w:color w:val="000000" w:themeColor="text1"/>
          <w:lang w:val="uk-UA"/>
        </w:rPr>
        <w:t xml:space="preserve"> на 2012 рік. </w:t>
      </w:r>
    </w:p>
    <w:p w:rsidR="00914F53" w:rsidRPr="00D36396" w:rsidRDefault="00914F53" w:rsidP="00914F53">
      <w:pPr>
        <w:spacing w:before="120"/>
        <w:ind w:firstLine="709"/>
        <w:jc w:val="both"/>
        <w:rPr>
          <w:color w:val="000000" w:themeColor="text1"/>
          <w:lang w:val="uk-UA"/>
        </w:rPr>
      </w:pPr>
      <w:r w:rsidRPr="00D36396">
        <w:rPr>
          <w:color w:val="000000" w:themeColor="text1"/>
          <w:lang w:val="uk-UA"/>
        </w:rPr>
        <w:t xml:space="preserve">Продовжувалось виконання положень Угод про міжрегіональне співробітництво з            11 регіонами України: Волинською, Дніпропетровською, Львівською, Кіровоградською, Полтавською, Херсонською, Івано-Франківською, Тернопільською, Запорізькою областями, містом Київ, Автономною Республікою Крим. </w:t>
      </w:r>
    </w:p>
    <w:p w:rsidR="00914F53" w:rsidRPr="00D36396" w:rsidRDefault="00914F53" w:rsidP="00914F53">
      <w:pPr>
        <w:tabs>
          <w:tab w:val="left" w:pos="720"/>
        </w:tabs>
        <w:spacing w:before="120"/>
        <w:ind w:firstLine="709"/>
        <w:jc w:val="both"/>
        <w:rPr>
          <w:color w:val="000000" w:themeColor="text1"/>
          <w:lang w:val="uk-UA"/>
        </w:rPr>
      </w:pPr>
      <w:r w:rsidRPr="00D36396">
        <w:rPr>
          <w:color w:val="000000" w:themeColor="text1"/>
          <w:lang w:val="uk-UA"/>
        </w:rPr>
        <w:t xml:space="preserve">В </w:t>
      </w:r>
      <w:r w:rsidR="00D03AA3" w:rsidRPr="00D36396">
        <w:rPr>
          <w:color w:val="000000" w:themeColor="text1"/>
          <w:lang w:val="uk-UA"/>
        </w:rPr>
        <w:t>першому</w:t>
      </w:r>
      <w:r w:rsidRPr="00D36396">
        <w:rPr>
          <w:color w:val="000000" w:themeColor="text1"/>
        </w:rPr>
        <w:t xml:space="preserve"> </w:t>
      </w:r>
      <w:r w:rsidRPr="00D36396">
        <w:rPr>
          <w:color w:val="000000" w:themeColor="text1"/>
          <w:lang w:val="uk-UA"/>
        </w:rPr>
        <w:t>півріччі поточного року підписано Угоду між Донецькою облдержадміністрацією України та Хякімліком Лебапського велаяту Туркменістану про торговельно-економічне, науково-технічне та культурне співробітництво, Угоду про співробітництво між Донецькою та Волинською облрадами та облдержадміністраціями, План заходів на 2012-2014 роки з виконання Угоди про міжрегіональне партнерство між Донецькою та Дніпропетровською облдержадміністраціями та облрадами.</w:t>
      </w:r>
      <w:r w:rsidRPr="00D36396">
        <w:rPr>
          <w:color w:val="000000" w:themeColor="text1"/>
          <w:spacing w:val="-4"/>
          <w:lang w:val="uk-UA"/>
        </w:rPr>
        <w:t xml:space="preserve"> </w:t>
      </w:r>
    </w:p>
    <w:p w:rsidR="00914F53" w:rsidRPr="00D36396" w:rsidRDefault="00914F53" w:rsidP="00914F53">
      <w:pPr>
        <w:spacing w:before="120"/>
        <w:ind w:firstLine="709"/>
        <w:jc w:val="both"/>
        <w:rPr>
          <w:color w:val="000000" w:themeColor="text1"/>
          <w:lang w:val="uk-UA"/>
        </w:rPr>
      </w:pPr>
      <w:r w:rsidRPr="00D36396">
        <w:rPr>
          <w:color w:val="000000" w:themeColor="text1"/>
          <w:lang w:val="uk-UA"/>
        </w:rPr>
        <w:t>Забезпечено виконання Плану заходів Програми міжрегіонального та прикордонного співробітництва між Україною та Російською Федерацією 2011-2016 роки, Плану заходів щодо стимулювання міжрегіональної співпраці, кооперації та інтеграції, Державної програми розвитку транскордонного співробітництва на 2011-2015 роки.</w:t>
      </w:r>
    </w:p>
    <w:p w:rsidR="00914F53" w:rsidRPr="00D36396" w:rsidRDefault="00914F53" w:rsidP="00914F53">
      <w:pPr>
        <w:tabs>
          <w:tab w:val="left" w:pos="720"/>
          <w:tab w:val="left" w:pos="840"/>
          <w:tab w:val="left" w:pos="1260"/>
        </w:tabs>
        <w:spacing w:before="120"/>
        <w:ind w:firstLine="709"/>
        <w:jc w:val="both"/>
        <w:rPr>
          <w:color w:val="000000" w:themeColor="text1"/>
          <w:lang w:val="uk-UA"/>
        </w:rPr>
      </w:pPr>
      <w:r w:rsidRPr="00D36396">
        <w:rPr>
          <w:color w:val="000000" w:themeColor="text1"/>
          <w:lang w:val="uk-UA"/>
        </w:rPr>
        <w:t xml:space="preserve"> </w:t>
      </w:r>
      <w:r w:rsidRPr="00D36396">
        <w:rPr>
          <w:bCs/>
          <w:iCs/>
          <w:color w:val="000000" w:themeColor="text1"/>
          <w:lang w:val="uk-UA"/>
        </w:rPr>
        <w:t xml:space="preserve">Протягом </w:t>
      </w:r>
      <w:r w:rsidR="00D03AA3" w:rsidRPr="00D36396">
        <w:rPr>
          <w:bCs/>
          <w:iCs/>
          <w:color w:val="000000" w:themeColor="text1"/>
          <w:lang w:val="uk-UA"/>
        </w:rPr>
        <w:t>першого</w:t>
      </w:r>
      <w:r w:rsidRPr="00D36396">
        <w:rPr>
          <w:bCs/>
          <w:iCs/>
          <w:color w:val="000000" w:themeColor="text1"/>
          <w:lang w:val="uk-UA"/>
        </w:rPr>
        <w:t xml:space="preserve"> півріччя 2012 року облдержадміністрацією прийнято 15</w:t>
      </w:r>
      <w:r w:rsidRPr="00D36396">
        <w:rPr>
          <w:color w:val="000000" w:themeColor="text1"/>
          <w:lang w:val="uk-UA"/>
        </w:rPr>
        <w:t xml:space="preserve"> делегацій з 12 країн світу (Аргентини, Білорусі, Ізраїлю, Китаю, Польщі, США, Туркменістану,  </w:t>
      </w:r>
      <w:r w:rsidRPr="00D36396">
        <w:rPr>
          <w:color w:val="000000" w:themeColor="text1"/>
          <w:lang w:val="uk-UA"/>
        </w:rPr>
        <w:lastRenderedPageBreak/>
        <w:t xml:space="preserve">Фінляндії, Франції, ФРН, Чехії та Швейцарії), в тому числі делегацію Європейського Парламенту. </w:t>
      </w:r>
    </w:p>
    <w:p w:rsidR="00914F53" w:rsidRPr="00D36396" w:rsidRDefault="00914F53" w:rsidP="00914F53">
      <w:pPr>
        <w:tabs>
          <w:tab w:val="left" w:pos="720"/>
          <w:tab w:val="left" w:pos="840"/>
          <w:tab w:val="left" w:pos="1260"/>
        </w:tabs>
        <w:spacing w:before="120"/>
        <w:ind w:firstLine="709"/>
        <w:jc w:val="both"/>
        <w:rPr>
          <w:color w:val="000000" w:themeColor="text1"/>
          <w:lang w:val="uk-UA"/>
        </w:rPr>
      </w:pPr>
      <w:r w:rsidRPr="00D36396">
        <w:rPr>
          <w:bCs/>
          <w:iCs/>
          <w:color w:val="000000" w:themeColor="text1"/>
          <w:lang w:val="uk-UA"/>
        </w:rPr>
        <w:t xml:space="preserve">Область з офіційними візитами відвідали Надзвичайні і Повноважні Посли іноземних держав в Україні, а саме: </w:t>
      </w:r>
      <w:r w:rsidRPr="00D36396">
        <w:rPr>
          <w:color w:val="000000" w:themeColor="text1"/>
          <w:lang w:val="uk-UA"/>
        </w:rPr>
        <w:t>Ізраїлю – Р.Дін Ель, Фінляндії – А.Макконен, Швейцарії – К.Шьоненбергер, Франції – А.Ремі та Аргентини –  Л.Ролдан Васкес де Муан.</w:t>
      </w:r>
    </w:p>
    <w:p w:rsidR="00914F53" w:rsidRPr="00D36396" w:rsidRDefault="00914F53" w:rsidP="00914F53">
      <w:pPr>
        <w:tabs>
          <w:tab w:val="left" w:pos="142"/>
          <w:tab w:val="left" w:pos="567"/>
          <w:tab w:val="left" w:pos="840"/>
        </w:tabs>
        <w:spacing w:before="120"/>
        <w:ind w:firstLine="709"/>
        <w:jc w:val="both"/>
        <w:rPr>
          <w:color w:val="000000" w:themeColor="text1"/>
          <w:lang w:val="uk-UA"/>
        </w:rPr>
      </w:pPr>
      <w:r w:rsidRPr="00D36396">
        <w:rPr>
          <w:color w:val="000000" w:themeColor="text1"/>
          <w:lang w:val="uk-UA"/>
        </w:rPr>
        <w:t xml:space="preserve">За сприянням Донецької облдержадміністрації, з метою встановлення довгострокового економічного співробітництва, проведено українсько-німецький форум </w:t>
      </w:r>
      <w:r w:rsidR="00B96CDF" w:rsidRPr="00D36396">
        <w:rPr>
          <w:color w:val="000000" w:themeColor="text1"/>
          <w:lang w:val="uk-UA"/>
        </w:rPr>
        <w:t>«</w:t>
      </w:r>
      <w:r w:rsidRPr="00D36396">
        <w:rPr>
          <w:color w:val="000000" w:themeColor="text1"/>
          <w:lang w:val="uk-UA"/>
        </w:rPr>
        <w:t>Шахтний метан</w:t>
      </w:r>
      <w:r w:rsidR="00B96CDF" w:rsidRPr="00D36396">
        <w:rPr>
          <w:color w:val="000000" w:themeColor="text1"/>
          <w:lang w:val="uk-UA"/>
        </w:rPr>
        <w:t>»</w:t>
      </w:r>
      <w:r w:rsidRPr="00D36396">
        <w:rPr>
          <w:color w:val="000000" w:themeColor="text1"/>
          <w:lang w:val="uk-UA"/>
        </w:rPr>
        <w:t xml:space="preserve">, бізнес-зустріч з представниками 6 фінських компаній, українсько-чеський бізнес-форум у рамках Днів Чехії у м. Донецьк, українсько-хорватський бізнес-форум </w:t>
      </w:r>
      <w:r w:rsidR="00B96CDF" w:rsidRPr="00D36396">
        <w:rPr>
          <w:color w:val="000000" w:themeColor="text1"/>
          <w:lang w:val="uk-UA"/>
        </w:rPr>
        <w:t>«</w:t>
      </w:r>
      <w:r w:rsidRPr="00D36396">
        <w:rPr>
          <w:color w:val="000000" w:themeColor="text1"/>
          <w:lang w:val="uk-UA"/>
        </w:rPr>
        <w:t>Нові можливості ефективної співпраці Хорватії та Донецької області</w:t>
      </w:r>
      <w:r w:rsidR="00B96CDF" w:rsidRPr="00D36396">
        <w:rPr>
          <w:color w:val="000000" w:themeColor="text1"/>
          <w:lang w:val="uk-UA"/>
        </w:rPr>
        <w:t>»</w:t>
      </w:r>
      <w:r w:rsidRPr="00D36396">
        <w:rPr>
          <w:color w:val="000000" w:themeColor="text1"/>
          <w:lang w:val="uk-UA"/>
        </w:rPr>
        <w:t xml:space="preserve">, українсько-кіпрський бізнес-форум </w:t>
      </w:r>
      <w:r w:rsidR="00B96CDF" w:rsidRPr="00D36396">
        <w:rPr>
          <w:color w:val="000000" w:themeColor="text1"/>
          <w:lang w:val="uk-UA"/>
        </w:rPr>
        <w:t>«</w:t>
      </w:r>
      <w:r w:rsidRPr="00D36396">
        <w:rPr>
          <w:color w:val="000000" w:themeColor="text1"/>
          <w:lang w:val="uk-UA"/>
        </w:rPr>
        <w:t>Кіпр: міжнародний діловий і фінансовий центр. Перспективи співпраці між Кіпром та Україною</w:t>
      </w:r>
      <w:r w:rsidR="00B96CDF" w:rsidRPr="00D36396">
        <w:rPr>
          <w:color w:val="000000" w:themeColor="text1"/>
          <w:lang w:val="uk-UA"/>
        </w:rPr>
        <w:t>»</w:t>
      </w:r>
      <w:r w:rsidRPr="00D36396">
        <w:rPr>
          <w:color w:val="000000" w:themeColor="text1"/>
          <w:lang w:val="uk-UA"/>
        </w:rPr>
        <w:t>.</w:t>
      </w:r>
    </w:p>
    <w:p w:rsidR="00914F53" w:rsidRPr="00D36396" w:rsidRDefault="00914F53" w:rsidP="00914F53">
      <w:pPr>
        <w:tabs>
          <w:tab w:val="left" w:pos="840"/>
        </w:tabs>
        <w:spacing w:before="120"/>
        <w:ind w:firstLine="709"/>
        <w:jc w:val="both"/>
        <w:rPr>
          <w:color w:val="000000" w:themeColor="text1"/>
          <w:lang w:val="uk-UA"/>
        </w:rPr>
      </w:pPr>
      <w:r w:rsidRPr="00D36396">
        <w:rPr>
          <w:bCs/>
          <w:color w:val="000000" w:themeColor="text1"/>
          <w:lang w:val="uk-UA"/>
        </w:rPr>
        <w:t>З метою активізації співробітництва з регіонами Російської Федерації у березні     2012 року облдержадміністрацією проведено спільне засідання робочих груп Донецької і Курської областей засобами відеоконференцзв'язку (у режимі</w:t>
      </w:r>
      <w:r w:rsidR="00E726C7" w:rsidRPr="00D36396">
        <w:rPr>
          <w:bCs/>
          <w:color w:val="000000" w:themeColor="text1"/>
          <w:lang w:val="uk-UA"/>
        </w:rPr>
        <w:t xml:space="preserve"> on-line) з виконання  Протоколу </w:t>
      </w:r>
      <w:r w:rsidRPr="00D36396">
        <w:rPr>
          <w:bCs/>
          <w:color w:val="000000" w:themeColor="text1"/>
          <w:lang w:val="uk-UA"/>
        </w:rPr>
        <w:t xml:space="preserve">№ 2 до Угоди </w:t>
      </w:r>
      <w:r w:rsidRPr="00D36396">
        <w:rPr>
          <w:color w:val="000000" w:themeColor="text1"/>
          <w:lang w:val="uk-UA"/>
        </w:rPr>
        <w:t>між Донецькою обласною державною адміністрацією (Україна) та Адміністрацією Курської області (Російська Федерація) про торговельно-економічне, науково-технічне та культурне співробітництво</w:t>
      </w:r>
      <w:r w:rsidRPr="00D36396">
        <w:rPr>
          <w:bCs/>
          <w:color w:val="000000" w:themeColor="text1"/>
          <w:lang w:val="uk-UA"/>
        </w:rPr>
        <w:t>, де були запропоновані заходи з активізації співпраці:</w:t>
      </w:r>
      <w:r w:rsidRPr="00D36396">
        <w:rPr>
          <w:color w:val="000000" w:themeColor="text1"/>
          <w:lang w:val="uk-UA"/>
        </w:rPr>
        <w:t xml:space="preserve"> розвиток виставково-ярмаркової діяльності, встановлення побратимських зв'язків, підтримка співвітчизників, що проживають за кордоном, активізація інформаційно-презентаційної роботи по розширенню і зміцненню господарських зв'язків. </w:t>
      </w:r>
    </w:p>
    <w:p w:rsidR="00914F53" w:rsidRPr="00D36396" w:rsidRDefault="00914F53" w:rsidP="00914F53">
      <w:pPr>
        <w:tabs>
          <w:tab w:val="left" w:pos="840"/>
        </w:tabs>
        <w:spacing w:before="120"/>
        <w:ind w:firstLine="709"/>
        <w:jc w:val="both"/>
        <w:rPr>
          <w:color w:val="000000" w:themeColor="text1"/>
          <w:lang w:val="uk-UA"/>
        </w:rPr>
      </w:pPr>
      <w:r w:rsidRPr="00D36396">
        <w:rPr>
          <w:color w:val="000000" w:themeColor="text1"/>
          <w:lang w:val="uk-UA"/>
        </w:rPr>
        <w:t xml:space="preserve">З 23 по 25 березня 2012 року на запрошення Надзвичайного і Повноважного Посла України в Королівстві Нідерланди Горіна О.О. відбувся візит  заступника голови Донецької облдержадміністрації Фоменка О.О. до Нідерландів. </w:t>
      </w:r>
    </w:p>
    <w:p w:rsidR="001E3D91" w:rsidRPr="00D36396" w:rsidRDefault="001E3D91" w:rsidP="001E3D91">
      <w:pPr>
        <w:spacing w:before="120" w:after="120"/>
        <w:ind w:firstLine="708"/>
        <w:jc w:val="both"/>
        <w:rPr>
          <w:color w:val="000000" w:themeColor="text1"/>
          <w:lang w:val="uk-UA"/>
        </w:rPr>
      </w:pPr>
      <w:r w:rsidRPr="00D36396">
        <w:rPr>
          <w:b/>
          <w:color w:val="000000" w:themeColor="text1"/>
          <w:lang w:val="uk-UA"/>
        </w:rPr>
        <w:t>Загальний обсяг продажу товарів</w:t>
      </w:r>
      <w:r w:rsidRPr="00D36396">
        <w:rPr>
          <w:color w:val="000000" w:themeColor="text1"/>
          <w:lang w:val="uk-UA"/>
        </w:rPr>
        <w:t xml:space="preserve"> за січень – червень 2012 р. склав 36,1 млрд. грн., що на 21,1% більше, ніж за аналогічний період 2011 р. У розрахунку на душу населення реалізовано товарів на  8208 грн.</w:t>
      </w:r>
    </w:p>
    <w:tbl>
      <w:tblPr>
        <w:tblW w:w="0" w:type="auto"/>
        <w:tblLook w:val="01E0"/>
      </w:tblPr>
      <w:tblGrid>
        <w:gridCol w:w="9679"/>
      </w:tblGrid>
      <w:tr w:rsidR="001E3D91" w:rsidRPr="00D36396" w:rsidTr="001365EA">
        <w:tc>
          <w:tcPr>
            <w:tcW w:w="9679" w:type="dxa"/>
          </w:tcPr>
          <w:p w:rsidR="001E3D91" w:rsidRPr="00D36396" w:rsidRDefault="001E3D91" w:rsidP="00C4720F">
            <w:pPr>
              <w:jc w:val="center"/>
              <w:rPr>
                <w:b/>
                <w:color w:val="000000" w:themeColor="text1"/>
                <w:lang w:val="uk-UA"/>
              </w:rPr>
            </w:pPr>
            <w:r w:rsidRPr="00D36396">
              <w:rPr>
                <w:b/>
                <w:color w:val="000000" w:themeColor="text1"/>
                <w:lang w:val="uk-UA"/>
              </w:rPr>
              <w:t>Динаміка продажу товарів населенню</w:t>
            </w:r>
          </w:p>
        </w:tc>
      </w:tr>
      <w:tr w:rsidR="001E3D91" w:rsidRPr="00D36396" w:rsidTr="001365EA">
        <w:tc>
          <w:tcPr>
            <w:tcW w:w="9679" w:type="dxa"/>
          </w:tcPr>
          <w:p w:rsidR="001E3D91" w:rsidRPr="00D36396" w:rsidRDefault="00E26581" w:rsidP="004E6538">
            <w:pPr>
              <w:spacing w:before="120" w:after="120"/>
              <w:jc w:val="center"/>
              <w:rPr>
                <w:color w:val="000000" w:themeColor="text1"/>
                <w:sz w:val="21"/>
                <w:szCs w:val="21"/>
                <w:lang w:val="uk-UA"/>
              </w:rPr>
            </w:pPr>
            <w:r>
              <w:rPr>
                <w:noProof/>
                <w:color w:val="000000" w:themeColor="text1"/>
                <w:sz w:val="21"/>
                <w:szCs w:val="21"/>
              </w:rPr>
              <w:pict>
                <v:rect id="_x0000_s1519" style="position:absolute;left:0;text-align:left;margin-left:221.05pt;margin-top:77.15pt;width:38.85pt;height:19.2pt;z-index:251660288;mso-position-horizontal-relative:text;mso-position-vertical-relative:text" o:regroupid="1">
                  <v:textbox style="mso-next-textbox:#_x0000_s1519">
                    <w:txbxContent>
                      <w:p w:rsidR="00B96CDF" w:rsidRPr="00925D2A" w:rsidRDefault="00B96CDF" w:rsidP="001E3D91">
                        <w:pPr>
                          <w:rPr>
                            <w:sz w:val="20"/>
                            <w:szCs w:val="20"/>
                            <w:lang w:val="uk-UA"/>
                          </w:rPr>
                        </w:pPr>
                        <w:r w:rsidRPr="00925D2A">
                          <w:rPr>
                            <w:sz w:val="20"/>
                            <w:szCs w:val="20"/>
                            <w:lang w:val="uk-UA"/>
                          </w:rPr>
                          <w:t>117,6</w:t>
                        </w:r>
                      </w:p>
                    </w:txbxContent>
                  </v:textbox>
                </v:rect>
              </w:pict>
            </w:r>
            <w:r>
              <w:rPr>
                <w:noProof/>
                <w:color w:val="000000" w:themeColor="text1"/>
                <w:sz w:val="21"/>
                <w:szCs w:val="21"/>
              </w:rPr>
              <w:pict>
                <v:rect id="_x0000_s1520" style="position:absolute;left:0;text-align:left;margin-left:364.2pt;margin-top:73.2pt;width:40pt;height:18.5pt;z-index:251661312;mso-position-horizontal-relative:text;mso-position-vertical-relative:text" o:regroupid="1">
                  <v:textbox style="mso-next-textbox:#_x0000_s1520">
                    <w:txbxContent>
                      <w:p w:rsidR="00B96CDF" w:rsidRPr="00925D2A" w:rsidRDefault="00B96CDF" w:rsidP="001E3D91">
                        <w:pPr>
                          <w:rPr>
                            <w:sz w:val="20"/>
                            <w:szCs w:val="20"/>
                            <w:lang w:val="uk-UA"/>
                          </w:rPr>
                        </w:pPr>
                        <w:r w:rsidRPr="00925D2A">
                          <w:rPr>
                            <w:sz w:val="20"/>
                            <w:szCs w:val="20"/>
                            <w:lang w:val="uk-UA"/>
                          </w:rPr>
                          <w:t>115,4</w:t>
                        </w:r>
                      </w:p>
                    </w:txbxContent>
                  </v:textbox>
                </v:rect>
              </w:pict>
            </w:r>
            <w:r>
              <w:rPr>
                <w:noProof/>
                <w:color w:val="000000" w:themeColor="text1"/>
                <w:sz w:val="21"/>
                <w:szCs w:val="21"/>
              </w:rPr>
              <w:pict>
                <v:rect id="_x0000_s1518" style="position:absolute;left:0;text-align:left;margin-left:79.55pt;margin-top:82.7pt;width:41.6pt;height:18pt;z-index:251659264;mso-position-horizontal-relative:text;mso-position-vertical-relative:text" o:regroupid="1">
                  <v:textbox style="mso-next-textbox:#_x0000_s1518">
                    <w:txbxContent>
                      <w:p w:rsidR="00B96CDF" w:rsidRPr="00925D2A" w:rsidRDefault="00B96CDF" w:rsidP="001E3D91">
                        <w:pPr>
                          <w:rPr>
                            <w:sz w:val="20"/>
                            <w:szCs w:val="20"/>
                            <w:lang w:val="uk-UA"/>
                          </w:rPr>
                        </w:pPr>
                        <w:r w:rsidRPr="00925D2A">
                          <w:rPr>
                            <w:sz w:val="20"/>
                            <w:szCs w:val="20"/>
                            <w:lang w:val="uk-UA"/>
                          </w:rPr>
                          <w:t>103,6</w:t>
                        </w:r>
                      </w:p>
                    </w:txbxContent>
                  </v:textbox>
                </v:rect>
              </w:pict>
            </w:r>
            <w:r w:rsidR="00D36396" w:rsidRPr="00D36396">
              <w:rPr>
                <w:noProof/>
                <w:color w:val="000000" w:themeColor="text1"/>
              </w:rPr>
              <w:drawing>
                <wp:inline distT="0" distB="0" distL="0" distR="0">
                  <wp:extent cx="6008914" cy="2069960"/>
                  <wp:effectExtent l="0" t="0" r="0" b="0"/>
                  <wp:docPr id="25"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E3D91" w:rsidRPr="00D36396">
              <w:rPr>
                <w:color w:val="000000" w:themeColor="text1"/>
                <w:sz w:val="21"/>
                <w:szCs w:val="21"/>
                <w:lang w:val="uk-UA"/>
              </w:rPr>
              <w:t xml:space="preserve"> </w:t>
            </w:r>
          </w:p>
        </w:tc>
      </w:tr>
    </w:tbl>
    <w:p w:rsidR="001E3D91" w:rsidRPr="00D36396" w:rsidRDefault="001E3D91" w:rsidP="001E3D91">
      <w:pPr>
        <w:spacing w:after="120"/>
        <w:jc w:val="both"/>
        <w:rPr>
          <w:color w:val="000000" w:themeColor="text1"/>
          <w:lang w:val="uk-UA"/>
        </w:rPr>
      </w:pPr>
      <w:r w:rsidRPr="00D36396">
        <w:rPr>
          <w:color w:val="000000" w:themeColor="text1"/>
          <w:lang w:val="uk-UA"/>
        </w:rPr>
        <w:tab/>
        <w:t xml:space="preserve">Підприємствами роздрібної торгівлі та ресторанного господарства (юридичними особами) реалізовано товарів народного споживання на суму 17 млрд. грн., що більше, </w:t>
      </w:r>
      <w:r w:rsidR="00E726C7" w:rsidRPr="00D36396">
        <w:rPr>
          <w:color w:val="000000" w:themeColor="text1"/>
          <w:lang w:val="uk-UA"/>
        </w:rPr>
        <w:t xml:space="preserve">          </w:t>
      </w:r>
      <w:r w:rsidRPr="00D36396">
        <w:rPr>
          <w:color w:val="000000" w:themeColor="text1"/>
          <w:lang w:val="uk-UA"/>
        </w:rPr>
        <w:t>ніж у 2011 році у діючих цінах на 19,5 %, у порівнянних - на 15,4 %. У розрахунку на душу населення реалізовано товарів на 3860 грн.</w:t>
      </w:r>
    </w:p>
    <w:p w:rsidR="001E3D91" w:rsidRPr="00D36396" w:rsidRDefault="001E3D91" w:rsidP="001E3D91">
      <w:pPr>
        <w:spacing w:after="120"/>
        <w:jc w:val="both"/>
        <w:rPr>
          <w:color w:val="000000" w:themeColor="text1"/>
          <w:lang w:val="uk-UA"/>
        </w:rPr>
      </w:pPr>
      <w:r w:rsidRPr="00D36396">
        <w:rPr>
          <w:color w:val="000000" w:themeColor="text1"/>
          <w:lang w:val="uk-UA"/>
        </w:rPr>
        <w:tab/>
        <w:t>В структурі продажу товарів за каналами реалізації оборот підприємств-юридичних осіб зменшився на 0,4%, а оборот мережі, що належить фізичним особам-підприємцям збільшився на 0,6%.</w:t>
      </w:r>
    </w:p>
    <w:p w:rsidR="001E3D91" w:rsidRPr="00D36396" w:rsidRDefault="001E3D91" w:rsidP="001E3D91">
      <w:pPr>
        <w:spacing w:after="120"/>
        <w:jc w:val="both"/>
        <w:rPr>
          <w:color w:val="000000" w:themeColor="text1"/>
          <w:lang w:val="uk-UA"/>
        </w:rPr>
      </w:pPr>
      <w:r w:rsidRPr="00D36396">
        <w:rPr>
          <w:color w:val="000000" w:themeColor="text1"/>
          <w:lang w:val="uk-UA"/>
        </w:rPr>
        <w:lastRenderedPageBreak/>
        <w:tab/>
        <w:t>В товарній структурі товарообороту роздрібної торгівлі питома вага товарів виробництва України складає 49,2% (продовольчої групи – 85,7 %, непродовольчої – 32,6 %).</w:t>
      </w:r>
    </w:p>
    <w:p w:rsidR="001E3D91" w:rsidRPr="00D36396" w:rsidRDefault="001E3D91" w:rsidP="001E3D91">
      <w:pPr>
        <w:spacing w:after="120"/>
        <w:jc w:val="both"/>
        <w:rPr>
          <w:color w:val="000000" w:themeColor="text1"/>
          <w:lang w:val="uk-UA"/>
        </w:rPr>
      </w:pPr>
      <w:r w:rsidRPr="00D36396">
        <w:rPr>
          <w:color w:val="000000" w:themeColor="text1"/>
          <w:lang w:val="uk-UA"/>
        </w:rPr>
        <w:tab/>
        <w:t xml:space="preserve">Протягом </w:t>
      </w:r>
      <w:r w:rsidR="00CF7D59" w:rsidRPr="00D36396">
        <w:rPr>
          <w:color w:val="000000" w:themeColor="text1"/>
          <w:lang w:val="uk-UA"/>
        </w:rPr>
        <w:t xml:space="preserve">першого </w:t>
      </w:r>
      <w:r w:rsidRPr="00D36396">
        <w:rPr>
          <w:color w:val="000000" w:themeColor="text1"/>
          <w:lang w:val="uk-UA"/>
        </w:rPr>
        <w:t xml:space="preserve">півріччя </w:t>
      </w:r>
      <w:r w:rsidR="00CC7563" w:rsidRPr="00D36396">
        <w:rPr>
          <w:color w:val="000000" w:themeColor="text1"/>
          <w:lang w:val="uk-UA"/>
        </w:rPr>
        <w:t>поточного року</w:t>
      </w:r>
      <w:r w:rsidRPr="00D36396">
        <w:rPr>
          <w:color w:val="000000" w:themeColor="text1"/>
          <w:lang w:val="uk-UA"/>
        </w:rPr>
        <w:t xml:space="preserve"> мережа торговельного обслуговування області за даними виконкомів міських рад і райдержадміністрацій збільшилась на </w:t>
      </w:r>
      <w:r w:rsidR="00662665">
        <w:rPr>
          <w:color w:val="000000" w:themeColor="text1"/>
          <w:lang w:val="uk-UA"/>
        </w:rPr>
        <w:t xml:space="preserve">                      </w:t>
      </w:r>
      <w:r w:rsidRPr="00D36396">
        <w:rPr>
          <w:color w:val="000000" w:themeColor="text1"/>
          <w:lang w:val="uk-UA"/>
        </w:rPr>
        <w:t>136 магазинів торговою площею понад 23 тис.</w:t>
      </w:r>
      <w:r w:rsidR="00AF2D75" w:rsidRPr="00D36396">
        <w:rPr>
          <w:color w:val="000000" w:themeColor="text1"/>
          <w:lang w:val="uk-UA"/>
        </w:rPr>
        <w:t xml:space="preserve"> </w:t>
      </w:r>
      <w:r w:rsidRPr="00D36396">
        <w:rPr>
          <w:color w:val="000000" w:themeColor="text1"/>
          <w:lang w:val="uk-UA"/>
        </w:rPr>
        <w:t>кв.</w:t>
      </w:r>
      <w:r w:rsidR="00AF2D75" w:rsidRPr="00D36396">
        <w:rPr>
          <w:color w:val="000000" w:themeColor="text1"/>
          <w:lang w:val="uk-UA"/>
        </w:rPr>
        <w:t xml:space="preserve"> </w:t>
      </w:r>
      <w:r w:rsidRPr="00D36396">
        <w:rPr>
          <w:color w:val="000000" w:themeColor="text1"/>
          <w:lang w:val="uk-UA"/>
        </w:rPr>
        <w:t>м.</w:t>
      </w:r>
    </w:p>
    <w:p w:rsidR="001E3D91" w:rsidRPr="00D36396" w:rsidRDefault="001E3D91" w:rsidP="001E3D91">
      <w:pPr>
        <w:spacing w:after="120"/>
        <w:jc w:val="both"/>
        <w:rPr>
          <w:color w:val="000000" w:themeColor="text1"/>
          <w:lang w:val="uk-UA"/>
        </w:rPr>
      </w:pPr>
      <w:r w:rsidRPr="00D36396">
        <w:rPr>
          <w:color w:val="000000" w:themeColor="text1"/>
          <w:lang w:val="uk-UA"/>
        </w:rPr>
        <w:tab/>
        <w:t>В області функціонують понад 200 мережевих великоформатних гіпер- та супермаркетів загальною площею понад 358 тис.</w:t>
      </w:r>
      <w:r w:rsidR="00AF2D75" w:rsidRPr="00D36396">
        <w:rPr>
          <w:color w:val="000000" w:themeColor="text1"/>
          <w:lang w:val="uk-UA"/>
        </w:rPr>
        <w:t xml:space="preserve"> </w:t>
      </w:r>
      <w:r w:rsidRPr="00D36396">
        <w:rPr>
          <w:color w:val="000000" w:themeColor="text1"/>
          <w:lang w:val="uk-UA"/>
        </w:rPr>
        <w:t>кв.</w:t>
      </w:r>
      <w:r w:rsidR="00AF2D75" w:rsidRPr="00D36396">
        <w:rPr>
          <w:color w:val="000000" w:themeColor="text1"/>
          <w:lang w:val="uk-UA"/>
        </w:rPr>
        <w:t xml:space="preserve"> </w:t>
      </w:r>
      <w:r w:rsidRPr="00D36396">
        <w:rPr>
          <w:color w:val="000000" w:themeColor="text1"/>
          <w:lang w:val="uk-UA"/>
        </w:rPr>
        <w:t xml:space="preserve">м, що складає 18% від загальної площі  магазинів. Із ведучих українських операторів – </w:t>
      </w:r>
      <w:r w:rsidR="00B96CDF" w:rsidRPr="00D36396">
        <w:rPr>
          <w:color w:val="000000" w:themeColor="text1"/>
          <w:lang w:val="uk-UA"/>
        </w:rPr>
        <w:t>«</w:t>
      </w:r>
      <w:r w:rsidRPr="00D36396">
        <w:rPr>
          <w:color w:val="000000" w:themeColor="text1"/>
          <w:lang w:val="uk-UA"/>
        </w:rPr>
        <w:t>Амстор</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БУМ</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Обжора</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Омега-сервіс</w:t>
      </w:r>
      <w:r w:rsidR="00B96CDF" w:rsidRPr="00D36396">
        <w:rPr>
          <w:color w:val="000000" w:themeColor="text1"/>
          <w:lang w:val="uk-UA"/>
        </w:rPr>
        <w:t>»</w:t>
      </w:r>
      <w:r w:rsidRPr="00D36396">
        <w:rPr>
          <w:color w:val="000000" w:themeColor="text1"/>
          <w:lang w:val="uk-UA"/>
        </w:rPr>
        <w:t xml:space="preserve"> т/к </w:t>
      </w:r>
      <w:r w:rsidR="00B96CDF" w:rsidRPr="00D36396">
        <w:rPr>
          <w:color w:val="000000" w:themeColor="text1"/>
          <w:lang w:val="uk-UA"/>
        </w:rPr>
        <w:t>«</w:t>
      </w:r>
      <w:r w:rsidRPr="00D36396">
        <w:rPr>
          <w:color w:val="000000" w:themeColor="text1"/>
          <w:lang w:val="uk-UA"/>
        </w:rPr>
        <w:t>Папуга</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Фуршет</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Велика Кишеня</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Сільпо</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Варус ТОВ Омега-сервіс</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Сарепта-Альфа</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АТБ</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Family</w:t>
      </w:r>
      <w:r w:rsidR="00B96CDF" w:rsidRPr="00D36396">
        <w:rPr>
          <w:color w:val="000000" w:themeColor="text1"/>
          <w:lang w:val="uk-UA"/>
        </w:rPr>
        <w:t>»</w:t>
      </w:r>
      <w:r w:rsidRPr="00D36396">
        <w:rPr>
          <w:color w:val="000000" w:themeColor="text1"/>
          <w:lang w:val="uk-UA"/>
        </w:rPr>
        <w:t xml:space="preserve">, іноземних – </w:t>
      </w:r>
      <w:r w:rsidR="00B96CDF" w:rsidRPr="00D36396">
        <w:rPr>
          <w:color w:val="000000" w:themeColor="text1"/>
          <w:lang w:val="uk-UA"/>
        </w:rPr>
        <w:t>«</w:t>
      </w:r>
      <w:r w:rsidRPr="00D36396">
        <w:rPr>
          <w:color w:val="000000" w:themeColor="text1"/>
          <w:lang w:val="uk-UA"/>
        </w:rPr>
        <w:t>Метро</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Білла-Україна</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Ашан</w:t>
      </w:r>
      <w:r w:rsidR="00B96CDF" w:rsidRPr="00D36396">
        <w:rPr>
          <w:color w:val="000000" w:themeColor="text1"/>
          <w:lang w:val="uk-UA"/>
        </w:rPr>
        <w:t>»</w:t>
      </w:r>
      <w:r w:rsidRPr="00D36396">
        <w:rPr>
          <w:color w:val="000000" w:themeColor="text1"/>
          <w:lang w:val="uk-UA"/>
        </w:rPr>
        <w:t>.</w:t>
      </w:r>
    </w:p>
    <w:p w:rsidR="001E3D91" w:rsidRPr="00D36396" w:rsidRDefault="001E3D91" w:rsidP="001E3D91">
      <w:pPr>
        <w:spacing w:after="120"/>
        <w:jc w:val="both"/>
        <w:rPr>
          <w:color w:val="000000" w:themeColor="text1"/>
          <w:lang w:val="uk-UA"/>
        </w:rPr>
      </w:pPr>
      <w:r w:rsidRPr="00D36396">
        <w:rPr>
          <w:color w:val="000000" w:themeColor="text1"/>
          <w:lang w:val="uk-UA"/>
        </w:rPr>
        <w:tab/>
        <w:t xml:space="preserve">Високі темпи розвитку мають окремі формати непродовольчої торгівлі: супермаркети електроніки і побутової техніки </w:t>
      </w:r>
      <w:r w:rsidR="00B96CDF" w:rsidRPr="00D36396">
        <w:rPr>
          <w:color w:val="000000" w:themeColor="text1"/>
          <w:lang w:val="uk-UA"/>
        </w:rPr>
        <w:t>«</w:t>
      </w:r>
      <w:r w:rsidRPr="00D36396">
        <w:rPr>
          <w:color w:val="000000" w:themeColor="text1"/>
          <w:lang w:val="uk-UA"/>
        </w:rPr>
        <w:t>Фокстрот</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Домотехніка</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COMFY</w:t>
      </w:r>
      <w:r w:rsidR="00B96CDF" w:rsidRPr="00D36396">
        <w:rPr>
          <w:color w:val="000000" w:themeColor="text1"/>
          <w:lang w:val="uk-UA"/>
        </w:rPr>
        <w:t>»</w:t>
      </w:r>
      <w:r w:rsidRPr="00D36396">
        <w:rPr>
          <w:color w:val="000000" w:themeColor="text1"/>
          <w:lang w:val="uk-UA"/>
        </w:rPr>
        <w:t xml:space="preserve">, а також мережа великих магазинів будівельних  матеріалів </w:t>
      </w:r>
      <w:r w:rsidR="00B96CDF" w:rsidRPr="00D36396">
        <w:rPr>
          <w:color w:val="000000" w:themeColor="text1"/>
          <w:lang w:val="uk-UA"/>
        </w:rPr>
        <w:t>«</w:t>
      </w:r>
      <w:r w:rsidRPr="00D36396">
        <w:rPr>
          <w:color w:val="000000" w:themeColor="text1"/>
          <w:lang w:val="uk-UA"/>
        </w:rPr>
        <w:t>С</w:t>
      </w:r>
      <w:r w:rsidRPr="00D36396">
        <w:rPr>
          <w:vanish/>
          <w:color w:val="000000" w:themeColor="text1"/>
          <w:lang w:val="uk-UA"/>
        </w:rPr>
        <w:t>тройбат</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Будапешт</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ОЛДІ</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Епіцентр</w:t>
      </w:r>
      <w:r w:rsidR="00B96CDF" w:rsidRPr="00D36396">
        <w:rPr>
          <w:color w:val="000000" w:themeColor="text1"/>
          <w:lang w:val="uk-UA"/>
        </w:rPr>
        <w:t>»</w:t>
      </w:r>
      <w:r w:rsidRPr="00D36396">
        <w:rPr>
          <w:color w:val="000000" w:themeColor="text1"/>
          <w:lang w:val="uk-UA"/>
        </w:rPr>
        <w:t xml:space="preserve">, </w:t>
      </w:r>
      <w:r w:rsidR="00B96CDF" w:rsidRPr="00D36396">
        <w:rPr>
          <w:color w:val="000000" w:themeColor="text1"/>
          <w:lang w:val="uk-UA"/>
        </w:rPr>
        <w:t>«</w:t>
      </w:r>
      <w:r w:rsidRPr="00D36396">
        <w:rPr>
          <w:color w:val="000000" w:themeColor="text1"/>
          <w:lang w:val="uk-UA"/>
        </w:rPr>
        <w:t>Практикер</w:t>
      </w:r>
      <w:r w:rsidR="00B96CDF" w:rsidRPr="00D36396">
        <w:rPr>
          <w:color w:val="000000" w:themeColor="text1"/>
          <w:lang w:val="uk-UA"/>
        </w:rPr>
        <w:t>»</w:t>
      </w:r>
      <w:r w:rsidRPr="00D36396">
        <w:rPr>
          <w:color w:val="000000" w:themeColor="text1"/>
          <w:lang w:val="uk-UA"/>
        </w:rPr>
        <w:t xml:space="preserve">, магазини одягу великих розмірів </w:t>
      </w:r>
      <w:r w:rsidR="00B96CDF" w:rsidRPr="00D36396">
        <w:rPr>
          <w:color w:val="000000" w:themeColor="text1"/>
          <w:lang w:val="uk-UA"/>
        </w:rPr>
        <w:t>«</w:t>
      </w:r>
      <w:r w:rsidRPr="00D36396">
        <w:rPr>
          <w:color w:val="000000" w:themeColor="text1"/>
          <w:lang w:val="uk-UA"/>
        </w:rPr>
        <w:t>Три кити</w:t>
      </w:r>
      <w:r w:rsidR="00B96CDF" w:rsidRPr="00D36396">
        <w:rPr>
          <w:color w:val="000000" w:themeColor="text1"/>
          <w:lang w:val="uk-UA"/>
        </w:rPr>
        <w:t>»</w:t>
      </w:r>
      <w:r w:rsidRPr="00D36396">
        <w:rPr>
          <w:color w:val="000000" w:themeColor="text1"/>
          <w:lang w:val="uk-UA"/>
        </w:rPr>
        <w:t>.</w:t>
      </w:r>
    </w:p>
    <w:p w:rsidR="001E3D91" w:rsidRPr="00D36396" w:rsidRDefault="001E3D91" w:rsidP="001E3D91">
      <w:pPr>
        <w:spacing w:after="120"/>
        <w:jc w:val="both"/>
        <w:rPr>
          <w:color w:val="000000" w:themeColor="text1"/>
          <w:lang w:val="uk-UA"/>
        </w:rPr>
      </w:pPr>
      <w:r w:rsidRPr="00D36396">
        <w:rPr>
          <w:color w:val="000000" w:themeColor="text1"/>
          <w:lang w:val="uk-UA"/>
        </w:rPr>
        <w:tab/>
        <w:t xml:space="preserve">Діючи підприємства торгівлі вдосконалюють торговий процес за рахунок продажу товарів за попереднім замовленням, доставки,  установки та ремонту товарів складно-технічного асортименту, упроваджено карткову систему розрахунків.  </w:t>
      </w:r>
    </w:p>
    <w:p w:rsidR="001E3D91" w:rsidRPr="00D36396" w:rsidRDefault="001E3D91" w:rsidP="001E3D91">
      <w:pPr>
        <w:spacing w:after="120"/>
        <w:jc w:val="both"/>
        <w:rPr>
          <w:color w:val="000000" w:themeColor="text1"/>
          <w:lang w:val="uk-UA"/>
        </w:rPr>
      </w:pPr>
      <w:r w:rsidRPr="00D36396">
        <w:rPr>
          <w:color w:val="000000" w:themeColor="text1"/>
          <w:lang w:val="uk-UA"/>
        </w:rPr>
        <w:tab/>
        <w:t xml:space="preserve">Станом на 01.07.2012 загальна кількість ринків склала 318 од. на </w:t>
      </w:r>
      <w:r w:rsidR="00E726C7" w:rsidRPr="00D36396">
        <w:rPr>
          <w:color w:val="000000" w:themeColor="text1"/>
          <w:lang w:val="uk-UA"/>
        </w:rPr>
        <w:t xml:space="preserve">                                        </w:t>
      </w:r>
      <w:r w:rsidRPr="00D36396">
        <w:rPr>
          <w:color w:val="000000" w:themeColor="text1"/>
          <w:lang w:val="uk-UA"/>
        </w:rPr>
        <w:t>76,9 тис. торговельних місць, загальною площею 1850,2 тис. кв.</w:t>
      </w:r>
      <w:r w:rsidR="00AF2D75" w:rsidRPr="00D36396">
        <w:rPr>
          <w:color w:val="000000" w:themeColor="text1"/>
          <w:lang w:val="uk-UA"/>
        </w:rPr>
        <w:t xml:space="preserve"> </w:t>
      </w:r>
      <w:r w:rsidRPr="00D36396">
        <w:rPr>
          <w:color w:val="000000" w:themeColor="text1"/>
          <w:lang w:val="uk-UA"/>
        </w:rPr>
        <w:t>м.</w:t>
      </w:r>
    </w:p>
    <w:p w:rsidR="001E3D91" w:rsidRPr="00D36396" w:rsidRDefault="001E3D91" w:rsidP="001E3D91">
      <w:pPr>
        <w:spacing w:after="120"/>
        <w:jc w:val="both"/>
        <w:rPr>
          <w:color w:val="000000" w:themeColor="text1"/>
          <w:lang w:val="uk-UA"/>
        </w:rPr>
      </w:pPr>
      <w:r w:rsidRPr="00D36396">
        <w:rPr>
          <w:color w:val="000000" w:themeColor="text1"/>
          <w:lang w:val="uk-UA"/>
        </w:rPr>
        <w:tab/>
        <w:t xml:space="preserve">Ринки залишаються суттєвим каналом реалізації споживчих товарів (оборот ринків  у січні – червні 2012 року склав 11912,8 </w:t>
      </w:r>
      <w:r w:rsidR="00B96CDF" w:rsidRPr="00D36396">
        <w:rPr>
          <w:color w:val="000000" w:themeColor="text1"/>
          <w:lang w:val="uk-UA"/>
        </w:rPr>
        <w:t>млн.грн.</w:t>
      </w:r>
      <w:r w:rsidRPr="00D36396">
        <w:rPr>
          <w:color w:val="000000" w:themeColor="text1"/>
          <w:lang w:val="uk-UA"/>
        </w:rPr>
        <w:t xml:space="preserve">  або 33,0 % у обороті роздрібної торгівлі) і забезпечують робочими місцями населення, що втратило роботу або займається виробництвом сільськогосподарської продукції. </w:t>
      </w:r>
    </w:p>
    <w:p w:rsidR="001E3D91" w:rsidRPr="00D36396" w:rsidRDefault="001E3D91" w:rsidP="001E3D91">
      <w:pPr>
        <w:spacing w:after="120"/>
        <w:jc w:val="both"/>
        <w:rPr>
          <w:color w:val="000000" w:themeColor="text1"/>
          <w:lang w:val="uk-UA"/>
        </w:rPr>
      </w:pPr>
      <w:r w:rsidRPr="00D36396">
        <w:rPr>
          <w:color w:val="000000" w:themeColor="text1"/>
          <w:lang w:val="uk-UA"/>
        </w:rPr>
        <w:tab/>
        <w:t xml:space="preserve">З метою підтримки вітчизняного товаровиробника, насичення споживчого ринку товарами та стабілізації цінової ситуації в області проведено 1646 продовольчих, сільськогосподарських та тематичних ярмарків за участю сільськогосподарських та переробних підприємств області та інших регіонів, на яких реалізовано продукції на суму майже 34 </w:t>
      </w:r>
      <w:r w:rsidR="00B96CDF" w:rsidRPr="00D36396">
        <w:rPr>
          <w:color w:val="000000" w:themeColor="text1"/>
          <w:lang w:val="uk-UA"/>
        </w:rPr>
        <w:t>млн.грн.</w:t>
      </w:r>
    </w:p>
    <w:p w:rsidR="001E3D91" w:rsidRPr="00D36396" w:rsidRDefault="001E3D91" w:rsidP="001E3D91">
      <w:pPr>
        <w:spacing w:after="120"/>
        <w:ind w:firstLine="709"/>
        <w:jc w:val="both"/>
        <w:rPr>
          <w:color w:val="000000" w:themeColor="text1"/>
          <w:lang w:val="uk-UA"/>
        </w:rPr>
      </w:pPr>
      <w:r w:rsidRPr="00D36396">
        <w:rPr>
          <w:color w:val="000000" w:themeColor="text1"/>
          <w:lang w:val="uk-UA"/>
        </w:rPr>
        <w:t xml:space="preserve">На виконання заходів Програми у сфері торгівлі в містах і районах області інвестовано власних коштів підприємств понад 100 </w:t>
      </w:r>
      <w:r w:rsidR="00B96CDF" w:rsidRPr="00D36396">
        <w:rPr>
          <w:color w:val="000000" w:themeColor="text1"/>
          <w:lang w:val="uk-UA"/>
        </w:rPr>
        <w:t>млн.грн.</w:t>
      </w:r>
    </w:p>
    <w:p w:rsidR="00662E0D" w:rsidRPr="00D36396" w:rsidRDefault="00662E0D" w:rsidP="00662E0D">
      <w:pPr>
        <w:spacing w:after="120"/>
        <w:ind w:firstLine="709"/>
        <w:jc w:val="both"/>
        <w:rPr>
          <w:color w:val="000000" w:themeColor="text1"/>
          <w:lang w:val="uk-UA"/>
        </w:rPr>
      </w:pPr>
      <w:r w:rsidRPr="00D36396">
        <w:rPr>
          <w:color w:val="000000" w:themeColor="text1"/>
          <w:lang w:val="uk-UA"/>
        </w:rPr>
        <w:t xml:space="preserve">Протягом </w:t>
      </w:r>
      <w:r w:rsidR="00CF7D59" w:rsidRPr="00D36396">
        <w:rPr>
          <w:color w:val="000000" w:themeColor="text1"/>
          <w:lang w:val="uk-UA"/>
        </w:rPr>
        <w:t>першого</w:t>
      </w:r>
      <w:r w:rsidRPr="00D36396">
        <w:rPr>
          <w:color w:val="000000" w:themeColor="text1"/>
          <w:lang w:val="uk-UA"/>
        </w:rPr>
        <w:t xml:space="preserve"> півріччя поточного року облдержадміністрацією відповідно до повноважень органів виконавчої влади </w:t>
      </w:r>
      <w:r w:rsidRPr="00D36396">
        <w:rPr>
          <w:b/>
          <w:color w:val="000000" w:themeColor="text1"/>
          <w:lang w:val="uk-UA"/>
        </w:rPr>
        <w:t xml:space="preserve">проводився моніторинг середніх роздрібних цін </w:t>
      </w:r>
      <w:r w:rsidRPr="00D36396">
        <w:rPr>
          <w:color w:val="000000" w:themeColor="text1"/>
          <w:lang w:val="uk-UA"/>
        </w:rPr>
        <w:t>н</w:t>
      </w:r>
      <w:r w:rsidRPr="00D36396">
        <w:rPr>
          <w:b/>
          <w:color w:val="000000" w:themeColor="text1"/>
          <w:lang w:val="uk-UA"/>
        </w:rPr>
        <w:t xml:space="preserve">а соціально значущі </w:t>
      </w:r>
      <w:r w:rsidRPr="00D36396">
        <w:rPr>
          <w:color w:val="000000" w:themeColor="text1"/>
          <w:lang w:val="uk-UA"/>
        </w:rPr>
        <w:t>товари.</w:t>
      </w:r>
    </w:p>
    <w:p w:rsidR="00662E0D" w:rsidRPr="00D36396" w:rsidRDefault="00662E0D" w:rsidP="00662E0D">
      <w:pPr>
        <w:pStyle w:val="ac"/>
        <w:spacing w:before="120" w:after="120"/>
        <w:ind w:firstLine="709"/>
        <w:rPr>
          <w:rFonts w:ascii="Times New Roman" w:hAnsi="Times New Roman"/>
          <w:snapToGrid/>
          <w:color w:val="000000" w:themeColor="text1"/>
          <w:sz w:val="24"/>
          <w:szCs w:val="24"/>
        </w:rPr>
      </w:pPr>
      <w:r w:rsidRPr="00D36396">
        <w:rPr>
          <w:rFonts w:ascii="Times New Roman" w:hAnsi="Times New Roman"/>
          <w:snapToGrid/>
          <w:color w:val="000000" w:themeColor="text1"/>
          <w:sz w:val="24"/>
          <w:szCs w:val="24"/>
        </w:rPr>
        <w:t xml:space="preserve">Індекс споживчих цін за </w:t>
      </w:r>
      <w:r w:rsidR="00CF7D59" w:rsidRPr="00D36396">
        <w:rPr>
          <w:rFonts w:ascii="Times New Roman" w:hAnsi="Times New Roman"/>
          <w:snapToGrid/>
          <w:color w:val="000000" w:themeColor="text1"/>
          <w:sz w:val="24"/>
          <w:szCs w:val="24"/>
        </w:rPr>
        <w:t>перше</w:t>
      </w:r>
      <w:r w:rsidRPr="00D36396">
        <w:rPr>
          <w:rFonts w:ascii="Times New Roman" w:hAnsi="Times New Roman"/>
          <w:snapToGrid/>
          <w:color w:val="000000" w:themeColor="text1"/>
          <w:sz w:val="24"/>
          <w:szCs w:val="24"/>
        </w:rPr>
        <w:t xml:space="preserve"> півріччя 2012 рік (червень 2012 року до грудня </w:t>
      </w:r>
      <w:r w:rsidR="00CF7D59" w:rsidRPr="00D36396">
        <w:rPr>
          <w:rFonts w:ascii="Times New Roman" w:hAnsi="Times New Roman"/>
          <w:snapToGrid/>
          <w:color w:val="000000" w:themeColor="text1"/>
          <w:sz w:val="24"/>
          <w:szCs w:val="24"/>
        </w:rPr>
        <w:t xml:space="preserve">          </w:t>
      </w:r>
      <w:r w:rsidRPr="00D36396">
        <w:rPr>
          <w:rFonts w:ascii="Times New Roman" w:hAnsi="Times New Roman"/>
          <w:snapToGrid/>
          <w:color w:val="000000" w:themeColor="text1"/>
          <w:sz w:val="24"/>
          <w:szCs w:val="24"/>
        </w:rPr>
        <w:t xml:space="preserve">2011 року) склав 101,0% (по Україні – 100,1%), в тому числі на продукти харчування та безалкогольні напої – 100,6% (99,1%). </w:t>
      </w:r>
    </w:p>
    <w:p w:rsidR="001365EA" w:rsidRPr="00D36396" w:rsidRDefault="001365EA" w:rsidP="000D1FDA">
      <w:pPr>
        <w:keepNext/>
        <w:widowControl w:val="0"/>
        <w:shd w:val="clear" w:color="auto" w:fill="FFFFFF"/>
        <w:spacing w:after="160"/>
        <w:ind w:firstLine="709"/>
        <w:jc w:val="both"/>
        <w:rPr>
          <w:lang w:val="uk-UA"/>
        </w:rPr>
      </w:pPr>
      <w:r w:rsidRPr="00D36396">
        <w:rPr>
          <w:b/>
          <w:lang w:val="uk-UA"/>
        </w:rPr>
        <w:t xml:space="preserve">Обсяг капітальних інвестицій </w:t>
      </w:r>
      <w:r w:rsidRPr="00D36396">
        <w:rPr>
          <w:bCs/>
          <w:lang w:val="uk-UA"/>
        </w:rPr>
        <w:t xml:space="preserve">за </w:t>
      </w:r>
      <w:r w:rsidRPr="00D36396">
        <w:rPr>
          <w:lang w:val="uk-UA"/>
        </w:rPr>
        <w:t>рахунок усіх джерел фінансування у І</w:t>
      </w:r>
      <w:r w:rsidRPr="00D36396">
        <w:rPr>
          <w:bCs/>
          <w:lang w:val="uk-UA"/>
        </w:rPr>
        <w:t xml:space="preserve"> кварталі 2012 року склав 4,7 млрд. грн., що на 4,5% більше, ніж за відповідний період  2011 року.</w:t>
      </w:r>
      <w:r w:rsidRPr="00D36396">
        <w:rPr>
          <w:lang w:val="uk-UA"/>
        </w:rPr>
        <w:t xml:space="preserve"> </w:t>
      </w:r>
      <w:r w:rsidRPr="00D36396">
        <w:rPr>
          <w:lang w:val="uk-UA"/>
        </w:rPr>
        <w:tab/>
      </w:r>
    </w:p>
    <w:p w:rsidR="001365EA" w:rsidRPr="00662665" w:rsidRDefault="001365EA" w:rsidP="000D1FDA">
      <w:pPr>
        <w:keepNext/>
        <w:widowControl w:val="0"/>
        <w:shd w:val="clear" w:color="auto" w:fill="FFFFFF"/>
        <w:spacing w:after="160"/>
        <w:ind w:firstLine="709"/>
        <w:jc w:val="both"/>
        <w:rPr>
          <w:lang w:val="uk-UA"/>
        </w:rPr>
      </w:pPr>
      <w:r w:rsidRPr="00D36396">
        <w:rPr>
          <w:snapToGrid w:val="0"/>
          <w:lang w:val="uk-UA"/>
        </w:rPr>
        <w:t>Введено в експлуатацію будівлю обласного центру екстреної медичної допомоги і медицини катастроф, аеровокзальний комплекс, залізничні колії (12,4 км) та вокзальний комплекс в м. Донецьк; завершено реконструкцію обласної травматологічної лікарні, будівлі Донецького обласного протипухлинного центру та систем зовнішнього водопостачання обласної лікарні відновного лікування в м. Донецьк;</w:t>
      </w:r>
      <w:r w:rsidRPr="00D36396">
        <w:rPr>
          <w:snapToGrid w:val="0"/>
          <w:color w:val="FF0000"/>
          <w:lang w:val="uk-UA"/>
        </w:rPr>
        <w:t xml:space="preserve"> </w:t>
      </w:r>
      <w:r w:rsidRPr="00662665">
        <w:rPr>
          <w:snapToGrid w:val="0"/>
          <w:lang w:val="uk-UA"/>
        </w:rPr>
        <w:t xml:space="preserve">відкрито обласний перинатальний центр. До кінця року заплановано створення 2-ух регіональних перинатальний центрів в містах Маріуполь та Макіївка. </w:t>
      </w:r>
    </w:p>
    <w:p w:rsidR="001365EA" w:rsidRPr="00D36396" w:rsidRDefault="001365EA" w:rsidP="000D1FDA">
      <w:pPr>
        <w:pStyle w:val="ac"/>
        <w:keepNext/>
        <w:widowControl w:val="0"/>
        <w:spacing w:after="160"/>
        <w:ind w:firstLine="709"/>
        <w:rPr>
          <w:rFonts w:ascii="Times New Roman" w:hAnsi="Times New Roman"/>
          <w:sz w:val="24"/>
          <w:szCs w:val="24"/>
        </w:rPr>
      </w:pPr>
      <w:r w:rsidRPr="00D36396">
        <w:rPr>
          <w:rFonts w:ascii="Times New Roman" w:hAnsi="Times New Roman"/>
          <w:sz w:val="24"/>
          <w:szCs w:val="24"/>
        </w:rPr>
        <w:t xml:space="preserve">Завершено будівництво та введено в експлуатацію ряд будівель та споруд виробничої </w:t>
      </w:r>
      <w:r w:rsidRPr="00D36396">
        <w:rPr>
          <w:rFonts w:ascii="Times New Roman" w:hAnsi="Times New Roman"/>
          <w:sz w:val="24"/>
          <w:szCs w:val="24"/>
        </w:rPr>
        <w:lastRenderedPageBreak/>
        <w:t xml:space="preserve">сфери: </w:t>
      </w:r>
      <w:r w:rsidRPr="00D36396">
        <w:rPr>
          <w:rFonts w:ascii="Times New Roman" w:hAnsi="Times New Roman"/>
          <w:bCs/>
          <w:sz w:val="24"/>
          <w:szCs w:val="24"/>
        </w:rPr>
        <w:t xml:space="preserve">будівлю підприємств машинобудування та металообробної промисловості                          у м. Маріуполь, будівлі підприємств харчової промисловості у м. Донецьк, м. Слов’янськ, Костянтинівському районі, будівлю підприємств будівельної індустрії, будівельних матеріалів та виробів, скляної та фарфоро-фаянсової промисловості у м. Дружківка, </w:t>
      </w:r>
      <w:r w:rsidRPr="00D36396">
        <w:rPr>
          <w:rFonts w:ascii="Times New Roman" w:hAnsi="Times New Roman"/>
          <w:sz w:val="24"/>
          <w:szCs w:val="24"/>
        </w:rPr>
        <w:t>електростанцію на нетрадиційних джерелах енергії у Новоазовському районі, установки для переробки стічних вод  у м. Горлівка, Костянтинівському та Старобешівському районах тощо.</w:t>
      </w:r>
    </w:p>
    <w:p w:rsidR="001365EA" w:rsidRPr="00D36396" w:rsidRDefault="001365EA" w:rsidP="001365EA">
      <w:pPr>
        <w:pStyle w:val="ac"/>
        <w:spacing w:after="160"/>
        <w:ind w:firstLine="709"/>
        <w:rPr>
          <w:rFonts w:ascii="Times New Roman" w:hAnsi="Times New Roman"/>
          <w:bCs/>
          <w:sz w:val="24"/>
          <w:szCs w:val="24"/>
        </w:rPr>
      </w:pPr>
      <w:r w:rsidRPr="00D36396">
        <w:rPr>
          <w:rFonts w:ascii="Times New Roman" w:hAnsi="Times New Roman"/>
          <w:bCs/>
          <w:sz w:val="24"/>
          <w:szCs w:val="24"/>
        </w:rPr>
        <w:t>Введено в експлуатацію готелі у м. Донецьк (645 місць), м. Слов’янськ (40 місць),             м. Харцизьк (16 місць),  мотель  у м. Макіївка (100 місць), об’єкт для занять спортом на відкритому повітрі (</w:t>
      </w:r>
      <w:smartTag w:uri="urn:schemas-microsoft-com:office:smarttags" w:element="metricconverter">
        <w:smartTagPr>
          <w:attr w:name="ProductID" w:val="664,5 кв. м"/>
        </w:smartTagPr>
        <w:r w:rsidRPr="00D36396">
          <w:rPr>
            <w:rFonts w:ascii="Times New Roman" w:hAnsi="Times New Roman"/>
            <w:bCs/>
            <w:sz w:val="24"/>
            <w:szCs w:val="24"/>
          </w:rPr>
          <w:t>664,5 кв. м</w:t>
        </w:r>
      </w:smartTag>
      <w:r w:rsidRPr="00D36396">
        <w:rPr>
          <w:rFonts w:ascii="Times New Roman" w:hAnsi="Times New Roman"/>
          <w:bCs/>
          <w:sz w:val="24"/>
          <w:szCs w:val="24"/>
        </w:rPr>
        <w:t xml:space="preserve">) та споруди для занять водним спортом (1 тис. кв. м дзеркала води) у м. Донецьк тощо. </w:t>
      </w:r>
    </w:p>
    <w:p w:rsidR="001365EA" w:rsidRPr="00D36396" w:rsidRDefault="001365EA" w:rsidP="001365EA">
      <w:pPr>
        <w:pStyle w:val="ac"/>
        <w:spacing w:after="160"/>
        <w:ind w:firstLine="709"/>
        <w:rPr>
          <w:rFonts w:ascii="Times New Roman" w:hAnsi="Times New Roman"/>
          <w:sz w:val="24"/>
          <w:szCs w:val="24"/>
        </w:rPr>
      </w:pPr>
      <w:r w:rsidRPr="00D36396">
        <w:rPr>
          <w:rFonts w:ascii="Times New Roman" w:hAnsi="Times New Roman"/>
          <w:sz w:val="24"/>
          <w:szCs w:val="24"/>
        </w:rPr>
        <w:t xml:space="preserve">Побудовано </w:t>
      </w:r>
      <w:smartTag w:uri="urn:schemas-microsoft-com:office:smarttags" w:element="metricconverter">
        <w:smartTagPr>
          <w:attr w:name="ProductID" w:val="13,22 км"/>
        </w:smartTagPr>
        <w:r w:rsidRPr="00D36396">
          <w:rPr>
            <w:rFonts w:ascii="Times New Roman" w:hAnsi="Times New Roman"/>
            <w:sz w:val="24"/>
            <w:szCs w:val="24"/>
          </w:rPr>
          <w:t>13,22 км</w:t>
        </w:r>
      </w:smartTag>
      <w:r w:rsidRPr="00D36396">
        <w:rPr>
          <w:rFonts w:ascii="Times New Roman" w:hAnsi="Times New Roman"/>
          <w:sz w:val="24"/>
          <w:szCs w:val="24"/>
        </w:rPr>
        <w:t xml:space="preserve"> газових мереж, </w:t>
      </w:r>
      <w:smartTag w:uri="urn:schemas-microsoft-com:office:smarttags" w:element="metricconverter">
        <w:smartTagPr>
          <w:attr w:name="ProductID" w:val="1,03 км"/>
        </w:smartTagPr>
        <w:r w:rsidRPr="00D36396">
          <w:rPr>
            <w:rFonts w:ascii="Times New Roman" w:hAnsi="Times New Roman"/>
            <w:sz w:val="24"/>
            <w:szCs w:val="24"/>
          </w:rPr>
          <w:t>1,03 км</w:t>
        </w:r>
      </w:smartTag>
      <w:r w:rsidRPr="00D36396">
        <w:rPr>
          <w:rFonts w:ascii="Times New Roman" w:hAnsi="Times New Roman"/>
          <w:sz w:val="24"/>
          <w:szCs w:val="24"/>
        </w:rPr>
        <w:t xml:space="preserve"> водопровідних мереж, котельню потужністю 0,17 Гкал/год, </w:t>
      </w:r>
      <w:smartTag w:uri="urn:schemas-microsoft-com:office:smarttags" w:element="metricconverter">
        <w:smartTagPr>
          <w:attr w:name="ProductID" w:val="0,4 км"/>
        </w:smartTagPr>
        <w:r w:rsidRPr="00D36396">
          <w:rPr>
            <w:rFonts w:ascii="Times New Roman" w:hAnsi="Times New Roman"/>
            <w:sz w:val="24"/>
            <w:szCs w:val="24"/>
          </w:rPr>
          <w:t>0,4 км</w:t>
        </w:r>
      </w:smartTag>
      <w:r w:rsidRPr="00D36396">
        <w:rPr>
          <w:rFonts w:ascii="Times New Roman" w:hAnsi="Times New Roman"/>
          <w:sz w:val="24"/>
          <w:szCs w:val="24"/>
        </w:rPr>
        <w:t xml:space="preserve"> дороги. </w:t>
      </w:r>
    </w:p>
    <w:p w:rsidR="001365EA" w:rsidRPr="00D36396" w:rsidRDefault="001365EA" w:rsidP="001365EA">
      <w:pPr>
        <w:pStyle w:val="13"/>
        <w:tabs>
          <w:tab w:val="num" w:pos="567"/>
        </w:tabs>
        <w:spacing w:after="120"/>
        <w:ind w:left="0" w:firstLine="709"/>
        <w:jc w:val="both"/>
        <w:rPr>
          <w:lang w:val="uk-UA"/>
        </w:rPr>
      </w:pPr>
      <w:r w:rsidRPr="00D36396">
        <w:rPr>
          <w:lang w:val="uk-UA"/>
        </w:rPr>
        <w:t xml:space="preserve">Загальний обсяг </w:t>
      </w:r>
      <w:r w:rsidRPr="00D36396">
        <w:rPr>
          <w:b/>
          <w:lang w:val="uk-UA"/>
        </w:rPr>
        <w:t>прямих іноземних інвестицій</w:t>
      </w:r>
      <w:r w:rsidRPr="00D36396">
        <w:rPr>
          <w:lang w:val="uk-UA"/>
        </w:rPr>
        <w:t xml:space="preserve">, залучених  в економіку області, порівняно з початком 2012 року збільшився на 108,9 млн. дол. США і станом на 1липня         2012 року склав 2,8 млрд. дол. США. </w:t>
      </w:r>
    </w:p>
    <w:p w:rsidR="001365EA" w:rsidRPr="00D36396" w:rsidRDefault="001365EA" w:rsidP="001365EA">
      <w:pPr>
        <w:pStyle w:val="13"/>
        <w:tabs>
          <w:tab w:val="num" w:pos="567"/>
        </w:tabs>
        <w:spacing w:after="120"/>
        <w:ind w:left="0" w:firstLine="709"/>
        <w:jc w:val="both"/>
        <w:rPr>
          <w:lang w:val="uk-UA"/>
        </w:rPr>
      </w:pPr>
      <w:r w:rsidRPr="00D36396">
        <w:rPr>
          <w:lang w:val="uk-UA"/>
        </w:rPr>
        <w:t xml:space="preserve">Для  покращення інвестиційної привабливості області у першому півріччі 2012 року           облдержадміністрацією організовано проведення наступних заходів: </w:t>
      </w:r>
    </w:p>
    <w:p w:rsidR="001365EA" w:rsidRPr="00D36396" w:rsidRDefault="001365EA" w:rsidP="001365EA">
      <w:pPr>
        <w:pStyle w:val="13"/>
        <w:tabs>
          <w:tab w:val="num" w:pos="567"/>
        </w:tabs>
        <w:spacing w:after="120"/>
        <w:ind w:left="0" w:firstLine="709"/>
        <w:jc w:val="both"/>
        <w:rPr>
          <w:lang w:val="uk-UA"/>
        </w:rPr>
      </w:pPr>
      <w:r w:rsidRPr="00D36396">
        <w:rPr>
          <w:lang w:val="uk-UA"/>
        </w:rPr>
        <w:t xml:space="preserve">- практичний семінар для представників міст та районів області, структурних підрозділів облдержадміністрації на тему: </w:t>
      </w:r>
      <w:r w:rsidR="00B96CDF" w:rsidRPr="00D36396">
        <w:rPr>
          <w:lang w:val="uk-UA"/>
        </w:rPr>
        <w:t>«</w:t>
      </w:r>
      <w:r w:rsidRPr="00D36396">
        <w:rPr>
          <w:lang w:val="uk-UA"/>
        </w:rPr>
        <w:t>Шляхи залучення інвестицій в регіон</w:t>
      </w:r>
      <w:r w:rsidR="00B96CDF" w:rsidRPr="00D36396">
        <w:rPr>
          <w:lang w:val="uk-UA"/>
        </w:rPr>
        <w:t>»</w:t>
      </w:r>
      <w:r w:rsidRPr="00D36396">
        <w:rPr>
          <w:lang w:val="uk-UA"/>
        </w:rPr>
        <w:t xml:space="preserve"> за участю </w:t>
      </w:r>
    </w:p>
    <w:p w:rsidR="001365EA" w:rsidRPr="00D36396" w:rsidRDefault="001365EA" w:rsidP="001365EA">
      <w:pPr>
        <w:pStyle w:val="13"/>
        <w:tabs>
          <w:tab w:val="num" w:pos="567"/>
        </w:tabs>
        <w:spacing w:after="120"/>
        <w:ind w:left="0"/>
        <w:jc w:val="both"/>
        <w:rPr>
          <w:lang w:val="uk-UA"/>
        </w:rPr>
      </w:pPr>
      <w:r w:rsidRPr="00D36396">
        <w:rPr>
          <w:lang w:val="uk-UA"/>
        </w:rPr>
        <w:t xml:space="preserve">провідних фахівців Державного агентства з інвестицій та управління національними проектами України, ДП </w:t>
      </w:r>
      <w:r w:rsidR="00B96CDF" w:rsidRPr="00D36396">
        <w:rPr>
          <w:lang w:val="uk-UA"/>
        </w:rPr>
        <w:t>«</w:t>
      </w:r>
      <w:r w:rsidRPr="00D36396">
        <w:rPr>
          <w:lang w:val="uk-UA"/>
        </w:rPr>
        <w:t>Центр розвитку державно-приватного партнерства</w:t>
      </w:r>
      <w:r w:rsidR="00B96CDF" w:rsidRPr="00D36396">
        <w:rPr>
          <w:lang w:val="uk-UA"/>
        </w:rPr>
        <w:t>»</w:t>
      </w:r>
      <w:r w:rsidRPr="00D36396">
        <w:rPr>
          <w:lang w:val="uk-UA"/>
        </w:rPr>
        <w:t xml:space="preserve">, Міністерства регіонального розвитку, будівництва та житлово-комунального господарства України, компанії </w:t>
      </w:r>
      <w:r w:rsidR="00B96CDF" w:rsidRPr="00D36396">
        <w:rPr>
          <w:lang w:val="uk-UA"/>
        </w:rPr>
        <w:t>«</w:t>
      </w:r>
      <w:r w:rsidRPr="00D36396">
        <w:rPr>
          <w:lang w:val="uk-UA"/>
        </w:rPr>
        <w:t>Ернст енд Янг</w:t>
      </w:r>
      <w:r w:rsidR="00B96CDF" w:rsidRPr="00D36396">
        <w:rPr>
          <w:lang w:val="uk-UA"/>
        </w:rPr>
        <w:t>»</w:t>
      </w:r>
      <w:r w:rsidRPr="00D36396">
        <w:rPr>
          <w:lang w:val="uk-UA"/>
        </w:rPr>
        <w:t>;</w:t>
      </w:r>
    </w:p>
    <w:p w:rsidR="001365EA" w:rsidRPr="00D36396" w:rsidRDefault="001365EA" w:rsidP="001365EA">
      <w:pPr>
        <w:pStyle w:val="13"/>
        <w:tabs>
          <w:tab w:val="num" w:pos="567"/>
        </w:tabs>
        <w:spacing w:after="120"/>
        <w:ind w:left="0" w:firstLine="709"/>
        <w:jc w:val="both"/>
        <w:rPr>
          <w:lang w:val="uk-UA"/>
        </w:rPr>
      </w:pPr>
      <w:r w:rsidRPr="00D36396">
        <w:rPr>
          <w:lang w:val="uk-UA"/>
        </w:rPr>
        <w:t>- презентацію інвестиційного потенціалу області під час Українсько-Чеського бізнес-форуму в рамках днів Чехії у Донбасі;</w:t>
      </w:r>
    </w:p>
    <w:p w:rsidR="001365EA" w:rsidRPr="00D36396" w:rsidRDefault="001365EA" w:rsidP="001365EA">
      <w:pPr>
        <w:pStyle w:val="13"/>
        <w:tabs>
          <w:tab w:val="num" w:pos="567"/>
        </w:tabs>
        <w:spacing w:after="120"/>
        <w:ind w:left="0" w:firstLine="709"/>
        <w:jc w:val="both"/>
      </w:pPr>
      <w:r w:rsidRPr="00D36396">
        <w:rPr>
          <w:lang w:val="uk-UA"/>
        </w:rPr>
        <w:t xml:space="preserve"> - презентацію інвестиційного потенціалу області на Міжнародному інвестиційному Форумі </w:t>
      </w:r>
      <w:r w:rsidR="00B96CDF" w:rsidRPr="00D36396">
        <w:rPr>
          <w:lang w:val="uk-UA"/>
        </w:rPr>
        <w:t>«</w:t>
      </w:r>
      <w:r w:rsidRPr="00D36396">
        <w:rPr>
          <w:lang w:val="uk-UA"/>
        </w:rPr>
        <w:t>Ялта Азов</w:t>
      </w:r>
      <w:r w:rsidRPr="00D36396">
        <w:t>’</w:t>
      </w:r>
      <w:r w:rsidRPr="00D36396">
        <w:rPr>
          <w:lang w:val="uk-UA"/>
        </w:rPr>
        <w:t>я 2012</w:t>
      </w:r>
      <w:r w:rsidR="00B96CDF" w:rsidRPr="00D36396">
        <w:rPr>
          <w:lang w:val="uk-UA"/>
        </w:rPr>
        <w:t>»</w:t>
      </w:r>
      <w:r w:rsidRPr="00D36396">
        <w:t>.</w:t>
      </w:r>
    </w:p>
    <w:p w:rsidR="001365EA" w:rsidRPr="00D36396" w:rsidRDefault="001365EA" w:rsidP="001365EA">
      <w:pPr>
        <w:spacing w:after="120"/>
        <w:ind w:firstLine="720"/>
        <w:jc w:val="both"/>
        <w:rPr>
          <w:lang w:val="uk-UA"/>
        </w:rPr>
      </w:pPr>
      <w:r w:rsidRPr="00D36396">
        <w:rPr>
          <w:rFonts w:eastAsia="Calibri"/>
          <w:lang w:val="uk-UA"/>
        </w:rPr>
        <w:t>У першому півріччі 2012 року, о</w:t>
      </w:r>
      <w:r w:rsidRPr="00D36396">
        <w:rPr>
          <w:lang w:val="uk-UA"/>
        </w:rPr>
        <w:t>бсяг інвестицій, залучених в проекти реального сектору економіки склав 1,4 млрд.грн.</w:t>
      </w:r>
    </w:p>
    <w:p w:rsidR="001365EA" w:rsidRPr="00D36396" w:rsidRDefault="001365EA" w:rsidP="001365EA">
      <w:pPr>
        <w:spacing w:after="120"/>
        <w:ind w:firstLine="709"/>
        <w:jc w:val="both"/>
        <w:rPr>
          <w:lang w:val="uk-UA"/>
        </w:rPr>
      </w:pPr>
      <w:r w:rsidRPr="00D36396">
        <w:rPr>
          <w:noProof/>
          <w:lang w:val="uk-UA"/>
        </w:rPr>
        <w:t xml:space="preserve">У січні-червні 2012 року підприємствами області виконано </w:t>
      </w:r>
      <w:r w:rsidRPr="00D36396">
        <w:rPr>
          <w:b/>
          <w:noProof/>
          <w:lang w:val="uk-UA"/>
        </w:rPr>
        <w:t>будівельних робіт</w:t>
      </w:r>
      <w:r w:rsidRPr="00D36396">
        <w:rPr>
          <w:noProof/>
          <w:lang w:val="uk-UA"/>
        </w:rPr>
        <w:t xml:space="preserve"> на суму 4 млрд.грн., </w:t>
      </w:r>
      <w:r w:rsidRPr="00D36396">
        <w:rPr>
          <w:lang w:val="uk-UA"/>
        </w:rPr>
        <w:t>що у порівнянних цінах становить 114,6% (по Україні – 98,1%) до обсягів будівництва у відповідному періоді 2011 року.</w:t>
      </w:r>
    </w:p>
    <w:tbl>
      <w:tblPr>
        <w:tblW w:w="0" w:type="auto"/>
        <w:tblLook w:val="01E0"/>
      </w:tblPr>
      <w:tblGrid>
        <w:gridCol w:w="9854"/>
      </w:tblGrid>
      <w:tr w:rsidR="001365EA" w:rsidRPr="00D36396" w:rsidTr="00B96CDF">
        <w:tc>
          <w:tcPr>
            <w:tcW w:w="9854" w:type="dxa"/>
          </w:tcPr>
          <w:p w:rsidR="001365EA" w:rsidRPr="00D36396" w:rsidRDefault="001365EA" w:rsidP="00B96CDF">
            <w:pPr>
              <w:jc w:val="center"/>
              <w:rPr>
                <w:b/>
                <w:lang w:val="uk-UA"/>
              </w:rPr>
            </w:pPr>
            <w:r w:rsidRPr="00D36396">
              <w:rPr>
                <w:b/>
                <w:lang w:val="uk-UA"/>
              </w:rPr>
              <w:t>Індекси обсягів будівельних робіт</w:t>
            </w:r>
          </w:p>
          <w:p w:rsidR="001365EA" w:rsidRPr="00D36396" w:rsidRDefault="001365EA" w:rsidP="00B96CDF">
            <w:pPr>
              <w:spacing w:line="360" w:lineRule="auto"/>
              <w:jc w:val="center"/>
              <w:rPr>
                <w:lang w:val="uk-UA"/>
              </w:rPr>
            </w:pPr>
            <w:r w:rsidRPr="00D36396">
              <w:rPr>
                <w:lang w:val="uk-UA"/>
              </w:rPr>
              <w:t>(наростаючим підсумком, у % до відповідного періоду попереднього року)</w:t>
            </w:r>
          </w:p>
        </w:tc>
      </w:tr>
      <w:tr w:rsidR="001365EA" w:rsidRPr="00D36396" w:rsidTr="00B96CDF">
        <w:tc>
          <w:tcPr>
            <w:tcW w:w="9854" w:type="dxa"/>
          </w:tcPr>
          <w:p w:rsidR="001365EA" w:rsidRPr="00D36396" w:rsidRDefault="001365EA" w:rsidP="00B96CDF">
            <w:pPr>
              <w:jc w:val="center"/>
              <w:rPr>
                <w:lang w:val="uk-UA"/>
              </w:rPr>
            </w:pPr>
            <w:r w:rsidRPr="00D36396">
              <w:rPr>
                <w:noProof/>
              </w:rPr>
              <w:drawing>
                <wp:inline distT="0" distB="0" distL="0" distR="0">
                  <wp:extent cx="5657215" cy="2019935"/>
                  <wp:effectExtent l="0" t="0" r="635" b="0"/>
                  <wp:docPr id="2"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365EA" w:rsidRPr="00D36396" w:rsidRDefault="001365EA" w:rsidP="001365EA">
      <w:pPr>
        <w:spacing w:before="120" w:after="100"/>
        <w:ind w:firstLine="709"/>
        <w:jc w:val="both"/>
        <w:rPr>
          <w:lang w:val="uk-UA"/>
        </w:rPr>
      </w:pPr>
      <w:r w:rsidRPr="00D36396">
        <w:rPr>
          <w:lang w:val="uk-UA"/>
        </w:rPr>
        <w:lastRenderedPageBreak/>
        <w:t>Із загального обсягу виконаних будівельними організаціями робіт, роботи з нового будівництва, реконструкції та технічного переоснащення складають 80 %, з капітального ремонту - 12,1%, поточного ремонту - 7,8%.</w:t>
      </w:r>
    </w:p>
    <w:p w:rsidR="001365EA" w:rsidRPr="00D36396" w:rsidRDefault="001365EA" w:rsidP="001365EA">
      <w:pPr>
        <w:spacing w:after="120"/>
        <w:ind w:firstLine="748"/>
        <w:jc w:val="both"/>
        <w:outlineLvl w:val="0"/>
        <w:rPr>
          <w:color w:val="000000" w:themeColor="text1"/>
          <w:lang w:val="uk-UA"/>
        </w:rPr>
      </w:pPr>
      <w:r w:rsidRPr="00D36396">
        <w:rPr>
          <w:color w:val="000000" w:themeColor="text1"/>
          <w:lang w:val="uk-UA"/>
        </w:rPr>
        <w:t>Забудовниками області за рахунок усіх джерел фінансування у першому півріччі 2012 року введено в експлуатацію житлові будинки загальною площею 151,6 тис. кв. м, що становить 59,5% до Програми і в 2,2 рази більше, ніж за відповідний період 2011 року. Із загального обсягу 120,8 тис. кв. м (79,7%) складає житло індивідуальних забудовників.</w:t>
      </w:r>
    </w:p>
    <w:p w:rsidR="001365EA" w:rsidRPr="00D36396" w:rsidRDefault="001365EA" w:rsidP="001365EA">
      <w:pPr>
        <w:spacing w:after="120"/>
        <w:ind w:firstLine="748"/>
        <w:jc w:val="both"/>
        <w:outlineLvl w:val="0"/>
        <w:rPr>
          <w:color w:val="000000" w:themeColor="text1"/>
          <w:spacing w:val="-2"/>
          <w:lang w:val="uk-UA"/>
        </w:rPr>
      </w:pPr>
      <w:r w:rsidRPr="00D36396">
        <w:rPr>
          <w:color w:val="000000" w:themeColor="text1"/>
          <w:spacing w:val="-2"/>
          <w:lang w:val="uk-UA"/>
        </w:rPr>
        <w:t>Добудовано 3 житлові багатоквартирні будинки загальною площею 23,6 тис. кв. м.</w:t>
      </w:r>
    </w:p>
    <w:p w:rsidR="001365EA" w:rsidRPr="00D36396" w:rsidRDefault="001365EA" w:rsidP="001365EA">
      <w:pPr>
        <w:spacing w:after="120"/>
        <w:ind w:firstLine="748"/>
        <w:jc w:val="both"/>
        <w:outlineLvl w:val="0"/>
        <w:rPr>
          <w:color w:val="000000" w:themeColor="text1"/>
          <w:lang w:val="uk-UA"/>
        </w:rPr>
      </w:pPr>
      <w:r w:rsidRPr="00D36396">
        <w:rPr>
          <w:color w:val="000000" w:themeColor="text1"/>
          <w:lang w:val="uk-UA"/>
        </w:rPr>
        <w:t xml:space="preserve">За рахунок коштів державного бюджету молодим сім’ям, які скористались кредитами комерційних банків, компенсовано 2,9 </w:t>
      </w:r>
      <w:r w:rsidR="00B96CDF" w:rsidRPr="00D36396">
        <w:rPr>
          <w:color w:val="000000" w:themeColor="text1"/>
          <w:lang w:val="uk-UA"/>
        </w:rPr>
        <w:t>млн.грн.</w:t>
      </w:r>
      <w:r w:rsidRPr="00D36396">
        <w:rPr>
          <w:color w:val="000000" w:themeColor="text1"/>
          <w:lang w:val="uk-UA"/>
        </w:rPr>
        <w:t xml:space="preserve"> (99,1% до відповідного періоду 2011 року).</w:t>
      </w:r>
    </w:p>
    <w:p w:rsidR="00791D52" w:rsidRPr="00D36396" w:rsidRDefault="00791D52" w:rsidP="00791D52">
      <w:pPr>
        <w:spacing w:after="120"/>
        <w:ind w:firstLine="748"/>
        <w:jc w:val="both"/>
        <w:outlineLvl w:val="0"/>
        <w:rPr>
          <w:b/>
          <w:color w:val="000000" w:themeColor="text1"/>
          <w:lang w:val="uk-UA"/>
        </w:rPr>
      </w:pPr>
      <w:r w:rsidRPr="00D36396">
        <w:rPr>
          <w:color w:val="000000" w:themeColor="text1"/>
          <w:lang w:val="uk-UA"/>
        </w:rPr>
        <w:t xml:space="preserve">Продовжується реалізація заходів </w:t>
      </w:r>
      <w:r w:rsidRPr="00D36396">
        <w:rPr>
          <w:b/>
          <w:color w:val="000000" w:themeColor="text1"/>
          <w:lang w:val="uk-UA"/>
        </w:rPr>
        <w:t xml:space="preserve">Програми реформування і розвитку житлово-комунального господарства Донецької області на 2010-2014 роки. </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У першому півріччі 2012 року створено 74 об’єднання співвласників баг</w:t>
      </w:r>
      <w:r w:rsidR="00236DE0" w:rsidRPr="00D36396">
        <w:rPr>
          <w:color w:val="000000" w:themeColor="text1"/>
          <w:lang w:val="uk-UA"/>
        </w:rPr>
        <w:t>атоквартирних житлових будинків</w:t>
      </w:r>
      <w:r w:rsidRPr="00D36396">
        <w:rPr>
          <w:color w:val="000000" w:themeColor="text1"/>
          <w:lang w:val="uk-UA"/>
        </w:rPr>
        <w:t xml:space="preserve"> або 20,9% до Програми, загальна кількість ОСББ досягла 2606. На утримання ОСББ передано 15% загальної площі багатоквартирних будинків області. Продовжує роботу 31 служба єдиного замовника з експлуатації житлового фонду. </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В області налічується 82 недержавних підприємств, які здійснюють обслуговування 17,9 млн.</w:t>
      </w:r>
      <w:r w:rsidR="00236DE0" w:rsidRPr="00D36396">
        <w:rPr>
          <w:color w:val="000000" w:themeColor="text1"/>
          <w:lang w:val="uk-UA"/>
        </w:rPr>
        <w:t xml:space="preserve"> </w:t>
      </w:r>
      <w:r w:rsidRPr="00D36396">
        <w:rPr>
          <w:color w:val="000000" w:themeColor="text1"/>
          <w:lang w:val="uk-UA"/>
        </w:rPr>
        <w:t>кв.</w:t>
      </w:r>
      <w:r w:rsidR="00236DE0" w:rsidRPr="00D36396">
        <w:rPr>
          <w:color w:val="000000" w:themeColor="text1"/>
          <w:lang w:val="uk-UA"/>
        </w:rPr>
        <w:t xml:space="preserve"> м житла</w:t>
      </w:r>
      <w:r w:rsidRPr="00D36396">
        <w:rPr>
          <w:color w:val="000000" w:themeColor="text1"/>
          <w:lang w:val="uk-UA"/>
        </w:rPr>
        <w:t xml:space="preserve"> або майже 35,1% житлового фонду місцевих рад.</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 xml:space="preserve">На капітальний ремонт житлових будинків спрямовано майже 53,3 </w:t>
      </w:r>
      <w:r w:rsidR="00B96CDF" w:rsidRPr="00D36396">
        <w:rPr>
          <w:color w:val="000000" w:themeColor="text1"/>
          <w:lang w:val="uk-UA"/>
        </w:rPr>
        <w:t>млн.грн.</w:t>
      </w:r>
      <w:r w:rsidRPr="00D36396">
        <w:rPr>
          <w:color w:val="000000" w:themeColor="text1"/>
          <w:lang w:val="uk-UA"/>
        </w:rPr>
        <w:t xml:space="preserve"> коштів місцевих бюджетів. </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 xml:space="preserve">У багатоповерховому житловому фонді місцевих рад відремонтовано 108 ліфтів,  </w:t>
      </w:r>
      <w:r w:rsidR="00236DE0" w:rsidRPr="00D36396">
        <w:rPr>
          <w:color w:val="000000" w:themeColor="text1"/>
          <w:lang w:val="uk-UA"/>
        </w:rPr>
        <w:t xml:space="preserve">          </w:t>
      </w:r>
      <w:r w:rsidRPr="00D36396">
        <w:rPr>
          <w:color w:val="000000" w:themeColor="text1"/>
          <w:lang w:val="uk-UA"/>
        </w:rPr>
        <w:t xml:space="preserve">82 - модернізовано  на загальну суму 6,5 </w:t>
      </w:r>
      <w:r w:rsidR="00B96CDF" w:rsidRPr="00D36396">
        <w:rPr>
          <w:color w:val="000000" w:themeColor="text1"/>
          <w:lang w:val="uk-UA"/>
        </w:rPr>
        <w:t>млн.грн.</w:t>
      </w:r>
    </w:p>
    <w:p w:rsidR="00791D52" w:rsidRPr="00D36396" w:rsidRDefault="00791D52" w:rsidP="00791D52">
      <w:pPr>
        <w:pStyle w:val="20"/>
        <w:spacing w:after="120"/>
        <w:ind w:firstLine="709"/>
        <w:rPr>
          <w:color w:val="000000" w:themeColor="text1"/>
          <w:sz w:val="24"/>
          <w:szCs w:val="24"/>
        </w:rPr>
      </w:pPr>
      <w:r w:rsidRPr="00D36396">
        <w:rPr>
          <w:color w:val="000000" w:themeColor="text1"/>
          <w:sz w:val="24"/>
          <w:szCs w:val="24"/>
        </w:rPr>
        <w:t>У комунальну власність територіальних громад області прийнято від підприємств і установ 47,5 тис.</w:t>
      </w:r>
      <w:r w:rsidR="00236DE0" w:rsidRPr="00D36396">
        <w:rPr>
          <w:color w:val="000000" w:themeColor="text1"/>
          <w:sz w:val="24"/>
          <w:szCs w:val="24"/>
        </w:rPr>
        <w:t xml:space="preserve"> </w:t>
      </w:r>
      <w:r w:rsidRPr="00D36396">
        <w:rPr>
          <w:color w:val="000000" w:themeColor="text1"/>
          <w:sz w:val="24"/>
          <w:szCs w:val="24"/>
        </w:rPr>
        <w:t>кв.</w:t>
      </w:r>
      <w:r w:rsidR="00236DE0" w:rsidRPr="00D36396">
        <w:rPr>
          <w:color w:val="000000" w:themeColor="text1"/>
          <w:sz w:val="24"/>
          <w:szCs w:val="24"/>
        </w:rPr>
        <w:t xml:space="preserve"> </w:t>
      </w:r>
      <w:r w:rsidRPr="00D36396">
        <w:rPr>
          <w:color w:val="000000" w:themeColor="text1"/>
          <w:sz w:val="24"/>
          <w:szCs w:val="24"/>
        </w:rPr>
        <w:t xml:space="preserve">м житлового фонду, майже </w:t>
      </w:r>
      <w:smartTag w:uri="urn:schemas-microsoft-com:office:smarttags" w:element="metricconverter">
        <w:smartTagPr>
          <w:attr w:name="ProductID" w:val="0,64 км"/>
        </w:smartTagPr>
        <w:r w:rsidRPr="00D36396">
          <w:rPr>
            <w:color w:val="000000" w:themeColor="text1"/>
            <w:sz w:val="24"/>
            <w:szCs w:val="24"/>
          </w:rPr>
          <w:t>0,64 км</w:t>
        </w:r>
      </w:smartTag>
      <w:r w:rsidRPr="00D36396">
        <w:rPr>
          <w:color w:val="000000" w:themeColor="text1"/>
          <w:sz w:val="24"/>
          <w:szCs w:val="24"/>
        </w:rPr>
        <w:t xml:space="preserve"> водопровідно-каналізаційних та теплових мереж, а також одну котельню у м. Макіївка та одну водопровідно-каналізаційну станцію у м. Слов’янськ.</w:t>
      </w:r>
    </w:p>
    <w:p w:rsidR="00791D52" w:rsidRPr="00D36396" w:rsidRDefault="00791D52" w:rsidP="00791D52">
      <w:pPr>
        <w:pStyle w:val="20"/>
        <w:spacing w:after="120"/>
        <w:ind w:firstLine="709"/>
        <w:rPr>
          <w:color w:val="000000" w:themeColor="text1"/>
          <w:sz w:val="24"/>
          <w:szCs w:val="24"/>
        </w:rPr>
      </w:pPr>
      <w:r w:rsidRPr="00D36396">
        <w:rPr>
          <w:color w:val="000000" w:themeColor="text1"/>
          <w:sz w:val="24"/>
          <w:szCs w:val="24"/>
        </w:rPr>
        <w:t xml:space="preserve">Капітально відремонтовано </w:t>
      </w:r>
      <w:smartTag w:uri="urn:schemas-microsoft-com:office:smarttags" w:element="metricconverter">
        <w:smartTagPr>
          <w:attr w:name="ProductID" w:val="56,4 км"/>
        </w:smartTagPr>
        <w:r w:rsidRPr="00D36396">
          <w:rPr>
            <w:color w:val="000000" w:themeColor="text1"/>
            <w:sz w:val="24"/>
            <w:szCs w:val="24"/>
          </w:rPr>
          <w:t>56,4 км</w:t>
        </w:r>
      </w:smartTag>
      <w:r w:rsidRPr="00D36396">
        <w:rPr>
          <w:color w:val="000000" w:themeColor="text1"/>
          <w:sz w:val="24"/>
          <w:szCs w:val="24"/>
        </w:rPr>
        <w:t xml:space="preserve"> водопровідно-каналізаційних мереж на суму майже 8 </w:t>
      </w:r>
      <w:r w:rsidR="00B96CDF" w:rsidRPr="00D36396">
        <w:rPr>
          <w:color w:val="000000" w:themeColor="text1"/>
          <w:sz w:val="24"/>
          <w:szCs w:val="24"/>
        </w:rPr>
        <w:t>млн.грн.</w:t>
      </w:r>
      <w:r w:rsidRPr="00D36396">
        <w:rPr>
          <w:color w:val="000000" w:themeColor="text1"/>
          <w:sz w:val="24"/>
          <w:szCs w:val="24"/>
        </w:rPr>
        <w:t xml:space="preserve"> </w:t>
      </w:r>
    </w:p>
    <w:p w:rsidR="00791D52" w:rsidRPr="00D36396" w:rsidRDefault="00791D52" w:rsidP="00791D52">
      <w:pPr>
        <w:pStyle w:val="20"/>
        <w:spacing w:after="120"/>
        <w:ind w:firstLine="709"/>
        <w:rPr>
          <w:color w:val="000000" w:themeColor="text1"/>
          <w:sz w:val="24"/>
          <w:szCs w:val="24"/>
        </w:rPr>
      </w:pPr>
      <w:r w:rsidRPr="00D36396">
        <w:rPr>
          <w:color w:val="000000" w:themeColor="text1"/>
          <w:sz w:val="24"/>
          <w:szCs w:val="24"/>
        </w:rPr>
        <w:t xml:space="preserve">Впроваджено 11 од. частотно-регулюємих електроприводів, 23 сучасних теплоутилізатори за котлами середньої потужності, встановлено 4 високоефективних пальники на котельнях, реконструйовано одну котельню з впровадженням когенераційної установки типу ДвГА,  </w:t>
      </w:r>
      <w:smartTag w:uri="urn:schemas-microsoft-com:office:smarttags" w:element="metricconverter">
        <w:smartTagPr>
          <w:attr w:name="ProductID" w:val="22,2 км"/>
        </w:smartTagPr>
        <w:r w:rsidRPr="00D36396">
          <w:rPr>
            <w:color w:val="000000" w:themeColor="text1"/>
            <w:sz w:val="24"/>
            <w:szCs w:val="24"/>
          </w:rPr>
          <w:t>22,2 км</w:t>
        </w:r>
      </w:smartTag>
      <w:r w:rsidRPr="00D36396">
        <w:rPr>
          <w:color w:val="000000" w:themeColor="text1"/>
          <w:sz w:val="24"/>
          <w:szCs w:val="24"/>
        </w:rPr>
        <w:t xml:space="preserve"> теплових мереж із застосуванням пінополіуретанової ізоляції та труб ізофлекс та касафлекс. Всього у звітному періоді на виконання заходів Програми модернізації комунальної теплоенергетики Донецької області на 2010-2014 роки витрачено 18,3 млн.грн. коштів підприємств.</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 xml:space="preserve">Для фінансової підтримки комунальних підприємств </w:t>
      </w:r>
      <w:r w:rsidR="00B96CDF" w:rsidRPr="00D36396">
        <w:rPr>
          <w:color w:val="000000" w:themeColor="text1"/>
          <w:lang w:val="uk-UA"/>
        </w:rPr>
        <w:t>«</w:t>
      </w:r>
      <w:r w:rsidRPr="00D36396">
        <w:rPr>
          <w:color w:val="000000" w:themeColor="text1"/>
          <w:lang w:val="uk-UA"/>
        </w:rPr>
        <w:t xml:space="preserve">Компанія </w:t>
      </w:r>
      <w:r w:rsidR="00B96CDF" w:rsidRPr="00D36396">
        <w:rPr>
          <w:color w:val="000000" w:themeColor="text1"/>
          <w:lang w:val="uk-UA"/>
        </w:rPr>
        <w:t>«</w:t>
      </w:r>
      <w:r w:rsidRPr="00D36396">
        <w:rPr>
          <w:color w:val="000000" w:themeColor="text1"/>
          <w:lang w:val="uk-UA"/>
        </w:rPr>
        <w:t>Вода Донбасу</w:t>
      </w:r>
      <w:r w:rsidR="00B96CDF" w:rsidRPr="00D36396">
        <w:rPr>
          <w:color w:val="000000" w:themeColor="text1"/>
          <w:lang w:val="uk-UA"/>
        </w:rPr>
        <w:t>»</w:t>
      </w:r>
      <w:r w:rsidRPr="00D36396">
        <w:rPr>
          <w:color w:val="000000" w:themeColor="text1"/>
          <w:lang w:val="uk-UA"/>
        </w:rPr>
        <w:t xml:space="preserve"> та </w:t>
      </w:r>
      <w:r w:rsidR="00B96CDF" w:rsidRPr="00D36396">
        <w:rPr>
          <w:color w:val="000000" w:themeColor="text1"/>
          <w:lang w:val="uk-UA"/>
        </w:rPr>
        <w:t>«</w:t>
      </w:r>
      <w:r w:rsidRPr="00D36396">
        <w:rPr>
          <w:color w:val="000000" w:themeColor="text1"/>
          <w:lang w:val="uk-UA"/>
        </w:rPr>
        <w:t>Донецьктеплокомуненерго</w:t>
      </w:r>
      <w:r w:rsidR="00B96CDF" w:rsidRPr="00D36396">
        <w:rPr>
          <w:color w:val="000000" w:themeColor="text1"/>
          <w:lang w:val="uk-UA"/>
        </w:rPr>
        <w:t>»</w:t>
      </w:r>
      <w:r w:rsidRPr="00D36396">
        <w:rPr>
          <w:color w:val="000000" w:themeColor="text1"/>
          <w:lang w:val="uk-UA"/>
        </w:rPr>
        <w:t xml:space="preserve"> з обласного бюджету спрямовано 20 млн.грн., на поповнення  статутного фонду ОКП </w:t>
      </w:r>
      <w:r w:rsidR="00B96CDF" w:rsidRPr="00D36396">
        <w:rPr>
          <w:color w:val="000000" w:themeColor="text1"/>
          <w:lang w:val="uk-UA"/>
        </w:rPr>
        <w:t>«</w:t>
      </w:r>
      <w:r w:rsidRPr="00D36396">
        <w:rPr>
          <w:color w:val="000000" w:themeColor="text1"/>
          <w:lang w:val="uk-UA"/>
        </w:rPr>
        <w:t>Донецький регіональний центр поводження з відходами</w:t>
      </w:r>
      <w:r w:rsidR="00B96CDF" w:rsidRPr="00D36396">
        <w:rPr>
          <w:color w:val="000000" w:themeColor="text1"/>
          <w:lang w:val="uk-UA"/>
        </w:rPr>
        <w:t>»</w:t>
      </w:r>
      <w:r w:rsidRPr="00D36396">
        <w:rPr>
          <w:color w:val="000000" w:themeColor="text1"/>
          <w:lang w:val="uk-UA"/>
        </w:rPr>
        <w:t xml:space="preserve"> -                       0,5 млн.грн.</w:t>
      </w:r>
    </w:p>
    <w:p w:rsidR="00791D52" w:rsidRPr="00D36396" w:rsidRDefault="00791D52" w:rsidP="00791D52">
      <w:pPr>
        <w:spacing w:after="120"/>
        <w:ind w:firstLine="709"/>
        <w:jc w:val="both"/>
        <w:rPr>
          <w:color w:val="000000" w:themeColor="text1"/>
        </w:rPr>
      </w:pPr>
      <w:r w:rsidRPr="00D36396">
        <w:rPr>
          <w:color w:val="000000" w:themeColor="text1"/>
          <w:lang w:val="uk-UA"/>
        </w:rPr>
        <w:t xml:space="preserve">За рахунок впровадження енергозберігаючих заходів на підприємствах житлово-комунального господарства за період з початку року економія енергоресурсів склала                   8,9 </w:t>
      </w:r>
      <w:r w:rsidR="00B96CDF" w:rsidRPr="00D36396">
        <w:rPr>
          <w:color w:val="000000" w:themeColor="text1"/>
          <w:lang w:val="uk-UA"/>
        </w:rPr>
        <w:t>млн.грн.</w:t>
      </w:r>
      <w:r w:rsidRPr="00D36396">
        <w:rPr>
          <w:color w:val="000000" w:themeColor="text1"/>
          <w:lang w:val="uk-UA"/>
        </w:rPr>
        <w:t xml:space="preserve"> Заощаджено 1,2 млн. куб. м природного газу, 3,4 млн.</w:t>
      </w:r>
      <w:r w:rsidR="00236DE0" w:rsidRPr="00D36396">
        <w:rPr>
          <w:color w:val="000000" w:themeColor="text1"/>
          <w:lang w:val="uk-UA"/>
        </w:rPr>
        <w:t xml:space="preserve"> кВт </w:t>
      </w:r>
      <w:r w:rsidRPr="00D36396">
        <w:rPr>
          <w:color w:val="000000" w:themeColor="text1"/>
          <w:lang w:val="uk-UA"/>
        </w:rPr>
        <w:t xml:space="preserve">год. електричної та    0,7 тис. </w:t>
      </w:r>
      <w:r w:rsidRPr="00D36396">
        <w:rPr>
          <w:color w:val="000000" w:themeColor="text1"/>
        </w:rPr>
        <w:t>Гкал теплової енергії.</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Рівень оплати населенням житлово-комунальних послуг з початку року підвищився з 81,6% у січні до 99,3% у січні-червні поточного року. Заборгованість населення за житлово-комунальні послуги збільшилась на 7,9</w:t>
      </w:r>
      <w:r w:rsidR="00236DE0" w:rsidRPr="00D36396">
        <w:rPr>
          <w:color w:val="000000" w:themeColor="text1"/>
          <w:lang w:val="uk-UA"/>
        </w:rPr>
        <w:t xml:space="preserve"> </w:t>
      </w:r>
      <w:r w:rsidR="00B96CDF" w:rsidRPr="00D36396">
        <w:rPr>
          <w:color w:val="000000" w:themeColor="text1"/>
          <w:lang w:val="uk-UA"/>
        </w:rPr>
        <w:t>млн.грн.</w:t>
      </w:r>
      <w:r w:rsidRPr="00D36396">
        <w:rPr>
          <w:color w:val="000000" w:themeColor="text1"/>
          <w:lang w:val="uk-UA"/>
        </w:rPr>
        <w:t xml:space="preserve"> або на 0,4% і склала 1988,7 </w:t>
      </w:r>
      <w:r w:rsidR="00B96CDF" w:rsidRPr="00D36396">
        <w:rPr>
          <w:color w:val="000000" w:themeColor="text1"/>
          <w:lang w:val="uk-UA"/>
        </w:rPr>
        <w:t>млн.грн.</w:t>
      </w:r>
      <w:r w:rsidRPr="00D36396">
        <w:rPr>
          <w:color w:val="000000" w:themeColor="text1"/>
          <w:lang w:val="uk-UA"/>
        </w:rPr>
        <w:t xml:space="preserve">                     </w:t>
      </w:r>
      <w:r w:rsidRPr="00D36396">
        <w:rPr>
          <w:color w:val="000000" w:themeColor="text1"/>
          <w:lang w:val="uk-UA"/>
        </w:rPr>
        <w:lastRenderedPageBreak/>
        <w:t xml:space="preserve">У першому півріччі поточного року  сплачено 22,9 </w:t>
      </w:r>
      <w:r w:rsidR="00B96CDF" w:rsidRPr="00D36396">
        <w:rPr>
          <w:color w:val="000000" w:themeColor="text1"/>
          <w:lang w:val="uk-UA"/>
        </w:rPr>
        <w:t>млн.грн.</w:t>
      </w:r>
      <w:r w:rsidRPr="00D36396">
        <w:rPr>
          <w:color w:val="000000" w:themeColor="text1"/>
          <w:lang w:val="uk-UA"/>
        </w:rPr>
        <w:t xml:space="preserve"> за договорами реструктуризації заборгованості за житлово-комунальні послуги.</w:t>
      </w:r>
    </w:p>
    <w:p w:rsidR="00791D52" w:rsidRPr="00D36396" w:rsidRDefault="00791D52" w:rsidP="00791D52">
      <w:pPr>
        <w:spacing w:after="120"/>
        <w:ind w:firstLine="709"/>
        <w:jc w:val="both"/>
        <w:rPr>
          <w:color w:val="000000" w:themeColor="text1"/>
          <w:lang w:val="uk-UA"/>
        </w:rPr>
      </w:pPr>
      <w:r w:rsidRPr="00D36396">
        <w:rPr>
          <w:color w:val="000000" w:themeColor="text1"/>
          <w:lang w:val="uk-UA"/>
        </w:rPr>
        <w:t xml:space="preserve">Підприємствами галузі за перше півріччя 2012 року отриманий від’ємний фінансовий результат до оподаткування в сумі 696 </w:t>
      </w:r>
      <w:r w:rsidR="00B96CDF" w:rsidRPr="00D36396">
        <w:rPr>
          <w:color w:val="000000" w:themeColor="text1"/>
          <w:lang w:val="uk-UA"/>
        </w:rPr>
        <w:t>млн.грн.</w:t>
      </w:r>
    </w:p>
    <w:p w:rsidR="00791D52" w:rsidRPr="00D36396" w:rsidRDefault="00791D52" w:rsidP="00791D52">
      <w:pPr>
        <w:pStyle w:val="20"/>
        <w:spacing w:after="120"/>
        <w:ind w:firstLine="709"/>
        <w:rPr>
          <w:color w:val="000000" w:themeColor="text1"/>
          <w:sz w:val="24"/>
          <w:szCs w:val="24"/>
        </w:rPr>
      </w:pPr>
      <w:r w:rsidRPr="00D36396">
        <w:rPr>
          <w:color w:val="000000" w:themeColor="text1"/>
          <w:sz w:val="24"/>
          <w:szCs w:val="24"/>
        </w:rPr>
        <w:t>Кредиторська заборгованість в 1,</w:t>
      </w:r>
      <w:r w:rsidRPr="00D36396">
        <w:rPr>
          <w:color w:val="000000" w:themeColor="text1"/>
          <w:sz w:val="24"/>
          <w:szCs w:val="24"/>
          <w:lang w:val="ru-RU"/>
        </w:rPr>
        <w:t>6</w:t>
      </w:r>
      <w:r w:rsidRPr="00D36396">
        <w:rPr>
          <w:color w:val="000000" w:themeColor="text1"/>
          <w:sz w:val="24"/>
          <w:szCs w:val="24"/>
        </w:rPr>
        <w:t xml:space="preserve"> раз</w:t>
      </w:r>
      <w:r w:rsidRPr="00D36396">
        <w:rPr>
          <w:color w:val="000000" w:themeColor="text1"/>
          <w:sz w:val="24"/>
          <w:szCs w:val="24"/>
          <w:lang w:val="ru-RU"/>
        </w:rPr>
        <w:t>а</w:t>
      </w:r>
      <w:r w:rsidRPr="00D36396">
        <w:rPr>
          <w:color w:val="000000" w:themeColor="text1"/>
          <w:sz w:val="24"/>
          <w:szCs w:val="24"/>
        </w:rPr>
        <w:t xml:space="preserve"> перевищує дебіторську і становить                   </w:t>
      </w:r>
      <w:r w:rsidRPr="00D36396">
        <w:rPr>
          <w:color w:val="000000" w:themeColor="text1"/>
          <w:sz w:val="24"/>
          <w:szCs w:val="24"/>
          <w:lang w:val="ru-RU"/>
        </w:rPr>
        <w:t>2721</w:t>
      </w:r>
      <w:r w:rsidRPr="00D36396">
        <w:rPr>
          <w:color w:val="000000" w:themeColor="text1"/>
          <w:sz w:val="24"/>
          <w:szCs w:val="24"/>
        </w:rPr>
        <w:t xml:space="preserve"> </w:t>
      </w:r>
      <w:r w:rsidR="00B96CDF" w:rsidRPr="00D36396">
        <w:rPr>
          <w:color w:val="000000" w:themeColor="text1"/>
          <w:sz w:val="24"/>
          <w:szCs w:val="24"/>
        </w:rPr>
        <w:t>млн.грн.</w:t>
      </w:r>
      <w:r w:rsidRPr="00D36396">
        <w:rPr>
          <w:color w:val="000000" w:themeColor="text1"/>
          <w:sz w:val="24"/>
          <w:szCs w:val="24"/>
        </w:rPr>
        <w:t xml:space="preserve">, з початку року вона збільшилась на </w:t>
      </w:r>
      <w:r w:rsidRPr="00D36396">
        <w:rPr>
          <w:color w:val="000000" w:themeColor="text1"/>
          <w:sz w:val="24"/>
          <w:szCs w:val="24"/>
          <w:lang w:val="ru-RU"/>
        </w:rPr>
        <w:t>477,5</w:t>
      </w:r>
      <w:r w:rsidR="00236DE0" w:rsidRPr="00D36396">
        <w:rPr>
          <w:color w:val="000000" w:themeColor="text1"/>
          <w:sz w:val="24"/>
          <w:szCs w:val="24"/>
          <w:lang w:val="ru-RU"/>
        </w:rPr>
        <w:t xml:space="preserve"> </w:t>
      </w:r>
      <w:r w:rsidR="00B96CDF" w:rsidRPr="00D36396">
        <w:rPr>
          <w:color w:val="000000" w:themeColor="text1"/>
          <w:sz w:val="24"/>
          <w:szCs w:val="24"/>
        </w:rPr>
        <w:t>млн.грн.</w:t>
      </w:r>
      <w:r w:rsidRPr="00D36396">
        <w:rPr>
          <w:color w:val="000000" w:themeColor="text1"/>
          <w:sz w:val="24"/>
          <w:szCs w:val="24"/>
        </w:rPr>
        <w:t xml:space="preserve"> або </w:t>
      </w:r>
      <w:r w:rsidRPr="00D36396">
        <w:rPr>
          <w:color w:val="000000" w:themeColor="text1"/>
          <w:sz w:val="24"/>
          <w:szCs w:val="24"/>
          <w:lang w:val="ru-RU"/>
        </w:rPr>
        <w:t>на 21,3%</w:t>
      </w:r>
      <w:r w:rsidRPr="00D36396">
        <w:rPr>
          <w:color w:val="000000" w:themeColor="text1"/>
          <w:sz w:val="24"/>
          <w:szCs w:val="24"/>
        </w:rPr>
        <w:t xml:space="preserve">. </w:t>
      </w:r>
      <w:r w:rsidR="00236DE0" w:rsidRPr="00D36396">
        <w:rPr>
          <w:color w:val="000000" w:themeColor="text1"/>
          <w:sz w:val="24"/>
          <w:szCs w:val="24"/>
        </w:rPr>
        <w:t xml:space="preserve">           </w:t>
      </w:r>
      <w:r w:rsidRPr="00D36396">
        <w:rPr>
          <w:color w:val="000000" w:themeColor="text1"/>
          <w:sz w:val="24"/>
          <w:szCs w:val="24"/>
        </w:rPr>
        <w:t xml:space="preserve">Дебіторська заборгованість з початку року зменшилась на </w:t>
      </w:r>
      <w:r w:rsidRPr="00D36396">
        <w:rPr>
          <w:color w:val="000000" w:themeColor="text1"/>
          <w:sz w:val="24"/>
          <w:szCs w:val="24"/>
          <w:lang w:val="ru-RU"/>
        </w:rPr>
        <w:t>485,8</w:t>
      </w:r>
      <w:r w:rsidR="00236DE0" w:rsidRPr="00D36396">
        <w:rPr>
          <w:color w:val="000000" w:themeColor="text1"/>
          <w:sz w:val="24"/>
          <w:szCs w:val="24"/>
        </w:rPr>
        <w:t xml:space="preserve"> </w:t>
      </w:r>
      <w:r w:rsidR="00B96CDF" w:rsidRPr="00D36396">
        <w:rPr>
          <w:color w:val="000000" w:themeColor="text1"/>
          <w:sz w:val="24"/>
          <w:szCs w:val="24"/>
        </w:rPr>
        <w:t>млн.грн.</w:t>
      </w:r>
      <w:r w:rsidRPr="00D36396">
        <w:rPr>
          <w:color w:val="000000" w:themeColor="text1"/>
          <w:sz w:val="24"/>
          <w:szCs w:val="24"/>
        </w:rPr>
        <w:t xml:space="preserve"> або на </w:t>
      </w:r>
      <w:r w:rsidRPr="00D36396">
        <w:rPr>
          <w:color w:val="000000" w:themeColor="text1"/>
          <w:sz w:val="24"/>
          <w:szCs w:val="24"/>
          <w:lang w:val="ru-RU"/>
        </w:rPr>
        <w:t>22,5</w:t>
      </w:r>
      <w:r w:rsidRPr="00D36396">
        <w:rPr>
          <w:color w:val="000000" w:themeColor="text1"/>
          <w:sz w:val="24"/>
          <w:szCs w:val="24"/>
        </w:rPr>
        <w:t>%, і становить</w:t>
      </w:r>
      <w:r w:rsidRPr="00D36396">
        <w:rPr>
          <w:color w:val="000000" w:themeColor="text1"/>
          <w:sz w:val="24"/>
          <w:szCs w:val="24"/>
          <w:lang w:val="ru-RU"/>
        </w:rPr>
        <w:t xml:space="preserve">  1671,6</w:t>
      </w:r>
      <w:r w:rsidRPr="00D36396">
        <w:rPr>
          <w:color w:val="000000" w:themeColor="text1"/>
          <w:sz w:val="24"/>
          <w:szCs w:val="24"/>
        </w:rPr>
        <w:t xml:space="preserve"> </w:t>
      </w:r>
      <w:r w:rsidR="00B96CDF" w:rsidRPr="00D36396">
        <w:rPr>
          <w:color w:val="000000" w:themeColor="text1"/>
          <w:sz w:val="24"/>
          <w:szCs w:val="24"/>
        </w:rPr>
        <w:t>млн.грн.</w:t>
      </w:r>
      <w:r w:rsidRPr="00D36396">
        <w:rPr>
          <w:color w:val="000000" w:themeColor="text1"/>
          <w:sz w:val="24"/>
          <w:szCs w:val="24"/>
        </w:rPr>
        <w:t xml:space="preserve"> </w:t>
      </w:r>
    </w:p>
    <w:p w:rsidR="0096226E" w:rsidRPr="00D36396" w:rsidRDefault="0096226E" w:rsidP="0096226E">
      <w:pPr>
        <w:spacing w:after="100"/>
        <w:ind w:firstLine="709"/>
        <w:jc w:val="both"/>
        <w:rPr>
          <w:color w:val="000000" w:themeColor="text1"/>
          <w:lang w:val="uk-UA"/>
        </w:rPr>
      </w:pPr>
      <w:r w:rsidRPr="00D36396">
        <w:rPr>
          <w:color w:val="000000" w:themeColor="text1"/>
          <w:lang w:val="uk-UA"/>
        </w:rPr>
        <w:t xml:space="preserve">Продовжувалась </w:t>
      </w:r>
      <w:r w:rsidRPr="00D36396">
        <w:rPr>
          <w:b/>
          <w:color w:val="000000" w:themeColor="text1"/>
          <w:lang w:val="uk-UA"/>
        </w:rPr>
        <w:t>реалізація природоохоронних заходів</w:t>
      </w:r>
      <w:r w:rsidRPr="00D36396">
        <w:rPr>
          <w:color w:val="000000" w:themeColor="text1"/>
          <w:lang w:val="uk-UA"/>
        </w:rPr>
        <w:t>, спрямованих на забезпечення екологічної безпеки, відновлення біосфери та її локальних екосистем, відтворення та підтримку у належному стані природних ресурсів області.</w:t>
      </w:r>
    </w:p>
    <w:p w:rsidR="0096226E" w:rsidRPr="00D36396" w:rsidRDefault="0096226E" w:rsidP="0096226E">
      <w:pPr>
        <w:spacing w:after="100"/>
        <w:ind w:firstLine="709"/>
        <w:jc w:val="both"/>
        <w:rPr>
          <w:i/>
          <w:color w:val="000000" w:themeColor="text1"/>
          <w:u w:val="single"/>
          <w:lang w:val="uk-UA"/>
        </w:rPr>
      </w:pPr>
      <w:r w:rsidRPr="00D36396">
        <w:rPr>
          <w:color w:val="000000" w:themeColor="text1"/>
          <w:lang w:val="uk-UA"/>
        </w:rPr>
        <w:t>В містах і районах проводилась модернізація та заміна морально і фізично застарілого обладнання та споруд з метою скорочення обсягів шкідливих речовин, що потрапляють у довкілля, реконструкція та будівництво споруд каналізаційного господарства,</w:t>
      </w:r>
      <w:r w:rsidRPr="00D36396">
        <w:rPr>
          <w:snapToGrid w:val="0"/>
          <w:color w:val="000000" w:themeColor="text1"/>
          <w:lang w:val="uk-UA"/>
        </w:rPr>
        <w:t xml:space="preserve"> розчищення та благоустрій водних об’єктів, робота з </w:t>
      </w:r>
      <w:r w:rsidRPr="00D36396">
        <w:rPr>
          <w:color w:val="000000" w:themeColor="text1"/>
          <w:lang w:val="uk-UA"/>
        </w:rPr>
        <w:t xml:space="preserve">утримання природно-заповідного фонду, створення нових зелених насаджень, впровадження грунтозахистної системи землеробства тощо. </w:t>
      </w:r>
    </w:p>
    <w:p w:rsidR="0096226E" w:rsidRPr="00D36396" w:rsidRDefault="0096226E" w:rsidP="0096226E">
      <w:pPr>
        <w:spacing w:after="100"/>
        <w:ind w:firstLine="709"/>
        <w:jc w:val="both"/>
        <w:rPr>
          <w:color w:val="000000" w:themeColor="text1"/>
          <w:lang w:val="uk-UA"/>
        </w:rPr>
      </w:pPr>
      <w:r w:rsidRPr="00D36396">
        <w:rPr>
          <w:color w:val="000000" w:themeColor="text1"/>
          <w:lang w:val="uk-UA"/>
        </w:rPr>
        <w:t xml:space="preserve"> На ф</w:t>
      </w:r>
      <w:r w:rsidRPr="00D36396">
        <w:rPr>
          <w:bCs/>
          <w:color w:val="000000" w:themeColor="text1"/>
          <w:lang w:val="uk-UA"/>
        </w:rPr>
        <w:t xml:space="preserve">інансування природоохоронних заходів спрямовано 50,0 </w:t>
      </w:r>
      <w:r w:rsidR="00B96CDF" w:rsidRPr="00D36396">
        <w:rPr>
          <w:bCs/>
          <w:color w:val="000000" w:themeColor="text1"/>
          <w:lang w:val="uk-UA"/>
        </w:rPr>
        <w:t>млн.грн.</w:t>
      </w:r>
      <w:r w:rsidRPr="00D36396">
        <w:rPr>
          <w:bCs/>
          <w:color w:val="000000" w:themeColor="text1"/>
          <w:lang w:val="uk-UA"/>
        </w:rPr>
        <w:t xml:space="preserve">, з них основна частина - це кошти підприємств (46,2 </w:t>
      </w:r>
      <w:r w:rsidR="00B96CDF" w:rsidRPr="00D36396">
        <w:rPr>
          <w:bCs/>
          <w:color w:val="000000" w:themeColor="text1"/>
          <w:lang w:val="uk-UA"/>
        </w:rPr>
        <w:t>млн.грн.</w:t>
      </w:r>
      <w:r w:rsidRPr="00D36396">
        <w:rPr>
          <w:bCs/>
          <w:color w:val="000000" w:themeColor="text1"/>
          <w:lang w:val="uk-UA"/>
        </w:rPr>
        <w:t>).</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b/>
          <w:color w:val="000000" w:themeColor="text1"/>
          <w:sz w:val="24"/>
          <w:szCs w:val="24"/>
        </w:rPr>
        <w:t>До бюджетів усіх рівнів</w:t>
      </w:r>
      <w:r w:rsidRPr="00D36396">
        <w:rPr>
          <w:rFonts w:ascii="Times New Roman" w:hAnsi="Times New Roman"/>
          <w:color w:val="000000" w:themeColor="text1"/>
          <w:sz w:val="24"/>
          <w:szCs w:val="24"/>
        </w:rPr>
        <w:t xml:space="preserve"> надійшло податків, зборів та інших обов’язкових платежів у сумі 13651,8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що на 8,6% більше, ніж за відповідний період 2011 року, в тому числі до державного бюджету – 8613,3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(на 4,0% більше).</w:t>
      </w:r>
    </w:p>
    <w:p w:rsidR="000C34ED" w:rsidRPr="00D36396" w:rsidRDefault="000C34ED" w:rsidP="000C34ED">
      <w:pPr>
        <w:pStyle w:val="ac"/>
        <w:spacing w:before="120" w:after="120"/>
        <w:ind w:firstLine="709"/>
        <w:rPr>
          <w:rFonts w:ascii="Times New Roman" w:hAnsi="Times New Roman"/>
          <w:b/>
          <w:bCs/>
          <w:color w:val="000000" w:themeColor="text1"/>
          <w:sz w:val="24"/>
          <w:szCs w:val="24"/>
        </w:rPr>
      </w:pPr>
      <w:r w:rsidRPr="00D36396">
        <w:rPr>
          <w:rFonts w:ascii="Times New Roman" w:hAnsi="Times New Roman"/>
          <w:color w:val="000000" w:themeColor="text1"/>
          <w:sz w:val="24"/>
          <w:szCs w:val="24"/>
        </w:rPr>
        <w:t>У структурі податкових надходжень найбільшу частку складають надходження від податку на додану вартість – 34,1%, податку на доходи фізичних осіб – 27,9% та податку на прибуток підприємств – 24,4%.</w:t>
      </w:r>
      <w:r w:rsidRPr="00D36396">
        <w:rPr>
          <w:rFonts w:ascii="Times New Roman" w:hAnsi="Times New Roman"/>
          <w:b/>
          <w:bCs/>
          <w:color w:val="000000" w:themeColor="text1"/>
          <w:sz w:val="24"/>
          <w:szCs w:val="24"/>
        </w:rPr>
        <w:t xml:space="preserve"> </w:t>
      </w:r>
    </w:p>
    <w:tbl>
      <w:tblPr>
        <w:tblW w:w="0" w:type="auto"/>
        <w:tblLook w:val="01E0"/>
      </w:tblPr>
      <w:tblGrid>
        <w:gridCol w:w="9854"/>
      </w:tblGrid>
      <w:tr w:rsidR="000C34ED" w:rsidRPr="005276F6" w:rsidTr="004E6538">
        <w:tc>
          <w:tcPr>
            <w:tcW w:w="9854" w:type="dxa"/>
          </w:tcPr>
          <w:p w:rsidR="000C34ED" w:rsidRPr="00D36396" w:rsidRDefault="000C34ED" w:rsidP="004E6538">
            <w:pPr>
              <w:pStyle w:val="ac"/>
              <w:spacing w:before="120" w:after="120"/>
              <w:ind w:firstLine="0"/>
              <w:jc w:val="center"/>
              <w:rPr>
                <w:rFonts w:ascii="Times New Roman" w:hAnsi="Times New Roman"/>
                <w:b/>
                <w:bCs/>
                <w:color w:val="000000" w:themeColor="text1"/>
                <w:sz w:val="24"/>
                <w:szCs w:val="24"/>
              </w:rPr>
            </w:pPr>
            <w:r w:rsidRPr="00D36396">
              <w:rPr>
                <w:rFonts w:ascii="Times New Roman" w:hAnsi="Times New Roman"/>
                <w:b/>
                <w:bCs/>
                <w:color w:val="000000" w:themeColor="text1"/>
                <w:sz w:val="24"/>
                <w:szCs w:val="24"/>
              </w:rPr>
              <w:t>Динаміка збору податків, зборів та інших обов’язкових                                                                 платежів до бюджетів усіх рівнів, млн.грн.</w:t>
            </w:r>
          </w:p>
        </w:tc>
      </w:tr>
      <w:tr w:rsidR="000C34ED" w:rsidRPr="00D36396" w:rsidTr="004E6538">
        <w:tc>
          <w:tcPr>
            <w:tcW w:w="9854" w:type="dxa"/>
          </w:tcPr>
          <w:p w:rsidR="000C34ED" w:rsidRPr="00D36396" w:rsidRDefault="00050D9A" w:rsidP="004E6538">
            <w:pPr>
              <w:pStyle w:val="ac"/>
              <w:spacing w:before="120" w:after="120"/>
              <w:ind w:firstLine="0"/>
              <w:jc w:val="center"/>
              <w:rPr>
                <w:rFonts w:ascii="Times New Roman" w:hAnsi="Times New Roman"/>
                <w:b/>
                <w:bCs/>
                <w:color w:val="000000" w:themeColor="text1"/>
                <w:sz w:val="24"/>
                <w:szCs w:val="24"/>
              </w:rPr>
            </w:pPr>
            <w:r w:rsidRPr="00D36396">
              <w:rPr>
                <w:rFonts w:ascii="Times New Roman" w:hAnsi="Times New Roman"/>
                <w:b/>
                <w:bCs/>
                <w:noProof/>
                <w:snapToGrid/>
                <w:color w:val="000000" w:themeColor="text1"/>
                <w:sz w:val="24"/>
                <w:szCs w:val="24"/>
                <w:lang w:val="ru-RU"/>
              </w:rPr>
              <w:drawing>
                <wp:inline distT="0" distB="0" distL="0" distR="0">
                  <wp:extent cx="6079490" cy="307467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Порівняно з </w:t>
      </w:r>
      <w:r w:rsidR="00777550" w:rsidRPr="00D36396">
        <w:rPr>
          <w:rFonts w:ascii="Times New Roman" w:hAnsi="Times New Roman"/>
          <w:color w:val="000000" w:themeColor="text1"/>
          <w:sz w:val="24"/>
          <w:szCs w:val="24"/>
        </w:rPr>
        <w:t>першим</w:t>
      </w:r>
      <w:r w:rsidRPr="00D36396">
        <w:rPr>
          <w:rFonts w:ascii="Times New Roman" w:hAnsi="Times New Roman"/>
          <w:color w:val="000000" w:themeColor="text1"/>
          <w:sz w:val="24"/>
          <w:szCs w:val="24"/>
        </w:rPr>
        <w:t xml:space="preserve"> півріччям 2011 року надходження податку на доходи фізичних осіб збільшились на 16,9% (на 550,3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податку на додану вартість – на 12,7% </w:t>
      </w:r>
      <w:r w:rsidR="007F7A8C"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lastRenderedPageBreak/>
        <w:t xml:space="preserve">(на 525,4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по платі за землю – на 9,2% (на 49,9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при цьому надходження податку на прибуток підприємств зменшились на 6,8% (на 242,1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З державного бюджету відшкодовано податку на додану вартість 7398,2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що на 7% більше, ніж за відповідний період 2011 року. Залишок невідшкодованого податку становить 5027,2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у тому числі на розрахунковий рахунок – 2082,4 </w:t>
      </w:r>
      <w:r w:rsidR="00B96CDF" w:rsidRPr="00D36396">
        <w:rPr>
          <w:rFonts w:ascii="Times New Roman" w:hAnsi="Times New Roman"/>
          <w:color w:val="000000" w:themeColor="text1"/>
          <w:sz w:val="24"/>
          <w:szCs w:val="24"/>
        </w:rPr>
        <w:t>млн.грн.</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З початку року податковий борг до бюджетів усіх рівнів зменшився на 68,7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або на 5,5%, і станом на 01.07.2012 становить 1183,6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b/>
          <w:color w:val="000000" w:themeColor="text1"/>
          <w:sz w:val="24"/>
          <w:szCs w:val="24"/>
        </w:rPr>
        <w:t>До місцевих бюджетів</w:t>
      </w:r>
      <w:r w:rsidRPr="00D36396">
        <w:rPr>
          <w:rFonts w:ascii="Times New Roman" w:hAnsi="Times New Roman"/>
          <w:color w:val="000000" w:themeColor="text1"/>
          <w:sz w:val="24"/>
          <w:szCs w:val="24"/>
        </w:rPr>
        <w:t xml:space="preserve"> з урахуванням міжбюджетних трансфертів надійшло       8963,0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податків, зборів та інших обов'язкових платежів, що на 14,4% більше, ніж за відповідний період 2011 року, та складає 47,3% до уточнених річних призначень.</w:t>
      </w:r>
    </w:p>
    <w:tbl>
      <w:tblPr>
        <w:tblW w:w="0" w:type="auto"/>
        <w:tblLook w:val="01E0"/>
      </w:tblPr>
      <w:tblGrid>
        <w:gridCol w:w="9854"/>
      </w:tblGrid>
      <w:tr w:rsidR="000C34ED" w:rsidRPr="00D36396" w:rsidTr="004E6538">
        <w:tc>
          <w:tcPr>
            <w:tcW w:w="9854" w:type="dxa"/>
          </w:tcPr>
          <w:p w:rsidR="000C34ED" w:rsidRPr="00D36396" w:rsidRDefault="000C34ED" w:rsidP="004E6538">
            <w:pPr>
              <w:pStyle w:val="ac"/>
              <w:spacing w:before="120" w:after="120"/>
              <w:ind w:firstLine="0"/>
              <w:jc w:val="center"/>
              <w:rPr>
                <w:rFonts w:ascii="Times New Roman" w:hAnsi="Times New Roman"/>
                <w:b/>
                <w:color w:val="000000" w:themeColor="text1"/>
                <w:sz w:val="24"/>
                <w:szCs w:val="24"/>
              </w:rPr>
            </w:pPr>
            <w:r w:rsidRPr="00D36396">
              <w:rPr>
                <w:rFonts w:ascii="Times New Roman" w:hAnsi="Times New Roman"/>
                <w:b/>
                <w:color w:val="000000" w:themeColor="text1"/>
                <w:sz w:val="24"/>
                <w:szCs w:val="24"/>
              </w:rPr>
              <w:t>Динаміка доходів бюджету області, млн.грн.</w:t>
            </w:r>
          </w:p>
        </w:tc>
      </w:tr>
      <w:tr w:rsidR="000C34ED" w:rsidRPr="00D36396" w:rsidTr="004E6538">
        <w:tc>
          <w:tcPr>
            <w:tcW w:w="9854" w:type="dxa"/>
          </w:tcPr>
          <w:p w:rsidR="000C34ED" w:rsidRPr="00D36396" w:rsidRDefault="00050D9A" w:rsidP="004E6538">
            <w:pPr>
              <w:pStyle w:val="ac"/>
              <w:spacing w:before="120" w:after="120"/>
              <w:ind w:firstLine="0"/>
              <w:rPr>
                <w:rFonts w:ascii="Times New Roman" w:hAnsi="Times New Roman"/>
                <w:color w:val="000000" w:themeColor="text1"/>
                <w:sz w:val="24"/>
                <w:szCs w:val="24"/>
              </w:rPr>
            </w:pPr>
            <w:r w:rsidRPr="00D36396">
              <w:rPr>
                <w:rFonts w:ascii="Times New Roman" w:hAnsi="Times New Roman"/>
                <w:noProof/>
                <w:snapToGrid/>
                <w:color w:val="000000" w:themeColor="text1"/>
                <w:sz w:val="24"/>
                <w:szCs w:val="24"/>
                <w:lang w:val="ru-RU"/>
              </w:rPr>
              <w:drawing>
                <wp:inline distT="0" distB="0" distL="0" distR="0">
                  <wp:extent cx="6079252" cy="2301073"/>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Надходження власних та закріплених доходів загального фонду місцевих бюджетів області склали 4702,2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або 47,9% до затверджених річних показників на 2012 рік і на 15,7% більше, ніж за відповідний період 2011 року.</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Разом з тим, не забезпечені надходження зазначених доходів до затверджених на січень-червень призначень до бюджетів 12-ти міст (Шахтарськ, Ясинувата, Дружківка, Кіровське, Дебальцеве, Сніжне, Авдіївка, Красноармійськ, Слов</w:t>
      </w:r>
      <w:r w:rsidRPr="00D36396">
        <w:rPr>
          <w:rFonts w:ascii="Arial" w:hAnsi="Arial" w:cs="Arial"/>
          <w:color w:val="000000" w:themeColor="text1"/>
          <w:sz w:val="24"/>
          <w:szCs w:val="24"/>
        </w:rPr>
        <w:t>'</w:t>
      </w:r>
      <w:r w:rsidRPr="00D36396">
        <w:rPr>
          <w:rFonts w:ascii="Times New Roman" w:hAnsi="Times New Roman"/>
          <w:color w:val="000000" w:themeColor="text1"/>
          <w:sz w:val="24"/>
          <w:szCs w:val="24"/>
        </w:rPr>
        <w:t>янськ, Костянтинівка, Краматорськ, Артемівськ) та 8-ми районів (Новоазовський, Амвросіївський, Шахтарський, Костянтинівський, Волноваський, Володарський, Старобешівський,Тельманівський).</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Основним джерелом доходів залишалися надходження податку на доходи фізичних осіб, які в обсязі власних та закріплених доходів загального фонду бюджету області склали 80,9%. Надходження цього податку склали 3802,7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або 47,2% до затверджених річних призначень.</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Виконання доходної частини спеціального фонду бюджету області без урахування  трансфертів з державного бюджету склало 795,2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або 75,9% до затверджених річних показників. </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Видаткова частина зведеного бюджету області з урахуванням трансфертів виконана в сумі 9177,7 млн.грн. або на 45,8% до уточнених річних призначень.</w:t>
      </w:r>
    </w:p>
    <w:p w:rsidR="000C34ED" w:rsidRPr="00D36396" w:rsidRDefault="000C34ED" w:rsidP="000C34ED">
      <w:pPr>
        <w:pStyle w:val="ac"/>
        <w:spacing w:before="120" w:after="120"/>
        <w:ind w:firstLine="709"/>
        <w:rPr>
          <w:rFonts w:ascii="Times New Roman" w:hAnsi="Times New Roman"/>
          <w:color w:val="000000" w:themeColor="text1"/>
          <w:sz w:val="24"/>
          <w:szCs w:val="24"/>
          <w:lang w:eastAsia="uk-UA"/>
        </w:rPr>
      </w:pPr>
      <w:r w:rsidRPr="00D36396">
        <w:rPr>
          <w:rFonts w:ascii="Times New Roman" w:hAnsi="Times New Roman"/>
          <w:color w:val="000000" w:themeColor="text1"/>
          <w:sz w:val="24"/>
          <w:szCs w:val="24"/>
        </w:rPr>
        <w:t>Основну частину видатків загального фонду місцевих бюджетів (більш ніж 90%) спрямовано на утримання бюджетних установ соціально - культурної сфери</w:t>
      </w:r>
      <w:r w:rsidRPr="00D36396">
        <w:rPr>
          <w:rFonts w:ascii="Times New Roman" w:hAnsi="Times New Roman"/>
          <w:color w:val="000000" w:themeColor="text1"/>
          <w:sz w:val="24"/>
          <w:szCs w:val="24"/>
          <w:lang w:eastAsia="uk-UA"/>
        </w:rPr>
        <w:t>.</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З метою забезпечення фінансування першочергових видатків органами місцевого самоврядування у </w:t>
      </w:r>
      <w:r w:rsidR="00860725" w:rsidRPr="00D36396">
        <w:rPr>
          <w:rFonts w:ascii="Times New Roman" w:hAnsi="Times New Roman"/>
          <w:color w:val="000000" w:themeColor="text1"/>
          <w:sz w:val="24"/>
          <w:szCs w:val="24"/>
        </w:rPr>
        <w:t>першому</w:t>
      </w:r>
      <w:r w:rsidRPr="00D36396">
        <w:rPr>
          <w:rFonts w:ascii="Times New Roman" w:hAnsi="Times New Roman"/>
          <w:color w:val="000000" w:themeColor="text1"/>
          <w:sz w:val="24"/>
          <w:szCs w:val="24"/>
        </w:rPr>
        <w:t xml:space="preserve"> півріччі 2012 року з єдиного казначейського рахунку залучались короткотермінові  позички у сумі 1730,7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w:t>
      </w:r>
    </w:p>
    <w:p w:rsidR="000C34ED" w:rsidRPr="00D36396" w:rsidRDefault="000C34ED" w:rsidP="000C34ED">
      <w:pPr>
        <w:pStyle w:val="ac"/>
        <w:spacing w:before="120" w:after="120"/>
        <w:ind w:firstLine="709"/>
        <w:rPr>
          <w:rFonts w:ascii="Times New Roman" w:hAnsi="Times New Roman"/>
          <w:bCs/>
          <w:color w:val="000000" w:themeColor="text1"/>
          <w:sz w:val="24"/>
          <w:szCs w:val="24"/>
        </w:rPr>
      </w:pPr>
      <w:r w:rsidRPr="00D36396">
        <w:rPr>
          <w:rFonts w:ascii="Times New Roman" w:hAnsi="Times New Roman"/>
          <w:color w:val="000000" w:themeColor="text1"/>
          <w:sz w:val="24"/>
          <w:szCs w:val="24"/>
        </w:rPr>
        <w:lastRenderedPageBreak/>
        <w:t>В цілому по області</w:t>
      </w:r>
      <w:r w:rsidRPr="00D36396">
        <w:rPr>
          <w:rFonts w:ascii="Times New Roman" w:hAnsi="Times New Roman"/>
          <w:b/>
          <w:color w:val="000000" w:themeColor="text1"/>
          <w:sz w:val="24"/>
          <w:szCs w:val="24"/>
        </w:rPr>
        <w:t xml:space="preserve"> </w:t>
      </w:r>
      <w:r w:rsidR="00A32368" w:rsidRPr="00D36396">
        <w:rPr>
          <w:rFonts w:ascii="Times New Roman" w:hAnsi="Times New Roman"/>
          <w:color w:val="000000" w:themeColor="text1"/>
          <w:sz w:val="24"/>
          <w:szCs w:val="24"/>
        </w:rPr>
        <w:t>за I півріччя</w:t>
      </w:r>
      <w:r w:rsidRPr="00D36396">
        <w:rPr>
          <w:rFonts w:ascii="Times New Roman" w:hAnsi="Times New Roman"/>
          <w:color w:val="000000" w:themeColor="text1"/>
          <w:sz w:val="24"/>
          <w:szCs w:val="24"/>
        </w:rPr>
        <w:t xml:space="preserve"> 2012 року отриманий </w:t>
      </w:r>
      <w:r w:rsidRPr="00D36396">
        <w:rPr>
          <w:rFonts w:ascii="Times New Roman" w:hAnsi="Times New Roman"/>
          <w:b/>
          <w:color w:val="000000" w:themeColor="text1"/>
          <w:sz w:val="24"/>
          <w:szCs w:val="24"/>
        </w:rPr>
        <w:t>від’ємний фінансовий результат</w:t>
      </w:r>
      <w:r w:rsidRPr="00D36396">
        <w:rPr>
          <w:rFonts w:ascii="Times New Roman" w:hAnsi="Times New Roman"/>
          <w:color w:val="000000" w:themeColor="text1"/>
          <w:sz w:val="24"/>
          <w:szCs w:val="24"/>
        </w:rPr>
        <w:t xml:space="preserve"> від звичайної діяльності до оподаткування в сумі </w:t>
      </w:r>
      <w:r w:rsidR="00A32368" w:rsidRPr="00D36396">
        <w:rPr>
          <w:rFonts w:ascii="Times New Roman" w:hAnsi="Times New Roman"/>
          <w:color w:val="000000" w:themeColor="text1"/>
          <w:sz w:val="24"/>
          <w:szCs w:val="24"/>
        </w:rPr>
        <w:t xml:space="preserve">71,0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збитків (проти </w:t>
      </w:r>
      <w:r w:rsidR="00A32368" w:rsidRPr="00D36396">
        <w:rPr>
          <w:rFonts w:ascii="Times New Roman" w:hAnsi="Times New Roman"/>
          <w:color w:val="000000" w:themeColor="text1"/>
          <w:sz w:val="24"/>
          <w:szCs w:val="24"/>
        </w:rPr>
        <w:t xml:space="preserve">4609,3 </w:t>
      </w:r>
      <w:r w:rsidRPr="00D36396">
        <w:rPr>
          <w:rFonts w:ascii="Times New Roman" w:hAnsi="Times New Roman"/>
          <w:color w:val="000000" w:themeColor="text1"/>
          <w:sz w:val="24"/>
          <w:szCs w:val="24"/>
        </w:rPr>
        <w:t>млн.грн. прибутку за аналогічний період 2011 року).</w:t>
      </w:r>
      <w:r w:rsidRPr="00D36396">
        <w:rPr>
          <w:rFonts w:ascii="Times New Roman" w:hAnsi="Times New Roman"/>
          <w:bCs/>
          <w:color w:val="000000" w:themeColor="text1"/>
          <w:sz w:val="24"/>
          <w:szCs w:val="24"/>
        </w:rPr>
        <w:t xml:space="preserve"> Прибутки прибуткових підприємств </w:t>
      </w:r>
      <w:r w:rsidR="00A32368" w:rsidRPr="00D36396">
        <w:rPr>
          <w:rFonts w:ascii="Times New Roman" w:hAnsi="Times New Roman"/>
          <w:bCs/>
          <w:color w:val="000000" w:themeColor="text1"/>
          <w:sz w:val="24"/>
          <w:szCs w:val="24"/>
        </w:rPr>
        <w:t>зменшились на 2,1</w:t>
      </w:r>
      <w:r w:rsidRPr="00D36396">
        <w:rPr>
          <w:rFonts w:ascii="Times New Roman" w:hAnsi="Times New Roman"/>
          <w:bCs/>
          <w:color w:val="000000" w:themeColor="text1"/>
          <w:sz w:val="24"/>
          <w:szCs w:val="24"/>
        </w:rPr>
        <w:t xml:space="preserve"> % і склали </w:t>
      </w:r>
      <w:r w:rsidR="00A32368" w:rsidRPr="00D36396">
        <w:rPr>
          <w:rFonts w:ascii="Times New Roman" w:hAnsi="Times New Roman"/>
          <w:bCs/>
          <w:color w:val="000000" w:themeColor="text1"/>
          <w:sz w:val="24"/>
          <w:szCs w:val="24"/>
        </w:rPr>
        <w:t xml:space="preserve">12034,6 </w:t>
      </w:r>
      <w:r w:rsidR="00B96CDF" w:rsidRPr="00D36396">
        <w:rPr>
          <w:rFonts w:ascii="Times New Roman" w:hAnsi="Times New Roman"/>
          <w:bCs/>
          <w:color w:val="000000" w:themeColor="text1"/>
          <w:sz w:val="24"/>
          <w:szCs w:val="24"/>
        </w:rPr>
        <w:t>млн.грн.</w:t>
      </w:r>
    </w:p>
    <w:tbl>
      <w:tblPr>
        <w:tblW w:w="0" w:type="auto"/>
        <w:tblLook w:val="01E0"/>
      </w:tblPr>
      <w:tblGrid>
        <w:gridCol w:w="9854"/>
      </w:tblGrid>
      <w:tr w:rsidR="000C34ED" w:rsidRPr="00D36396" w:rsidTr="004E6538">
        <w:tc>
          <w:tcPr>
            <w:tcW w:w="9854" w:type="dxa"/>
          </w:tcPr>
          <w:p w:rsidR="000C34ED" w:rsidRPr="00D36396" w:rsidRDefault="000C34ED" w:rsidP="000D1FDA">
            <w:pPr>
              <w:pStyle w:val="ac"/>
              <w:ind w:firstLine="0"/>
              <w:jc w:val="center"/>
              <w:rPr>
                <w:rFonts w:ascii="Times New Roman" w:hAnsi="Times New Roman"/>
                <w:b/>
                <w:color w:val="000000" w:themeColor="text1"/>
                <w:sz w:val="24"/>
                <w:szCs w:val="24"/>
              </w:rPr>
            </w:pPr>
            <w:r w:rsidRPr="00D36396">
              <w:rPr>
                <w:rFonts w:ascii="Times New Roman" w:hAnsi="Times New Roman"/>
                <w:b/>
                <w:color w:val="000000" w:themeColor="text1"/>
                <w:sz w:val="24"/>
                <w:szCs w:val="24"/>
              </w:rPr>
              <w:t xml:space="preserve">Динаміка фінансових  результатів діяльності </w:t>
            </w:r>
          </w:p>
          <w:p w:rsidR="000C34ED" w:rsidRPr="00D36396" w:rsidRDefault="000C34ED" w:rsidP="000D1FDA">
            <w:pPr>
              <w:pStyle w:val="ac"/>
              <w:ind w:firstLine="0"/>
              <w:jc w:val="center"/>
              <w:rPr>
                <w:rFonts w:ascii="Times New Roman" w:hAnsi="Times New Roman"/>
                <w:b/>
                <w:color w:val="000000" w:themeColor="text1"/>
                <w:sz w:val="24"/>
                <w:szCs w:val="24"/>
              </w:rPr>
            </w:pPr>
            <w:r w:rsidRPr="00D36396">
              <w:rPr>
                <w:rFonts w:ascii="Times New Roman" w:hAnsi="Times New Roman"/>
                <w:b/>
                <w:color w:val="000000" w:themeColor="text1"/>
                <w:sz w:val="24"/>
                <w:szCs w:val="24"/>
              </w:rPr>
              <w:t>основного кола підприємств  області, млн.грн.</w:t>
            </w:r>
          </w:p>
        </w:tc>
      </w:tr>
      <w:tr w:rsidR="000C34ED" w:rsidRPr="00D36396" w:rsidTr="004E6538">
        <w:tc>
          <w:tcPr>
            <w:tcW w:w="9854" w:type="dxa"/>
          </w:tcPr>
          <w:p w:rsidR="000C34ED" w:rsidRPr="00D36396" w:rsidRDefault="00050D9A" w:rsidP="004E6538">
            <w:pPr>
              <w:pStyle w:val="ac"/>
              <w:spacing w:before="120" w:after="120"/>
              <w:ind w:firstLine="0"/>
              <w:jc w:val="center"/>
              <w:rPr>
                <w:rFonts w:ascii="Times New Roman" w:hAnsi="Times New Roman"/>
                <w:color w:val="000000" w:themeColor="text1"/>
                <w:sz w:val="24"/>
                <w:szCs w:val="24"/>
              </w:rPr>
            </w:pPr>
            <w:r w:rsidRPr="00D36396">
              <w:rPr>
                <w:noProof/>
                <w:snapToGrid/>
                <w:color w:val="000000" w:themeColor="text1"/>
                <w:lang w:val="ru-RU"/>
              </w:rPr>
              <w:drawing>
                <wp:inline distT="0" distB="0" distL="0" distR="0">
                  <wp:extent cx="5265336" cy="2250831"/>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Збитки збитков</w:t>
      </w:r>
      <w:r w:rsidR="00941FFC" w:rsidRPr="00D36396">
        <w:rPr>
          <w:rFonts w:ascii="Times New Roman" w:hAnsi="Times New Roman"/>
          <w:color w:val="000000" w:themeColor="text1"/>
          <w:sz w:val="24"/>
          <w:szCs w:val="24"/>
        </w:rPr>
        <w:t>их підприємств збільшились на 57,5</w:t>
      </w:r>
      <w:r w:rsidRPr="00D36396">
        <w:rPr>
          <w:rFonts w:ascii="Times New Roman" w:hAnsi="Times New Roman"/>
          <w:color w:val="000000" w:themeColor="text1"/>
          <w:sz w:val="24"/>
          <w:szCs w:val="24"/>
        </w:rPr>
        <w:t xml:space="preserve"> % і склали</w:t>
      </w:r>
      <w:r w:rsidR="00941FFC" w:rsidRPr="00D36396">
        <w:rPr>
          <w:rFonts w:ascii="Times New Roman" w:hAnsi="Times New Roman"/>
          <w:color w:val="000000" w:themeColor="text1"/>
          <w:sz w:val="24"/>
          <w:szCs w:val="24"/>
        </w:rPr>
        <w:t xml:space="preserve"> 12105,6</w:t>
      </w:r>
      <w:r w:rsidRPr="00D36396">
        <w:rPr>
          <w:rFonts w:ascii="Times New Roman" w:hAnsi="Times New Roman"/>
          <w:color w:val="000000" w:themeColor="text1"/>
          <w:sz w:val="24"/>
          <w:szCs w:val="24"/>
        </w:rPr>
        <w:t xml:space="preserve"> млн.грн. Питома вага збиткових підприємств у загальній їх кількості зменшилась на </w:t>
      </w:r>
      <w:r w:rsidR="00941FFC" w:rsidRPr="00D36396">
        <w:rPr>
          <w:rFonts w:ascii="Times New Roman" w:hAnsi="Times New Roman"/>
          <w:color w:val="000000" w:themeColor="text1"/>
          <w:sz w:val="24"/>
          <w:szCs w:val="24"/>
        </w:rPr>
        <w:t>1,6</w:t>
      </w:r>
      <w:r w:rsidRPr="00D36396">
        <w:rPr>
          <w:rFonts w:ascii="Times New Roman" w:hAnsi="Times New Roman"/>
          <w:color w:val="000000" w:themeColor="text1"/>
          <w:sz w:val="24"/>
          <w:szCs w:val="24"/>
        </w:rPr>
        <w:t xml:space="preserve"> проц. пунктів. Основна частка збитків </w:t>
      </w:r>
      <w:r w:rsidR="00941FFC" w:rsidRPr="00D36396">
        <w:rPr>
          <w:rFonts w:ascii="Times New Roman" w:hAnsi="Times New Roman"/>
          <w:color w:val="000000" w:themeColor="text1"/>
          <w:sz w:val="24"/>
          <w:szCs w:val="24"/>
        </w:rPr>
        <w:t>зосереджена в промисловості – 81,5</w:t>
      </w:r>
      <w:r w:rsidRPr="00D36396">
        <w:rPr>
          <w:rFonts w:ascii="Times New Roman" w:hAnsi="Times New Roman"/>
          <w:color w:val="000000" w:themeColor="text1"/>
          <w:sz w:val="24"/>
          <w:szCs w:val="24"/>
        </w:rPr>
        <w:t xml:space="preserve"> %, в сфері надання комунальних  та індивідуальних послуг, діяльності </w:t>
      </w:r>
      <w:r w:rsidR="00941FFC" w:rsidRPr="00D36396">
        <w:rPr>
          <w:rFonts w:ascii="Times New Roman" w:hAnsi="Times New Roman"/>
          <w:color w:val="000000" w:themeColor="text1"/>
          <w:sz w:val="24"/>
          <w:szCs w:val="24"/>
        </w:rPr>
        <w:t>у сфері культури та спорту – 7,7</w:t>
      </w:r>
      <w:r w:rsidRPr="00D36396">
        <w:rPr>
          <w:rFonts w:ascii="Times New Roman" w:hAnsi="Times New Roman"/>
          <w:color w:val="000000" w:themeColor="text1"/>
          <w:sz w:val="24"/>
          <w:szCs w:val="24"/>
        </w:rPr>
        <w:t xml:space="preserve"> %, в сфері торгівлі, ремонту автомобілів, побутових виробів та предметів особистого вжитку –</w:t>
      </w:r>
      <w:r w:rsidR="00941FFC" w:rsidRPr="00D36396">
        <w:rPr>
          <w:rFonts w:ascii="Times New Roman" w:hAnsi="Times New Roman"/>
          <w:color w:val="000000" w:themeColor="text1"/>
          <w:sz w:val="24"/>
          <w:szCs w:val="24"/>
        </w:rPr>
        <w:t xml:space="preserve"> 6,1</w:t>
      </w:r>
      <w:r w:rsidRPr="00D36396">
        <w:rPr>
          <w:rFonts w:ascii="Times New Roman" w:hAnsi="Times New Roman"/>
          <w:color w:val="000000" w:themeColor="text1"/>
          <w:sz w:val="24"/>
          <w:szCs w:val="24"/>
        </w:rPr>
        <w:t>%.</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Банківська система області станом на 01.07.2012 налічувала 10 банків-юридичних осіб, 19 філій банків, 1211 відділень банків, 452 відділення банків інших областей. Регулятивний капітал банків – юридичних осіб регіону з початку року зменшився </w:t>
      </w:r>
      <w:r w:rsidR="00D40988"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 xml:space="preserve">на 1,2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(6765,4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проти 6766,6 </w:t>
      </w:r>
      <w:r w:rsidR="00B96CDF" w:rsidRPr="00D36396">
        <w:rPr>
          <w:rFonts w:ascii="Times New Roman" w:hAnsi="Times New Roman"/>
          <w:color w:val="000000" w:themeColor="text1"/>
          <w:sz w:val="24"/>
          <w:szCs w:val="24"/>
        </w:rPr>
        <w:t>млн.грн.</w:t>
      </w:r>
      <w:r w:rsidRPr="00D36396">
        <w:rPr>
          <w:rFonts w:ascii="Times New Roman" w:hAnsi="Times New Roman"/>
          <w:color w:val="000000" w:themeColor="text1"/>
          <w:sz w:val="24"/>
          <w:szCs w:val="24"/>
        </w:rPr>
        <w:t xml:space="preserve"> на 01.01.2012), балансовий – збільшився на 1,4%. Депозити на рахунках суб’єктів господарювання і фізичних осіб збільшились на 6,7% і склали 49,4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грн.</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Вимоги за наданими кредитами з початку року збільшились на 1,6% і станом </w:t>
      </w:r>
      <w:r w:rsidR="005537FB"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на 01.07.2012 склали 49,3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 xml:space="preserve">грн., у тому числі суб’єктам господарювання – </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36,0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 xml:space="preserve">грн. Середньозважена процентна ставка за кредитами в національній валюті у червні 2012 року становила 19,0%, що на 0,1 </w:t>
      </w:r>
      <w:r w:rsidR="006F766A" w:rsidRPr="00D36396">
        <w:rPr>
          <w:rFonts w:ascii="Times New Roman" w:hAnsi="Times New Roman"/>
          <w:color w:val="000000" w:themeColor="text1"/>
          <w:sz w:val="24"/>
          <w:szCs w:val="24"/>
        </w:rPr>
        <w:t xml:space="preserve">відс. </w:t>
      </w:r>
      <w:r w:rsidRPr="00D36396">
        <w:rPr>
          <w:rFonts w:ascii="Times New Roman" w:hAnsi="Times New Roman"/>
          <w:color w:val="000000" w:themeColor="text1"/>
          <w:sz w:val="24"/>
          <w:szCs w:val="24"/>
        </w:rPr>
        <w:t>п</w:t>
      </w:r>
      <w:r w:rsidR="006F766A" w:rsidRPr="00D36396">
        <w:rPr>
          <w:rFonts w:ascii="Times New Roman" w:hAnsi="Times New Roman"/>
          <w:color w:val="000000" w:themeColor="text1"/>
          <w:sz w:val="24"/>
          <w:szCs w:val="24"/>
        </w:rPr>
        <w:t>ункт</w:t>
      </w:r>
      <w:r w:rsidRPr="00D36396">
        <w:rPr>
          <w:rFonts w:ascii="Times New Roman" w:hAnsi="Times New Roman"/>
          <w:color w:val="000000" w:themeColor="text1"/>
          <w:sz w:val="24"/>
          <w:szCs w:val="24"/>
        </w:rPr>
        <w:t xml:space="preserve"> менше, ніж у червні 2011 року.</w:t>
      </w:r>
    </w:p>
    <w:tbl>
      <w:tblPr>
        <w:tblW w:w="0" w:type="auto"/>
        <w:tblLook w:val="01E0"/>
      </w:tblPr>
      <w:tblGrid>
        <w:gridCol w:w="9854"/>
      </w:tblGrid>
      <w:tr w:rsidR="000C34ED" w:rsidRPr="00D36396" w:rsidTr="004E6538">
        <w:tc>
          <w:tcPr>
            <w:tcW w:w="9854" w:type="dxa"/>
          </w:tcPr>
          <w:p w:rsidR="000C34ED" w:rsidRPr="00D36396" w:rsidRDefault="000C34ED" w:rsidP="004E6538">
            <w:pPr>
              <w:pStyle w:val="ac"/>
              <w:spacing w:before="120"/>
              <w:ind w:firstLine="0"/>
              <w:jc w:val="center"/>
              <w:rPr>
                <w:rFonts w:ascii="Times New Roman" w:hAnsi="Times New Roman"/>
                <w:b/>
                <w:color w:val="000000" w:themeColor="text1"/>
                <w:sz w:val="24"/>
                <w:szCs w:val="24"/>
              </w:rPr>
            </w:pPr>
            <w:r w:rsidRPr="00D36396">
              <w:rPr>
                <w:rFonts w:ascii="Times New Roman" w:hAnsi="Times New Roman"/>
                <w:b/>
                <w:color w:val="000000" w:themeColor="text1"/>
                <w:sz w:val="24"/>
                <w:szCs w:val="24"/>
              </w:rPr>
              <w:t>Динаміка кредитних ресурсів, вкладів населення</w:t>
            </w:r>
          </w:p>
          <w:p w:rsidR="000C34ED" w:rsidRPr="00D36396" w:rsidRDefault="000C34ED" w:rsidP="004E6538">
            <w:pPr>
              <w:pStyle w:val="ac"/>
              <w:spacing w:after="120"/>
              <w:ind w:firstLine="0"/>
              <w:jc w:val="center"/>
              <w:rPr>
                <w:rFonts w:ascii="Times New Roman" w:hAnsi="Times New Roman"/>
                <w:b/>
                <w:color w:val="000000" w:themeColor="text1"/>
                <w:sz w:val="24"/>
                <w:szCs w:val="24"/>
              </w:rPr>
            </w:pPr>
            <w:r w:rsidRPr="00D36396">
              <w:rPr>
                <w:rFonts w:ascii="Times New Roman" w:hAnsi="Times New Roman"/>
                <w:b/>
                <w:color w:val="000000" w:themeColor="text1"/>
                <w:sz w:val="24"/>
                <w:szCs w:val="24"/>
              </w:rPr>
              <w:t xml:space="preserve">та процентних ставок банків та банківських установ області, млрд. грн.        </w:t>
            </w:r>
          </w:p>
        </w:tc>
      </w:tr>
      <w:tr w:rsidR="000C34ED" w:rsidRPr="00D36396" w:rsidTr="004E6538">
        <w:tc>
          <w:tcPr>
            <w:tcW w:w="9854" w:type="dxa"/>
          </w:tcPr>
          <w:p w:rsidR="000C34ED" w:rsidRPr="00D36396" w:rsidRDefault="00050D9A" w:rsidP="004E6538">
            <w:pPr>
              <w:pStyle w:val="ac"/>
              <w:spacing w:before="120" w:after="120"/>
              <w:ind w:firstLine="0"/>
              <w:jc w:val="center"/>
              <w:rPr>
                <w:rFonts w:ascii="Times New Roman" w:hAnsi="Times New Roman"/>
                <w:color w:val="000000" w:themeColor="text1"/>
                <w:sz w:val="24"/>
                <w:szCs w:val="24"/>
              </w:rPr>
            </w:pPr>
            <w:r w:rsidRPr="00D36396">
              <w:rPr>
                <w:rFonts w:ascii="Times New Roman" w:hAnsi="Times New Roman"/>
                <w:noProof/>
                <w:snapToGrid/>
                <w:color w:val="000000" w:themeColor="text1"/>
                <w:sz w:val="24"/>
                <w:szCs w:val="24"/>
                <w:lang w:val="ru-RU"/>
              </w:rPr>
              <w:drawing>
                <wp:inline distT="0" distB="0" distL="0" distR="0">
                  <wp:extent cx="5667270" cy="2080009"/>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lastRenderedPageBreak/>
        <w:t>Найбільшу кредитну підтримку (від загального обсягу кредитів, наданих суб’єктам господарювання) надано підприємствам, зайнятим в оптовій торгівлі і посередництві у торгівлі – 32,2%, металургії та виробництві готових металевих виробів – 8,6%, будівництві – 6,8%, діяльності наземного транспорту – 5,6%, виробництві харчових продуктів, напоїв та тютюнових виробів – 4,9%.</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Протягом </w:t>
      </w:r>
      <w:r w:rsidR="00E844B2" w:rsidRPr="00D36396">
        <w:rPr>
          <w:rFonts w:ascii="Times New Roman" w:hAnsi="Times New Roman"/>
          <w:color w:val="000000" w:themeColor="text1"/>
          <w:sz w:val="24"/>
          <w:szCs w:val="24"/>
        </w:rPr>
        <w:t>першого</w:t>
      </w:r>
      <w:r w:rsidRPr="00D36396">
        <w:rPr>
          <w:rFonts w:ascii="Times New Roman" w:hAnsi="Times New Roman"/>
          <w:color w:val="000000" w:themeColor="text1"/>
          <w:sz w:val="24"/>
          <w:szCs w:val="24"/>
        </w:rPr>
        <w:t xml:space="preserve"> півріччя 2012 року обсяги кредитування фізичних осіб зменшились на 1,3% і склали 13,3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грн.</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Обсяг довгострокових кредитів в цілому збільшився до 32,0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грн. проти           31,7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грн. на початок року, але фізичним особам – зменшився з 10,7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грн. до 10,5 млрд.</w:t>
      </w:r>
      <w:r w:rsidR="00AF2D75" w:rsidRPr="00D36396">
        <w:rPr>
          <w:rFonts w:ascii="Times New Roman" w:hAnsi="Times New Roman"/>
          <w:color w:val="000000" w:themeColor="text1"/>
          <w:sz w:val="24"/>
          <w:szCs w:val="24"/>
        </w:rPr>
        <w:t xml:space="preserve"> </w:t>
      </w:r>
      <w:r w:rsidRPr="00D36396">
        <w:rPr>
          <w:rFonts w:ascii="Times New Roman" w:hAnsi="Times New Roman"/>
          <w:color w:val="000000" w:themeColor="text1"/>
          <w:sz w:val="24"/>
          <w:szCs w:val="24"/>
        </w:rPr>
        <w:t>грн.</w:t>
      </w:r>
    </w:p>
    <w:p w:rsidR="000C34ED" w:rsidRPr="00D36396" w:rsidRDefault="000C34ED" w:rsidP="000C34ED">
      <w:pPr>
        <w:pStyle w:val="ac"/>
        <w:spacing w:before="120" w:after="120"/>
        <w:ind w:firstLine="709"/>
        <w:rPr>
          <w:rFonts w:ascii="Times New Roman" w:hAnsi="Times New Roman"/>
          <w:color w:val="000000" w:themeColor="text1"/>
          <w:sz w:val="24"/>
          <w:szCs w:val="24"/>
        </w:rPr>
      </w:pPr>
      <w:r w:rsidRPr="00D36396">
        <w:rPr>
          <w:rFonts w:ascii="Times New Roman" w:hAnsi="Times New Roman"/>
          <w:color w:val="000000" w:themeColor="text1"/>
          <w:sz w:val="24"/>
          <w:szCs w:val="24"/>
        </w:rPr>
        <w:t xml:space="preserve">Подальшого розвитку набула система електронних розрахунків з використанням платіжних карток. Обсяги безготівкових операцій у порівнянні з відповідним періодом     2011 року збільшились в 1,8 рази і досягли 1409,5 </w:t>
      </w:r>
      <w:r w:rsidR="00B96CDF" w:rsidRPr="00D36396">
        <w:rPr>
          <w:rFonts w:ascii="Times New Roman" w:hAnsi="Times New Roman"/>
          <w:color w:val="000000" w:themeColor="text1"/>
          <w:sz w:val="24"/>
          <w:szCs w:val="24"/>
        </w:rPr>
        <w:t>млн.грн.</w:t>
      </w:r>
    </w:p>
    <w:p w:rsidR="00662E0D" w:rsidRPr="00D36396" w:rsidRDefault="00662E0D" w:rsidP="00662E0D">
      <w:pPr>
        <w:spacing w:after="120"/>
        <w:ind w:firstLine="708"/>
        <w:jc w:val="both"/>
        <w:rPr>
          <w:color w:val="000000" w:themeColor="text1"/>
          <w:lang w:val="uk-UA"/>
        </w:rPr>
      </w:pPr>
      <w:r w:rsidRPr="00D36396">
        <w:rPr>
          <w:b/>
          <w:color w:val="000000" w:themeColor="text1"/>
          <w:lang w:val="uk-UA"/>
        </w:rPr>
        <w:t>Наявні доходи населення</w:t>
      </w:r>
      <w:r w:rsidRPr="00D36396">
        <w:rPr>
          <w:color w:val="000000" w:themeColor="text1"/>
          <w:lang w:val="uk-UA"/>
        </w:rPr>
        <w:t xml:space="preserve"> у </w:t>
      </w:r>
      <w:r w:rsidR="00E844B2" w:rsidRPr="00D36396">
        <w:rPr>
          <w:color w:val="000000" w:themeColor="text1"/>
          <w:lang w:val="uk-UA"/>
        </w:rPr>
        <w:t xml:space="preserve">першому </w:t>
      </w:r>
      <w:r w:rsidRPr="00D36396">
        <w:rPr>
          <w:color w:val="000000" w:themeColor="text1"/>
          <w:lang w:val="uk-UA"/>
        </w:rPr>
        <w:t xml:space="preserve">півріччі 2012 року очікуються на рівні </w:t>
      </w:r>
      <w:r w:rsidR="00E844B2" w:rsidRPr="00D36396">
        <w:rPr>
          <w:color w:val="000000" w:themeColor="text1"/>
          <w:lang w:val="uk-UA"/>
        </w:rPr>
        <w:t xml:space="preserve">             </w:t>
      </w:r>
      <w:r w:rsidRPr="00D36396">
        <w:rPr>
          <w:color w:val="000000" w:themeColor="text1"/>
          <w:lang w:val="uk-UA"/>
        </w:rPr>
        <w:t>56,7 млрд. грн. У розрахунку на душу населення наявний доход складе 2150 грн./міс., що в 2,2 рази вище розрахункового середньозваженого прожиткового мінімуму в Україні (1098,1 грн.).</w:t>
      </w:r>
    </w:p>
    <w:tbl>
      <w:tblPr>
        <w:tblW w:w="0" w:type="auto"/>
        <w:tblLook w:val="01E0"/>
      </w:tblPr>
      <w:tblGrid>
        <w:gridCol w:w="9854"/>
      </w:tblGrid>
      <w:tr w:rsidR="00E37196" w:rsidRPr="00D36396" w:rsidTr="004E6538">
        <w:tc>
          <w:tcPr>
            <w:tcW w:w="9854" w:type="dxa"/>
          </w:tcPr>
          <w:p w:rsidR="00E37196" w:rsidRPr="00D36396" w:rsidRDefault="00E37196" w:rsidP="004E6538">
            <w:pPr>
              <w:spacing w:after="120"/>
              <w:jc w:val="center"/>
              <w:rPr>
                <w:b/>
                <w:color w:val="000000" w:themeColor="text1"/>
                <w:lang w:val="uk-UA"/>
              </w:rPr>
            </w:pPr>
            <w:r w:rsidRPr="00D36396">
              <w:rPr>
                <w:b/>
                <w:color w:val="000000" w:themeColor="text1"/>
                <w:lang w:val="uk-UA"/>
              </w:rPr>
              <w:t>Динаміка прожиткового мінімуму і наявних                                                                           доходів нас</w:t>
            </w:r>
            <w:r w:rsidR="00B1336E" w:rsidRPr="00D36396">
              <w:rPr>
                <w:b/>
                <w:color w:val="000000" w:themeColor="text1"/>
                <w:lang w:val="uk-UA"/>
              </w:rPr>
              <w:t>елення, грн. (на 1 особу на місяць</w:t>
            </w:r>
            <w:r w:rsidRPr="00D36396">
              <w:rPr>
                <w:b/>
                <w:color w:val="000000" w:themeColor="text1"/>
                <w:lang w:val="uk-UA"/>
              </w:rPr>
              <w:t>)</w:t>
            </w:r>
          </w:p>
        </w:tc>
      </w:tr>
      <w:tr w:rsidR="00E37196" w:rsidRPr="00D36396" w:rsidTr="004E6538">
        <w:tc>
          <w:tcPr>
            <w:tcW w:w="9854" w:type="dxa"/>
          </w:tcPr>
          <w:p w:rsidR="00E37196" w:rsidRPr="00D36396" w:rsidRDefault="00050D9A" w:rsidP="004E6538">
            <w:pPr>
              <w:jc w:val="center"/>
              <w:rPr>
                <w:color w:val="000000" w:themeColor="text1"/>
                <w:lang w:val="uk-UA"/>
              </w:rPr>
            </w:pPr>
            <w:r w:rsidRPr="00D36396">
              <w:rPr>
                <w:noProof/>
                <w:color w:val="000000" w:themeColor="text1"/>
              </w:rPr>
              <w:drawing>
                <wp:inline distT="0" distB="0" distL="0" distR="0">
                  <wp:extent cx="6300317" cy="2180492"/>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3430" w:rsidRPr="00D36396" w:rsidRDefault="00DA3430" w:rsidP="004E6538">
            <w:pPr>
              <w:ind w:firstLine="709"/>
              <w:jc w:val="both"/>
              <w:rPr>
                <w:color w:val="000000" w:themeColor="text1"/>
                <w:lang w:val="uk-UA"/>
              </w:rPr>
            </w:pPr>
            <w:r w:rsidRPr="00D36396">
              <w:rPr>
                <w:b/>
                <w:color w:val="000000" w:themeColor="text1"/>
                <w:lang w:val="uk-UA"/>
              </w:rPr>
              <w:t>*</w:t>
            </w:r>
            <w:r w:rsidRPr="00D36396">
              <w:rPr>
                <w:color w:val="000000" w:themeColor="text1"/>
                <w:lang w:val="uk-UA"/>
              </w:rPr>
              <w:t xml:space="preserve"> - попередні дані</w:t>
            </w:r>
          </w:p>
        </w:tc>
      </w:tr>
    </w:tbl>
    <w:p w:rsidR="000C34ED" w:rsidRPr="00D36396" w:rsidRDefault="000C34ED" w:rsidP="008A45A6">
      <w:pPr>
        <w:spacing w:before="120" w:after="120"/>
        <w:ind w:firstLine="709"/>
        <w:jc w:val="both"/>
        <w:rPr>
          <w:color w:val="000000" w:themeColor="text1"/>
          <w:lang w:val="uk-UA"/>
        </w:rPr>
      </w:pPr>
      <w:r w:rsidRPr="00D36396">
        <w:rPr>
          <w:b/>
          <w:color w:val="000000" w:themeColor="text1"/>
          <w:lang w:val="uk-UA"/>
        </w:rPr>
        <w:t>Середньомісячна заробітна плата</w:t>
      </w:r>
      <w:r w:rsidRPr="00D36396">
        <w:rPr>
          <w:color w:val="000000" w:themeColor="text1"/>
          <w:lang w:val="uk-UA"/>
        </w:rPr>
        <w:t xml:space="preserve"> працівників склала 3383 грн., що на 15,7% більше, ніж за січень-червень 2011 року. </w:t>
      </w:r>
    </w:p>
    <w:tbl>
      <w:tblPr>
        <w:tblW w:w="0" w:type="auto"/>
        <w:tblLayout w:type="fixed"/>
        <w:tblLook w:val="01E0"/>
      </w:tblPr>
      <w:tblGrid>
        <w:gridCol w:w="9828"/>
      </w:tblGrid>
      <w:tr w:rsidR="000C34ED" w:rsidRPr="00D36396" w:rsidTr="004E6538">
        <w:tc>
          <w:tcPr>
            <w:tcW w:w="9828" w:type="dxa"/>
          </w:tcPr>
          <w:p w:rsidR="000C34ED" w:rsidRPr="00D36396" w:rsidRDefault="000C34ED" w:rsidP="004E6538">
            <w:pPr>
              <w:spacing w:after="120"/>
              <w:jc w:val="center"/>
              <w:rPr>
                <w:color w:val="000000" w:themeColor="text1"/>
                <w:lang w:val="uk-UA"/>
              </w:rPr>
            </w:pPr>
            <w:r w:rsidRPr="00D36396">
              <w:rPr>
                <w:b/>
                <w:color w:val="000000" w:themeColor="text1"/>
                <w:lang w:val="uk-UA"/>
              </w:rPr>
              <w:t>Динаміка середньомісячної заробітної плати                                                                            одного штатного робітника, грн.</w:t>
            </w:r>
          </w:p>
        </w:tc>
      </w:tr>
      <w:tr w:rsidR="003138C1" w:rsidRPr="00D36396" w:rsidTr="004E6538">
        <w:tc>
          <w:tcPr>
            <w:tcW w:w="9828" w:type="dxa"/>
          </w:tcPr>
          <w:p w:rsidR="003138C1" w:rsidRPr="00D36396" w:rsidRDefault="003138C1" w:rsidP="004E6538">
            <w:pPr>
              <w:spacing w:after="120"/>
              <w:jc w:val="both"/>
              <w:rPr>
                <w:color w:val="000000" w:themeColor="text1"/>
                <w:lang w:val="uk-UA"/>
              </w:rPr>
            </w:pPr>
            <w:r w:rsidRPr="00D36396">
              <w:rPr>
                <w:noProof/>
                <w:color w:val="000000" w:themeColor="text1"/>
              </w:rPr>
              <w:drawing>
                <wp:inline distT="0" distB="0" distL="0" distR="0">
                  <wp:extent cx="6029011" cy="1929283"/>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0C34ED" w:rsidRPr="00D36396" w:rsidRDefault="000C34ED" w:rsidP="000C34ED">
      <w:pPr>
        <w:spacing w:after="120"/>
        <w:ind w:firstLine="709"/>
        <w:jc w:val="both"/>
        <w:rPr>
          <w:b/>
          <w:color w:val="000000" w:themeColor="text1"/>
          <w:lang w:val="uk-UA"/>
        </w:rPr>
      </w:pPr>
      <w:r w:rsidRPr="00D36396">
        <w:rPr>
          <w:color w:val="000000" w:themeColor="text1"/>
          <w:lang w:val="uk-UA"/>
        </w:rPr>
        <w:lastRenderedPageBreak/>
        <w:t>Найбільш оплачувані в області працівники фінансових установ (5091 грн.), підприємств з добування вугілля (5036 грн.), надання комунальних та індивідуальних послуг; діяльність у сфері культури (4361 грн.), металургійного виробництва (4194 грн.), підприємств з виробництва коксу (4130 грн.).</w:t>
      </w:r>
    </w:p>
    <w:p w:rsidR="000C34ED" w:rsidRPr="00D36396" w:rsidRDefault="000C34ED" w:rsidP="000C34ED">
      <w:pPr>
        <w:spacing w:after="120"/>
        <w:ind w:firstLine="709"/>
        <w:jc w:val="both"/>
        <w:rPr>
          <w:b/>
          <w:color w:val="000000" w:themeColor="text1"/>
          <w:lang w:val="uk-UA"/>
        </w:rPr>
      </w:pPr>
      <w:r w:rsidRPr="00D36396">
        <w:rPr>
          <w:color w:val="000000" w:themeColor="text1"/>
          <w:lang w:val="uk-UA"/>
        </w:rPr>
        <w:t xml:space="preserve">Найменший розмір заробітної плати підприємствах з оброблення деревини та виробництва виробів з деревини; крім меблів (1523 грн.), виробництва шкіри, виробів зі шкіри та інших матеріалів (1677 грн.), в установах охорони здоров`я та соціальної допомоги (2145 грн.), сільського господарства (2114 грн.). </w:t>
      </w:r>
    </w:p>
    <w:p w:rsidR="000C34ED" w:rsidRPr="00D36396" w:rsidRDefault="000C34ED" w:rsidP="000C34ED">
      <w:pPr>
        <w:spacing w:after="120"/>
        <w:ind w:firstLine="709"/>
        <w:jc w:val="both"/>
        <w:rPr>
          <w:b/>
          <w:i/>
          <w:color w:val="000000" w:themeColor="text1"/>
          <w:lang w:val="uk-UA"/>
        </w:rPr>
      </w:pPr>
      <w:r w:rsidRPr="00D36396">
        <w:rPr>
          <w:color w:val="000000" w:themeColor="text1"/>
          <w:lang w:val="uk-UA"/>
        </w:rPr>
        <w:t xml:space="preserve">Розмір реальної заробітної плати (з урахуванням інфляції та сплачених податків)          за січень-червень 2012 року порівняно з січнем-червнем 2011 року збільшився в середньому на 13,8%.  </w:t>
      </w:r>
    </w:p>
    <w:p w:rsidR="000C34ED" w:rsidRPr="00D36396" w:rsidRDefault="000C34ED" w:rsidP="000C34ED">
      <w:pPr>
        <w:spacing w:after="120"/>
        <w:ind w:firstLine="709"/>
        <w:jc w:val="both"/>
        <w:rPr>
          <w:color w:val="000000" w:themeColor="text1"/>
          <w:lang w:val="uk-UA"/>
        </w:rPr>
      </w:pPr>
      <w:r w:rsidRPr="00D36396">
        <w:rPr>
          <w:b/>
          <w:color w:val="000000" w:themeColor="text1"/>
          <w:lang w:val="uk-UA"/>
        </w:rPr>
        <w:t>Заборгованість з виплати заробітної плати</w:t>
      </w:r>
      <w:r w:rsidRPr="00D36396">
        <w:rPr>
          <w:color w:val="000000" w:themeColor="text1"/>
          <w:lang w:val="uk-UA"/>
        </w:rPr>
        <w:t xml:space="preserve"> в цілому по області станом на 01.07.2012 склала 179,4 </w:t>
      </w:r>
      <w:r w:rsidR="00B96CDF" w:rsidRPr="00D36396">
        <w:rPr>
          <w:color w:val="000000" w:themeColor="text1"/>
          <w:lang w:val="uk-UA"/>
        </w:rPr>
        <w:t>млн.грн.</w:t>
      </w:r>
      <w:r w:rsidRPr="00D36396">
        <w:rPr>
          <w:color w:val="000000" w:themeColor="text1"/>
          <w:lang w:val="uk-UA"/>
        </w:rPr>
        <w:t xml:space="preserve"> Порівняно з сумою на початок 2012 року вона зменшилась </w:t>
      </w:r>
      <w:r w:rsidR="005537FB" w:rsidRPr="00D36396">
        <w:rPr>
          <w:color w:val="000000" w:themeColor="text1"/>
          <w:lang w:val="uk-UA"/>
        </w:rPr>
        <w:t xml:space="preserve">                              </w:t>
      </w:r>
      <w:r w:rsidRPr="00D36396">
        <w:rPr>
          <w:color w:val="000000" w:themeColor="text1"/>
          <w:lang w:val="uk-UA"/>
        </w:rPr>
        <w:t>на 20,9 </w:t>
      </w:r>
      <w:r w:rsidR="00B96CDF" w:rsidRPr="00D36396">
        <w:rPr>
          <w:color w:val="000000" w:themeColor="text1"/>
          <w:lang w:val="uk-UA"/>
        </w:rPr>
        <w:t>млн.грн.</w:t>
      </w:r>
      <w:r w:rsidRPr="00D36396">
        <w:rPr>
          <w:color w:val="000000" w:themeColor="text1"/>
          <w:lang w:val="uk-UA"/>
        </w:rPr>
        <w:t xml:space="preserve"> або на 10,4%. </w:t>
      </w:r>
    </w:p>
    <w:tbl>
      <w:tblPr>
        <w:tblW w:w="9708" w:type="dxa"/>
        <w:tblLayout w:type="fixed"/>
        <w:tblLook w:val="01E0"/>
      </w:tblPr>
      <w:tblGrid>
        <w:gridCol w:w="9708"/>
      </w:tblGrid>
      <w:tr w:rsidR="000C34ED" w:rsidRPr="00D36396" w:rsidTr="004E6538">
        <w:tc>
          <w:tcPr>
            <w:tcW w:w="9708" w:type="dxa"/>
          </w:tcPr>
          <w:p w:rsidR="000C34ED" w:rsidRPr="00D36396" w:rsidRDefault="000C34ED" w:rsidP="004E6538">
            <w:pPr>
              <w:spacing w:before="120" w:after="120"/>
              <w:jc w:val="center"/>
              <w:rPr>
                <w:b/>
                <w:i/>
                <w:color w:val="000000" w:themeColor="text1"/>
                <w:lang w:val="uk-UA"/>
              </w:rPr>
            </w:pPr>
            <w:r w:rsidRPr="00D36396">
              <w:rPr>
                <w:b/>
                <w:color w:val="000000" w:themeColor="text1"/>
                <w:lang w:val="uk-UA"/>
              </w:rPr>
              <w:t>Динаміка заборгованості з виплати заробітної плати, млн.грн.</w:t>
            </w:r>
          </w:p>
        </w:tc>
      </w:tr>
      <w:tr w:rsidR="000C34ED" w:rsidRPr="00D36396" w:rsidTr="004E6538">
        <w:tc>
          <w:tcPr>
            <w:tcW w:w="9708" w:type="dxa"/>
          </w:tcPr>
          <w:p w:rsidR="000C34ED" w:rsidRPr="00D36396" w:rsidRDefault="00050D9A" w:rsidP="004E6538">
            <w:pPr>
              <w:tabs>
                <w:tab w:val="left" w:pos="4368"/>
              </w:tabs>
              <w:spacing w:after="120"/>
              <w:jc w:val="both"/>
              <w:rPr>
                <w:color w:val="000000" w:themeColor="text1"/>
                <w:lang w:val="uk-UA"/>
              </w:rPr>
            </w:pPr>
            <w:r w:rsidRPr="00D36396">
              <w:rPr>
                <w:noProof/>
                <w:color w:val="000000" w:themeColor="text1"/>
              </w:rPr>
              <w:drawing>
                <wp:inline distT="0" distB="0" distL="0" distR="0">
                  <wp:extent cx="5958840" cy="286385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C34ED" w:rsidRPr="00D36396" w:rsidRDefault="000C34ED" w:rsidP="000C34ED">
      <w:pPr>
        <w:spacing w:after="120"/>
        <w:ind w:firstLine="709"/>
        <w:jc w:val="both"/>
        <w:rPr>
          <w:color w:val="000000" w:themeColor="text1"/>
          <w:lang w:val="uk-UA"/>
        </w:rPr>
      </w:pPr>
      <w:r w:rsidRPr="00D36396">
        <w:rPr>
          <w:color w:val="000000" w:themeColor="text1"/>
          <w:lang w:val="uk-UA"/>
        </w:rPr>
        <w:t>На економічно активних підприємствах сума невиплаченої заробі</w:t>
      </w:r>
      <w:r w:rsidR="005537FB" w:rsidRPr="00D36396">
        <w:rPr>
          <w:color w:val="000000" w:themeColor="text1"/>
          <w:lang w:val="uk-UA"/>
        </w:rPr>
        <w:t xml:space="preserve">тної плати склала 74,3 </w:t>
      </w:r>
      <w:r w:rsidR="00B96CDF" w:rsidRPr="00D36396">
        <w:rPr>
          <w:color w:val="000000" w:themeColor="text1"/>
          <w:lang w:val="uk-UA"/>
        </w:rPr>
        <w:t>млн.грн.</w:t>
      </w:r>
      <w:r w:rsidRPr="00D36396">
        <w:rPr>
          <w:color w:val="000000" w:themeColor="text1"/>
          <w:lang w:val="uk-UA"/>
        </w:rPr>
        <w:t xml:space="preserve"> або 41,4% від загальної суми боргу (зменшення до початку року                        на 10,7 </w:t>
      </w:r>
      <w:r w:rsidR="00B96CDF" w:rsidRPr="00D36396">
        <w:rPr>
          <w:color w:val="000000" w:themeColor="text1"/>
          <w:lang w:val="uk-UA"/>
        </w:rPr>
        <w:t>млн.грн.</w:t>
      </w:r>
      <w:r w:rsidRPr="00D36396">
        <w:rPr>
          <w:color w:val="000000" w:themeColor="text1"/>
          <w:lang w:val="uk-UA"/>
        </w:rPr>
        <w:t xml:space="preserve"> або на 12,6%), на підприємствах, які перебувають на різних стадіях банкрутства – 89,9 </w:t>
      </w:r>
      <w:r w:rsidR="00B96CDF" w:rsidRPr="00D36396">
        <w:rPr>
          <w:color w:val="000000" w:themeColor="text1"/>
          <w:lang w:val="uk-UA"/>
        </w:rPr>
        <w:t>млн.грн.</w:t>
      </w:r>
      <w:r w:rsidRPr="00D36396">
        <w:rPr>
          <w:color w:val="000000" w:themeColor="text1"/>
          <w:lang w:val="uk-UA"/>
        </w:rPr>
        <w:t xml:space="preserve"> або 50,1% (на 16,1 </w:t>
      </w:r>
      <w:r w:rsidR="00B96CDF" w:rsidRPr="00D36396">
        <w:rPr>
          <w:color w:val="000000" w:themeColor="text1"/>
          <w:lang w:val="uk-UA"/>
        </w:rPr>
        <w:t>млн.грн.</w:t>
      </w:r>
      <w:r w:rsidRPr="00D36396">
        <w:rPr>
          <w:color w:val="000000" w:themeColor="text1"/>
          <w:lang w:val="uk-UA"/>
        </w:rPr>
        <w:t xml:space="preserve"> або на 15,2%), на підприємствах, які припинили свою діяльність – 15,2 </w:t>
      </w:r>
      <w:r w:rsidR="00B96CDF" w:rsidRPr="00D36396">
        <w:rPr>
          <w:color w:val="000000" w:themeColor="text1"/>
          <w:lang w:val="uk-UA"/>
        </w:rPr>
        <w:t>млн.грн.</w:t>
      </w:r>
      <w:r w:rsidRPr="00D36396">
        <w:rPr>
          <w:color w:val="000000" w:themeColor="text1"/>
          <w:lang w:val="uk-UA"/>
        </w:rPr>
        <w:t xml:space="preserve"> або 8,5% (збільшення на 6,0 </w:t>
      </w:r>
      <w:r w:rsidR="00B96CDF" w:rsidRPr="00D36396">
        <w:rPr>
          <w:color w:val="000000" w:themeColor="text1"/>
          <w:lang w:val="uk-UA"/>
        </w:rPr>
        <w:t>млн.грн.</w:t>
      </w:r>
      <w:r w:rsidRPr="00D36396">
        <w:rPr>
          <w:color w:val="000000" w:themeColor="text1"/>
          <w:lang w:val="uk-UA"/>
        </w:rPr>
        <w:t xml:space="preserve">                 або в 1,6 рази).</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 xml:space="preserve">Відсутня заборгованість із заробітної плати на економічно активних підприємствах </w:t>
      </w:r>
      <w:r w:rsidR="00941A92" w:rsidRPr="00D36396">
        <w:rPr>
          <w:color w:val="000000" w:themeColor="text1"/>
          <w:lang w:val="uk-UA"/>
        </w:rPr>
        <w:t>у</w:t>
      </w:r>
      <w:r w:rsidRPr="00D36396">
        <w:rPr>
          <w:color w:val="000000" w:themeColor="text1"/>
          <w:lang w:val="uk-UA"/>
        </w:rPr>
        <w:t xml:space="preserve"> містах Вугледар, Дебальцеве, Дзержинськ, Димитров, Добропілля, Докучаєвськ, Кіровське,  Амвросіївському, Артемівському, Великоновосілківському, Волноваському, Володарському, Костянтинівському, Красноармійському, Мар’їнському, Олександрівському, Старобешівському, Тельманівському районах.</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Для активізації роботи місцевих органів виконавчої влади та органів місцевого самоврядування у напрямку ліквідації боргів з оплати праці в комунальній сфері 31.05.2012 проведено нараду, за результатами якої вищевказаним органам надані відповідні доручення. Стан виконання доручень щодо погашення заборгованості з виплати заробітної плати на підприємствах комунальної власності перебуває під постійним контролем відповідних структур.</w:t>
      </w:r>
    </w:p>
    <w:p w:rsidR="000C34ED" w:rsidRPr="00D36396" w:rsidRDefault="000C34ED" w:rsidP="00941A92">
      <w:pPr>
        <w:spacing w:after="80"/>
        <w:ind w:firstLine="709"/>
        <w:jc w:val="both"/>
        <w:rPr>
          <w:color w:val="000000" w:themeColor="text1"/>
          <w:lang w:val="uk-UA"/>
        </w:rPr>
      </w:pPr>
      <w:r w:rsidRPr="00D36396">
        <w:rPr>
          <w:color w:val="000000" w:themeColor="text1"/>
          <w:lang w:val="uk-UA"/>
        </w:rPr>
        <w:lastRenderedPageBreak/>
        <w:t>Протягом січня-червня 2012 року проведено 783 засідання обласної та місцевих комісій з питань погашення заборгованості з виплати заробітної плати, на яких заслухано звіти 4916 керівників підприємств-боржників. За результатами розгляду прийняті відповідні міри щодо ліквідації боргів.</w:t>
      </w:r>
    </w:p>
    <w:p w:rsidR="000C34ED" w:rsidRPr="00D36396" w:rsidRDefault="000C34ED" w:rsidP="00941A92">
      <w:pPr>
        <w:spacing w:after="80"/>
        <w:ind w:firstLine="709"/>
        <w:jc w:val="both"/>
        <w:rPr>
          <w:color w:val="000000" w:themeColor="text1"/>
          <w:lang w:val="uk-UA"/>
        </w:rPr>
      </w:pPr>
      <w:r w:rsidRPr="00D36396">
        <w:rPr>
          <w:color w:val="000000" w:themeColor="text1"/>
          <w:lang w:val="uk-UA"/>
        </w:rPr>
        <w:t>З метою прискорення погашення заборгованості з виплати заробітної плати скоординовано дії органів виконавчої влади, прокуратури, правоохоронних і контролюючих органів.</w:t>
      </w:r>
    </w:p>
    <w:p w:rsidR="000C34ED" w:rsidRPr="00D36396" w:rsidRDefault="000C34ED" w:rsidP="00941A92">
      <w:pPr>
        <w:pStyle w:val="21"/>
        <w:spacing w:after="80"/>
        <w:rPr>
          <w:color w:val="000000" w:themeColor="text1"/>
        </w:rPr>
      </w:pPr>
      <w:r w:rsidRPr="00D36396">
        <w:rPr>
          <w:color w:val="000000" w:themeColor="text1"/>
        </w:rPr>
        <w:t>З початку року органами місцевої виконавчої влади та місцевого самоврядування проведено 1396 перевірок підприємств з питань контролю за своєчасною та не нижче визначеного державою мінімального розміру оплатою праці. Відносно 56 керівників підприємств матеріали передано до правоохоронних органів.</w:t>
      </w:r>
    </w:p>
    <w:p w:rsidR="000C34ED" w:rsidRPr="00D36396" w:rsidRDefault="000C34ED" w:rsidP="00941A92">
      <w:pPr>
        <w:pStyle w:val="21"/>
        <w:spacing w:after="80"/>
        <w:rPr>
          <w:color w:val="000000" w:themeColor="text1"/>
        </w:rPr>
      </w:pPr>
      <w:r w:rsidRPr="00D36396">
        <w:rPr>
          <w:color w:val="000000" w:themeColor="text1"/>
        </w:rPr>
        <w:t>Територіальною державною інспекцією праці в Донецькій області здійснено                     192 перевірок суб’єктів господарювання з питань дотримання чинного законодавства про працю. До суду передано 168 протоколів відносно керівників, які допустили грубі порушення законодавства, сума нарахованих штрафних санкцій склала 87,8 тис.</w:t>
      </w:r>
      <w:r w:rsidR="00AF2D75" w:rsidRPr="00D36396">
        <w:rPr>
          <w:color w:val="000000" w:themeColor="text1"/>
        </w:rPr>
        <w:t xml:space="preserve"> </w:t>
      </w:r>
      <w:r w:rsidRPr="00D36396">
        <w:rPr>
          <w:color w:val="000000" w:themeColor="text1"/>
        </w:rPr>
        <w:t>грн.</w:t>
      </w:r>
    </w:p>
    <w:p w:rsidR="000C34ED" w:rsidRPr="00D36396" w:rsidRDefault="000C34ED" w:rsidP="00941A92">
      <w:pPr>
        <w:pStyle w:val="21"/>
        <w:spacing w:after="80"/>
        <w:rPr>
          <w:color w:val="000000" w:themeColor="text1"/>
        </w:rPr>
      </w:pPr>
      <w:r w:rsidRPr="00D36396">
        <w:rPr>
          <w:color w:val="000000" w:themeColor="text1"/>
        </w:rPr>
        <w:t>Заходи, які вживаються для погашення заборгованості з виплати заробітної плати, постійно висвітлюються у засобах масової інформації.</w:t>
      </w:r>
    </w:p>
    <w:p w:rsidR="000C34ED" w:rsidRPr="00D36396" w:rsidRDefault="000C34ED" w:rsidP="00941A92">
      <w:pPr>
        <w:spacing w:after="80"/>
        <w:ind w:firstLine="709"/>
        <w:jc w:val="both"/>
        <w:rPr>
          <w:color w:val="000000" w:themeColor="text1"/>
          <w:lang w:val="uk-UA"/>
        </w:rPr>
      </w:pPr>
      <w:r w:rsidRPr="00D36396">
        <w:rPr>
          <w:color w:val="000000" w:themeColor="text1"/>
          <w:lang w:val="uk-UA"/>
        </w:rPr>
        <w:t>Проводиться комплексна цілеспрямована робота щодо легалізації заробітної плати, запровадження підприємствами усіх форм власності мінімальних державних гарантій з оплати праці. В містах і районах області працюють робочі групи по легалізації трудових відносин.</w:t>
      </w:r>
    </w:p>
    <w:p w:rsidR="001D6671" w:rsidRPr="00D36396" w:rsidRDefault="001D6671" w:rsidP="00941A92">
      <w:pPr>
        <w:spacing w:after="80"/>
        <w:ind w:firstLine="709"/>
        <w:jc w:val="both"/>
        <w:rPr>
          <w:color w:val="000000" w:themeColor="text1"/>
          <w:lang w:val="uk-UA"/>
        </w:rPr>
      </w:pPr>
      <w:r w:rsidRPr="00D36396">
        <w:rPr>
          <w:color w:val="000000" w:themeColor="text1"/>
          <w:lang w:val="uk-UA"/>
        </w:rPr>
        <w:t xml:space="preserve">Протягом </w:t>
      </w:r>
      <w:r w:rsidR="00941A92" w:rsidRPr="00D36396">
        <w:rPr>
          <w:color w:val="000000" w:themeColor="text1"/>
          <w:lang w:val="uk-UA"/>
        </w:rPr>
        <w:t>першого</w:t>
      </w:r>
      <w:r w:rsidRPr="00D36396">
        <w:rPr>
          <w:color w:val="000000" w:themeColor="text1"/>
          <w:lang w:val="uk-UA"/>
        </w:rPr>
        <w:t xml:space="preserve"> півріччя 2012 року відділенням Національної служби посередництва і примирення в Донецькій області проведено попереджувальні заходи щодо виникнення колективних трудових спорів та акцій протесту, роботу по вирішенню колективних трудових спорів (конфліктів), комплексний аналіз стану соціально-трудових відносин на підприємствах, в установах і організаціях окремих галузей економіки. </w:t>
      </w:r>
    </w:p>
    <w:p w:rsidR="001D6671" w:rsidRPr="00D36396" w:rsidRDefault="001D6671" w:rsidP="00941A92">
      <w:pPr>
        <w:pStyle w:val="a6"/>
        <w:spacing w:after="80"/>
        <w:ind w:right="-1" w:firstLine="567"/>
        <w:jc w:val="both"/>
        <w:rPr>
          <w:color w:val="000000" w:themeColor="text1"/>
          <w:szCs w:val="28"/>
          <w:lang w:val="uk-UA"/>
        </w:rPr>
      </w:pPr>
      <w:r w:rsidRPr="00D36396">
        <w:rPr>
          <w:color w:val="000000" w:themeColor="text1"/>
          <w:szCs w:val="28"/>
          <w:lang w:val="uk-UA"/>
        </w:rPr>
        <w:t xml:space="preserve">У </w:t>
      </w:r>
      <w:r w:rsidR="00941A92" w:rsidRPr="00D36396">
        <w:rPr>
          <w:color w:val="000000" w:themeColor="text1"/>
          <w:szCs w:val="28"/>
          <w:lang w:val="uk-UA"/>
        </w:rPr>
        <w:t>першому</w:t>
      </w:r>
      <w:r w:rsidRPr="00D36396">
        <w:rPr>
          <w:color w:val="000000" w:themeColor="text1"/>
          <w:szCs w:val="28"/>
          <w:lang w:val="uk-UA"/>
        </w:rPr>
        <w:t xml:space="preserve"> півріччі 2012 року відділенням за участю відповідних місцевих органів виконавчої влади попереджено  страйк  на ВП </w:t>
      </w:r>
      <w:r w:rsidR="00B96CDF" w:rsidRPr="00D36396">
        <w:rPr>
          <w:color w:val="000000" w:themeColor="text1"/>
          <w:szCs w:val="28"/>
          <w:lang w:val="uk-UA"/>
        </w:rPr>
        <w:t>«</w:t>
      </w:r>
      <w:r w:rsidRPr="00D36396">
        <w:rPr>
          <w:color w:val="000000" w:themeColor="text1"/>
          <w:szCs w:val="28"/>
          <w:lang w:val="uk-UA"/>
        </w:rPr>
        <w:t xml:space="preserve">Шахта </w:t>
      </w:r>
      <w:r w:rsidR="00B96CDF" w:rsidRPr="00D36396">
        <w:rPr>
          <w:color w:val="000000" w:themeColor="text1"/>
          <w:szCs w:val="28"/>
          <w:lang w:val="uk-UA"/>
        </w:rPr>
        <w:t>«</w:t>
      </w:r>
      <w:r w:rsidRPr="00D36396">
        <w:rPr>
          <w:color w:val="000000" w:themeColor="text1"/>
          <w:szCs w:val="28"/>
          <w:lang w:val="uk-UA"/>
        </w:rPr>
        <w:t>Постніківська-2</w:t>
      </w:r>
      <w:r w:rsidR="00B96CDF" w:rsidRPr="00D36396">
        <w:rPr>
          <w:color w:val="000000" w:themeColor="text1"/>
          <w:szCs w:val="28"/>
          <w:lang w:val="uk-UA"/>
        </w:rPr>
        <w:t>»</w:t>
      </w:r>
      <w:r w:rsidRPr="00D36396">
        <w:rPr>
          <w:color w:val="000000" w:themeColor="text1"/>
          <w:szCs w:val="28"/>
          <w:lang w:val="uk-UA"/>
        </w:rPr>
        <w:t xml:space="preserve"> ДП </w:t>
      </w:r>
      <w:r w:rsidR="00B96CDF" w:rsidRPr="00D36396">
        <w:rPr>
          <w:color w:val="000000" w:themeColor="text1"/>
          <w:szCs w:val="28"/>
          <w:lang w:val="uk-UA"/>
        </w:rPr>
        <w:t>«</w:t>
      </w:r>
      <w:r w:rsidRPr="00D36396">
        <w:rPr>
          <w:color w:val="000000" w:themeColor="text1"/>
          <w:szCs w:val="28"/>
          <w:lang w:val="uk-UA"/>
        </w:rPr>
        <w:t>Дирекція                                    з реструктуризації шахтного фонду</w:t>
      </w:r>
      <w:r w:rsidR="00B96CDF" w:rsidRPr="00D36396">
        <w:rPr>
          <w:color w:val="000000" w:themeColor="text1"/>
          <w:szCs w:val="28"/>
          <w:lang w:val="uk-UA"/>
        </w:rPr>
        <w:t>»</w:t>
      </w:r>
      <w:r w:rsidRPr="00D36396">
        <w:rPr>
          <w:color w:val="000000" w:themeColor="text1"/>
          <w:szCs w:val="28"/>
          <w:lang w:val="uk-UA"/>
        </w:rPr>
        <w:t xml:space="preserve"> (м. Шахтарськ) та проведення акції протесту на                   ВП </w:t>
      </w:r>
      <w:r w:rsidR="00B96CDF" w:rsidRPr="00D36396">
        <w:rPr>
          <w:color w:val="000000" w:themeColor="text1"/>
          <w:szCs w:val="28"/>
          <w:lang w:val="uk-UA"/>
        </w:rPr>
        <w:t>«</w:t>
      </w:r>
      <w:r w:rsidRPr="00D36396">
        <w:rPr>
          <w:color w:val="000000" w:themeColor="text1"/>
          <w:szCs w:val="28"/>
          <w:lang w:val="uk-UA"/>
        </w:rPr>
        <w:t xml:space="preserve">Шахтоуправління </w:t>
      </w:r>
      <w:r w:rsidR="00B96CDF" w:rsidRPr="00D36396">
        <w:rPr>
          <w:color w:val="000000" w:themeColor="text1"/>
          <w:szCs w:val="28"/>
          <w:lang w:val="uk-UA"/>
        </w:rPr>
        <w:t>«</w:t>
      </w:r>
      <w:r w:rsidRPr="00D36396">
        <w:rPr>
          <w:color w:val="000000" w:themeColor="text1"/>
          <w:szCs w:val="28"/>
          <w:lang w:val="uk-UA"/>
        </w:rPr>
        <w:t>Трудівське</w:t>
      </w:r>
      <w:r w:rsidR="00B96CDF" w:rsidRPr="00D36396">
        <w:rPr>
          <w:color w:val="000000" w:themeColor="text1"/>
          <w:szCs w:val="28"/>
          <w:lang w:val="uk-UA"/>
        </w:rPr>
        <w:t>»</w:t>
      </w:r>
      <w:r w:rsidRPr="00D36396">
        <w:rPr>
          <w:color w:val="000000" w:themeColor="text1"/>
          <w:szCs w:val="28"/>
          <w:lang w:val="uk-UA"/>
        </w:rPr>
        <w:t xml:space="preserve"> ДП ДВЕК (м. Донецьк).</w:t>
      </w:r>
    </w:p>
    <w:p w:rsidR="001D6671" w:rsidRPr="00D36396" w:rsidRDefault="001D6671" w:rsidP="00941A92">
      <w:pPr>
        <w:pStyle w:val="a6"/>
        <w:spacing w:after="80"/>
        <w:ind w:right="-1" w:firstLine="709"/>
        <w:jc w:val="both"/>
        <w:rPr>
          <w:color w:val="000000" w:themeColor="text1"/>
          <w:szCs w:val="28"/>
          <w:lang w:val="uk-UA"/>
        </w:rPr>
      </w:pPr>
      <w:r w:rsidRPr="00D36396">
        <w:rPr>
          <w:color w:val="000000" w:themeColor="text1"/>
          <w:szCs w:val="28"/>
          <w:lang w:val="uk-UA"/>
        </w:rPr>
        <w:t>Вимоги найманих працівників у колективних трудових спорах (конфліктах) вирішувались шляхом проведення примирних процедур та узгоджувальних зустрічей. Проведено 1 примирну комісію та 49 зустрічей на 14 підприємствах, де зареєстровані колективні трудові спори (конфлікти). Причиною їх виникнення була заборгованість із виплати заробітної плати.</w:t>
      </w:r>
    </w:p>
    <w:p w:rsidR="001D6671" w:rsidRPr="00D36396" w:rsidRDefault="005537FB" w:rsidP="00941A92">
      <w:pPr>
        <w:pStyle w:val="a6"/>
        <w:spacing w:after="80"/>
        <w:ind w:right="-1" w:firstLine="567"/>
        <w:jc w:val="both"/>
        <w:rPr>
          <w:color w:val="000000" w:themeColor="text1"/>
          <w:szCs w:val="28"/>
          <w:lang w:val="uk-UA"/>
        </w:rPr>
      </w:pPr>
      <w:r w:rsidRPr="00D36396">
        <w:rPr>
          <w:color w:val="000000" w:themeColor="text1"/>
          <w:szCs w:val="28"/>
          <w:lang w:val="uk-UA"/>
        </w:rPr>
        <w:t xml:space="preserve">Протягом </w:t>
      </w:r>
      <w:r w:rsidR="00941A92" w:rsidRPr="00D36396">
        <w:rPr>
          <w:color w:val="000000" w:themeColor="text1"/>
          <w:szCs w:val="28"/>
          <w:lang w:val="uk-UA"/>
        </w:rPr>
        <w:t>першого</w:t>
      </w:r>
      <w:r w:rsidR="001D6671" w:rsidRPr="00D36396">
        <w:rPr>
          <w:color w:val="000000" w:themeColor="text1"/>
          <w:szCs w:val="28"/>
          <w:lang w:val="uk-UA"/>
        </w:rPr>
        <w:t xml:space="preserve"> півріччя 2012 року проведено комплексний аналіз стану соціально-трудових відносин на підприємствах, установах, організаціях Донецької області, які упродовж 2009-2011 років перебували у системі запобігання виникненню колективних трудових спорів (конфліктів) з чинниками дестабілізації, які були зумовлені укладенням чи зміною, виконанням колективного договору, угоди або окремих їх положень.</w:t>
      </w:r>
    </w:p>
    <w:p w:rsidR="000C34ED" w:rsidRPr="00D36396" w:rsidRDefault="000C34ED" w:rsidP="00941A92">
      <w:pPr>
        <w:tabs>
          <w:tab w:val="left" w:pos="720"/>
        </w:tabs>
        <w:spacing w:after="80"/>
        <w:jc w:val="both"/>
        <w:rPr>
          <w:color w:val="000000" w:themeColor="text1"/>
          <w:lang w:val="uk-UA"/>
        </w:rPr>
      </w:pPr>
      <w:r w:rsidRPr="00D36396">
        <w:rPr>
          <w:color w:val="000000" w:themeColor="text1"/>
          <w:lang w:val="uk-UA"/>
        </w:rPr>
        <w:tab/>
        <w:t xml:space="preserve">До </w:t>
      </w:r>
      <w:r w:rsidRPr="00D36396">
        <w:rPr>
          <w:b/>
          <w:color w:val="000000" w:themeColor="text1"/>
          <w:lang w:val="uk-UA"/>
        </w:rPr>
        <w:t>Пенсійного фонду України</w:t>
      </w:r>
      <w:r w:rsidRPr="00D36396">
        <w:rPr>
          <w:color w:val="000000" w:themeColor="text1"/>
          <w:lang w:val="uk-UA"/>
        </w:rPr>
        <w:t xml:space="preserve"> в Донецькій області з усіх джерел фінансування надійшло 12285,6 </w:t>
      </w:r>
      <w:r w:rsidR="00B96CDF" w:rsidRPr="00D36396">
        <w:rPr>
          <w:color w:val="000000" w:themeColor="text1"/>
          <w:lang w:val="uk-UA"/>
        </w:rPr>
        <w:t>млн.грн.</w:t>
      </w:r>
      <w:r w:rsidRPr="00D36396">
        <w:rPr>
          <w:color w:val="000000" w:themeColor="text1"/>
          <w:lang w:val="uk-UA"/>
        </w:rPr>
        <w:t>, з них власні надходження склали 9012,5 </w:t>
      </w:r>
      <w:r w:rsidR="00B96CDF" w:rsidRPr="00D36396">
        <w:rPr>
          <w:color w:val="000000" w:themeColor="text1"/>
          <w:lang w:val="uk-UA"/>
        </w:rPr>
        <w:t>млн.грн.</w:t>
      </w:r>
      <w:r w:rsidRPr="00D36396">
        <w:rPr>
          <w:color w:val="000000" w:themeColor="text1"/>
          <w:lang w:val="uk-UA"/>
        </w:rPr>
        <w:t xml:space="preserve">, або 100,9% до планового показника.  Порівняно з відповідним періодом минулого року надходження з усіх джерел фінансування зросли на 1166,7 </w:t>
      </w:r>
      <w:r w:rsidR="00B96CDF" w:rsidRPr="00D36396">
        <w:rPr>
          <w:color w:val="000000" w:themeColor="text1"/>
          <w:lang w:val="uk-UA"/>
        </w:rPr>
        <w:t>млн.грн.</w:t>
      </w:r>
      <w:r w:rsidRPr="00D36396">
        <w:rPr>
          <w:color w:val="000000" w:themeColor="text1"/>
          <w:lang w:val="uk-UA"/>
        </w:rPr>
        <w:t xml:space="preserve">, або на 14,5%. </w:t>
      </w:r>
    </w:p>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tab/>
        <w:t xml:space="preserve">Забезпеченість загальної потреби на виплату пенсії власними коштами порівняно з відповідним періодом 2011 року зросла на 7,4 відс. пункти і станом на 1 липня 2012 року складає 66,4% . </w:t>
      </w:r>
    </w:p>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lastRenderedPageBreak/>
        <w:tab/>
        <w:t xml:space="preserve">Протягом </w:t>
      </w:r>
      <w:r w:rsidR="00F2359D" w:rsidRPr="00D36396">
        <w:rPr>
          <w:color w:val="000000" w:themeColor="text1"/>
          <w:lang w:val="uk-UA"/>
        </w:rPr>
        <w:t>першого</w:t>
      </w:r>
      <w:r w:rsidRPr="00D36396">
        <w:rPr>
          <w:color w:val="000000" w:themeColor="text1"/>
          <w:lang w:val="uk-UA"/>
        </w:rPr>
        <w:t xml:space="preserve"> півріччя 2012 року органами Пенсійного фонду України відповідно до чинного законодавства у сфері пенсійного забезпечення громадян призначено </w:t>
      </w:r>
      <w:r w:rsidR="005537FB" w:rsidRPr="00D36396">
        <w:rPr>
          <w:color w:val="000000" w:themeColor="text1"/>
          <w:lang w:val="uk-UA"/>
        </w:rPr>
        <w:t xml:space="preserve">                      </w:t>
      </w:r>
      <w:r w:rsidRPr="00D36396">
        <w:rPr>
          <w:color w:val="000000" w:themeColor="text1"/>
          <w:lang w:val="uk-UA"/>
        </w:rPr>
        <w:t xml:space="preserve">28,6 тис. пенсій та здійснено 86,7 тис. поточних перерахунків. </w:t>
      </w:r>
    </w:p>
    <w:p w:rsidR="000C34ED" w:rsidRPr="00D36396" w:rsidRDefault="000C34ED" w:rsidP="000C34ED">
      <w:pPr>
        <w:tabs>
          <w:tab w:val="left" w:pos="720"/>
        </w:tabs>
        <w:spacing w:after="120"/>
        <w:jc w:val="both"/>
        <w:rPr>
          <w:color w:val="000000" w:themeColor="text1"/>
        </w:rPr>
      </w:pPr>
      <w:r w:rsidRPr="00D36396">
        <w:rPr>
          <w:color w:val="000000" w:themeColor="text1"/>
          <w:lang w:val="uk-UA"/>
        </w:rPr>
        <w:tab/>
        <w:t>Середній розмір пенсії збільшився з 1476 </w:t>
      </w:r>
      <w:r w:rsidR="005F5B11" w:rsidRPr="00D36396">
        <w:rPr>
          <w:color w:val="000000" w:themeColor="text1"/>
          <w:lang w:val="uk-UA"/>
        </w:rPr>
        <w:t>грн. (з січня 2012 року) до 1689</w:t>
      </w:r>
      <w:r w:rsidRPr="00D36396">
        <w:rPr>
          <w:color w:val="000000" w:themeColor="text1"/>
          <w:lang w:val="uk-UA"/>
        </w:rPr>
        <w:t xml:space="preserve"> грн. </w:t>
      </w:r>
      <w:r w:rsidR="005F5B11" w:rsidRPr="00D36396">
        <w:rPr>
          <w:color w:val="000000" w:themeColor="text1"/>
          <w:lang w:val="uk-UA"/>
        </w:rPr>
        <w:t>у червні 2012року</w:t>
      </w:r>
      <w:r w:rsidR="005F5B11" w:rsidRPr="00D36396">
        <w:rPr>
          <w:color w:val="000000" w:themeColor="text1"/>
        </w:rPr>
        <w:t>.</w:t>
      </w:r>
    </w:p>
    <w:tbl>
      <w:tblPr>
        <w:tblW w:w="0" w:type="auto"/>
        <w:tblLook w:val="01E0"/>
      </w:tblPr>
      <w:tblGrid>
        <w:gridCol w:w="9854"/>
      </w:tblGrid>
      <w:tr w:rsidR="000C34ED" w:rsidRPr="00D36396" w:rsidTr="004E6538">
        <w:tc>
          <w:tcPr>
            <w:tcW w:w="9854" w:type="dxa"/>
          </w:tcPr>
          <w:p w:rsidR="000C34ED" w:rsidRPr="00D36396" w:rsidRDefault="000C34ED" w:rsidP="004E6538">
            <w:pPr>
              <w:spacing w:after="120"/>
              <w:jc w:val="center"/>
              <w:rPr>
                <w:b/>
                <w:color w:val="000000" w:themeColor="text1"/>
                <w:lang w:val="uk-UA"/>
              </w:rPr>
            </w:pPr>
            <w:r w:rsidRPr="00D36396">
              <w:rPr>
                <w:b/>
                <w:color w:val="000000" w:themeColor="text1"/>
                <w:lang w:val="uk-UA"/>
              </w:rPr>
              <w:t>Динаміка середньомісячного розміру пенсій, грн.</w:t>
            </w:r>
          </w:p>
        </w:tc>
      </w:tr>
      <w:tr w:rsidR="000C34ED" w:rsidRPr="00D36396" w:rsidTr="004E6538">
        <w:tc>
          <w:tcPr>
            <w:tcW w:w="9854" w:type="dxa"/>
          </w:tcPr>
          <w:p w:rsidR="000C34ED" w:rsidRPr="00D36396" w:rsidRDefault="000C34ED" w:rsidP="004E6538">
            <w:pPr>
              <w:tabs>
                <w:tab w:val="left" w:pos="720"/>
              </w:tabs>
              <w:spacing w:after="120"/>
              <w:jc w:val="center"/>
              <w:rPr>
                <w:color w:val="000000" w:themeColor="text1"/>
                <w:lang w:val="uk-UA"/>
              </w:rPr>
            </w:pPr>
            <w:r w:rsidRPr="00D36396">
              <w:rPr>
                <w:color w:val="000000" w:themeColor="text1"/>
                <w:lang w:val="uk-UA"/>
              </w:rPr>
              <w:t xml:space="preserve">                    </w:t>
            </w:r>
            <w:r w:rsidR="00050D9A" w:rsidRPr="00D36396">
              <w:rPr>
                <w:noProof/>
                <w:color w:val="000000" w:themeColor="text1"/>
              </w:rPr>
              <w:drawing>
                <wp:inline distT="0" distB="0" distL="0" distR="0">
                  <wp:extent cx="6089301" cy="2180492"/>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tab/>
        <w:t xml:space="preserve">Заборгованості Пенсійного фонду перед пенсіонерами немає. </w:t>
      </w:r>
    </w:p>
    <w:tbl>
      <w:tblPr>
        <w:tblW w:w="0" w:type="auto"/>
        <w:tblLook w:val="01E0"/>
      </w:tblPr>
      <w:tblGrid>
        <w:gridCol w:w="9854"/>
      </w:tblGrid>
      <w:tr w:rsidR="00110AE2" w:rsidRPr="00D36396" w:rsidTr="004E6538">
        <w:tc>
          <w:tcPr>
            <w:tcW w:w="9854" w:type="dxa"/>
          </w:tcPr>
          <w:p w:rsidR="00110AE2" w:rsidRPr="00D36396" w:rsidRDefault="00110AE2" w:rsidP="004E6538">
            <w:pPr>
              <w:tabs>
                <w:tab w:val="left" w:pos="720"/>
              </w:tabs>
              <w:spacing w:before="120"/>
              <w:jc w:val="center"/>
              <w:rPr>
                <w:color w:val="000000" w:themeColor="text1"/>
                <w:lang w:val="uk-UA"/>
              </w:rPr>
            </w:pPr>
            <w:r w:rsidRPr="00D36396">
              <w:rPr>
                <w:b/>
                <w:color w:val="000000" w:themeColor="text1"/>
                <w:lang w:val="uk-UA"/>
              </w:rPr>
              <w:t>Розподіл пенсіонерів за розмірами пенсій</w:t>
            </w:r>
          </w:p>
          <w:p w:rsidR="00110AE2" w:rsidRPr="00D36396" w:rsidRDefault="00110AE2" w:rsidP="004E6538">
            <w:pPr>
              <w:tabs>
                <w:tab w:val="left" w:pos="720"/>
              </w:tabs>
              <w:jc w:val="center"/>
              <w:rPr>
                <w:color w:val="000000" w:themeColor="text1"/>
                <w:lang w:val="uk-UA"/>
              </w:rPr>
            </w:pPr>
            <w:r w:rsidRPr="00D36396">
              <w:rPr>
                <w:bCs/>
                <w:color w:val="000000" w:themeColor="text1"/>
                <w:lang w:val="uk-UA"/>
              </w:rPr>
              <w:t>(у % до загальної чисельності пенсіонерів)</w:t>
            </w:r>
          </w:p>
          <w:p w:rsidR="00110AE2" w:rsidRPr="00D36396" w:rsidRDefault="00110AE2" w:rsidP="004E6538">
            <w:pPr>
              <w:tabs>
                <w:tab w:val="left" w:pos="720"/>
              </w:tabs>
              <w:spacing w:after="120"/>
              <w:jc w:val="center"/>
              <w:rPr>
                <w:b/>
                <w:color w:val="000000" w:themeColor="text1"/>
                <w:lang w:val="uk-UA"/>
              </w:rPr>
            </w:pPr>
            <w:r w:rsidRPr="00D36396">
              <w:rPr>
                <w:i/>
                <w:color w:val="000000" w:themeColor="text1"/>
                <w:lang w:val="uk-UA"/>
              </w:rPr>
              <w:t>Кількість пенсіонерів усіх категорій станом на 01.07.2012 – 1374,8  тис.</w:t>
            </w:r>
            <w:r w:rsidR="00AF2D75" w:rsidRPr="00D36396">
              <w:rPr>
                <w:i/>
                <w:color w:val="000000" w:themeColor="text1"/>
                <w:lang w:val="uk-UA"/>
              </w:rPr>
              <w:t xml:space="preserve"> </w:t>
            </w:r>
            <w:r w:rsidRPr="00D36396">
              <w:rPr>
                <w:i/>
                <w:color w:val="000000" w:themeColor="text1"/>
                <w:lang w:val="uk-UA"/>
              </w:rPr>
              <w:t>чол.</w:t>
            </w:r>
          </w:p>
        </w:tc>
      </w:tr>
      <w:tr w:rsidR="000C34ED" w:rsidRPr="00D36396" w:rsidTr="004E6538">
        <w:tc>
          <w:tcPr>
            <w:tcW w:w="9854" w:type="dxa"/>
          </w:tcPr>
          <w:p w:rsidR="000C34ED" w:rsidRPr="00D36396" w:rsidRDefault="00050D9A" w:rsidP="004E6538">
            <w:pPr>
              <w:tabs>
                <w:tab w:val="left" w:pos="720"/>
              </w:tabs>
              <w:spacing w:after="120"/>
              <w:jc w:val="center"/>
              <w:rPr>
                <w:b/>
                <w:color w:val="000000" w:themeColor="text1"/>
                <w:lang w:val="uk-UA"/>
              </w:rPr>
            </w:pPr>
            <w:r w:rsidRPr="00D36396">
              <w:rPr>
                <w:noProof/>
                <w:color w:val="000000" w:themeColor="text1"/>
              </w:rPr>
              <w:drawing>
                <wp:inline distT="0" distB="0" distL="0" distR="0">
                  <wp:extent cx="5787850" cy="2491991"/>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tab/>
        <w:t xml:space="preserve">Заборгованість до бюджету Пенсійного фонду станом на 01.07.2012 склала                  2210,1 </w:t>
      </w:r>
      <w:r w:rsidR="00B96CDF" w:rsidRPr="00D36396">
        <w:rPr>
          <w:color w:val="000000" w:themeColor="text1"/>
          <w:lang w:val="uk-UA"/>
        </w:rPr>
        <w:t>млн.грн.</w:t>
      </w:r>
      <w:r w:rsidRPr="00D36396">
        <w:rPr>
          <w:color w:val="000000" w:themeColor="text1"/>
          <w:lang w:val="uk-UA"/>
        </w:rPr>
        <w:t xml:space="preserve">, в тому числі борг по страхових внесках, пені та штрафних санкціях –              205,5 </w:t>
      </w:r>
      <w:r w:rsidR="00B96CDF" w:rsidRPr="00D36396">
        <w:rPr>
          <w:color w:val="000000" w:themeColor="text1"/>
          <w:lang w:val="uk-UA"/>
        </w:rPr>
        <w:t>млн.грн.</w:t>
      </w:r>
      <w:r w:rsidRPr="00D36396">
        <w:rPr>
          <w:color w:val="000000" w:themeColor="text1"/>
          <w:lang w:val="uk-UA"/>
        </w:rPr>
        <w:t xml:space="preserve">, по єдиному соціальному внеску – 129,6 </w:t>
      </w:r>
      <w:r w:rsidR="00B96CDF" w:rsidRPr="00D36396">
        <w:rPr>
          <w:color w:val="000000" w:themeColor="text1"/>
          <w:lang w:val="uk-UA"/>
        </w:rPr>
        <w:t>млн.грн.</w:t>
      </w:r>
      <w:r w:rsidRPr="00D36396">
        <w:rPr>
          <w:color w:val="000000" w:themeColor="text1"/>
          <w:lang w:val="uk-UA"/>
        </w:rPr>
        <w:t>, по невідшкодованих пільгових пенсіях за списком №1 – 1632,4 </w:t>
      </w:r>
      <w:r w:rsidR="00B96CDF" w:rsidRPr="00D36396">
        <w:rPr>
          <w:color w:val="000000" w:themeColor="text1"/>
          <w:lang w:val="uk-UA"/>
        </w:rPr>
        <w:t>млн.грн.</w:t>
      </w:r>
      <w:r w:rsidRPr="00D36396">
        <w:rPr>
          <w:color w:val="000000" w:themeColor="text1"/>
          <w:lang w:val="uk-UA"/>
        </w:rPr>
        <w:t xml:space="preserve">, за списком №2 – 219,6 </w:t>
      </w:r>
      <w:r w:rsidR="00B96CDF" w:rsidRPr="00D36396">
        <w:rPr>
          <w:color w:val="000000" w:themeColor="text1"/>
          <w:lang w:val="uk-UA"/>
        </w:rPr>
        <w:t>млн.грн.</w:t>
      </w:r>
      <w:r w:rsidRPr="00D36396">
        <w:rPr>
          <w:color w:val="000000" w:themeColor="text1"/>
          <w:lang w:val="uk-UA"/>
        </w:rPr>
        <w:t xml:space="preserve">, наукових пенсіях – 8,4 </w:t>
      </w:r>
      <w:r w:rsidR="00B96CDF" w:rsidRPr="00D36396">
        <w:rPr>
          <w:color w:val="000000" w:themeColor="text1"/>
          <w:lang w:val="uk-UA"/>
        </w:rPr>
        <w:t>млн.грн.</w:t>
      </w:r>
      <w:r w:rsidRPr="00D36396">
        <w:rPr>
          <w:color w:val="000000" w:themeColor="text1"/>
          <w:lang w:val="uk-UA"/>
        </w:rPr>
        <w:t>, регресних вимогах – 14,6 </w:t>
      </w:r>
      <w:r w:rsidR="00B96CDF" w:rsidRPr="00D36396">
        <w:rPr>
          <w:color w:val="000000" w:themeColor="text1"/>
          <w:lang w:val="uk-UA"/>
        </w:rPr>
        <w:t>млн.грн.</w:t>
      </w:r>
      <w:r w:rsidRPr="00D36396">
        <w:rPr>
          <w:color w:val="000000" w:themeColor="text1"/>
          <w:lang w:val="uk-UA"/>
        </w:rPr>
        <w:t xml:space="preserve"> </w:t>
      </w:r>
    </w:p>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tab/>
        <w:t xml:space="preserve">В структурі боргу по внесках 210,9 </w:t>
      </w:r>
      <w:r w:rsidR="00B96CDF" w:rsidRPr="00D36396">
        <w:rPr>
          <w:color w:val="000000" w:themeColor="text1"/>
          <w:lang w:val="uk-UA"/>
        </w:rPr>
        <w:t>млн.грн.</w:t>
      </w:r>
      <w:r w:rsidRPr="00D36396">
        <w:rPr>
          <w:color w:val="000000" w:themeColor="text1"/>
          <w:lang w:val="uk-UA"/>
        </w:rPr>
        <w:t xml:space="preserve">, або 62,9% складає заборгованість економічно активних підприємств, в тому числі 130,7 </w:t>
      </w:r>
      <w:r w:rsidR="00B96CDF" w:rsidRPr="00D36396">
        <w:rPr>
          <w:color w:val="000000" w:themeColor="text1"/>
          <w:lang w:val="uk-UA"/>
        </w:rPr>
        <w:t>млн.грн.</w:t>
      </w:r>
      <w:r w:rsidRPr="00D36396">
        <w:rPr>
          <w:color w:val="000000" w:themeColor="text1"/>
          <w:lang w:val="uk-UA"/>
        </w:rPr>
        <w:t xml:space="preserve"> належить підприємствам, які підпорядковані Міністерству енергетики та вугільної промисловості України.  </w:t>
      </w:r>
    </w:p>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tab/>
        <w:t xml:space="preserve">Кількість отримувачів пенсій через пенсійні рахунки в установах уповноважених банків порівняно з початком року збільшилась на 6,8 тис. осіб, або на 0,8% і склала </w:t>
      </w:r>
      <w:r w:rsidR="005537FB" w:rsidRPr="00D36396">
        <w:rPr>
          <w:color w:val="000000" w:themeColor="text1"/>
          <w:lang w:val="uk-UA"/>
        </w:rPr>
        <w:t xml:space="preserve">                </w:t>
      </w:r>
      <w:r w:rsidRPr="00D36396">
        <w:rPr>
          <w:color w:val="000000" w:themeColor="text1"/>
          <w:lang w:val="uk-UA"/>
        </w:rPr>
        <w:lastRenderedPageBreak/>
        <w:t xml:space="preserve">818,2 тис. осіб (58,1% загальної чисельності пенсіонерів), економія державних коштів склала                   77,6 </w:t>
      </w:r>
      <w:r w:rsidR="00B96CDF" w:rsidRPr="00D36396">
        <w:rPr>
          <w:color w:val="000000" w:themeColor="text1"/>
          <w:lang w:val="uk-UA"/>
        </w:rPr>
        <w:t>млн.грн.</w:t>
      </w:r>
    </w:p>
    <w:p w:rsidR="000C34ED" w:rsidRPr="00D36396" w:rsidRDefault="000C34ED" w:rsidP="000C34ED">
      <w:pPr>
        <w:tabs>
          <w:tab w:val="left" w:pos="720"/>
        </w:tabs>
        <w:spacing w:after="120"/>
        <w:jc w:val="both"/>
        <w:rPr>
          <w:color w:val="000000" w:themeColor="text1"/>
          <w:lang w:val="uk-UA"/>
        </w:rPr>
      </w:pPr>
      <w:r w:rsidRPr="00D36396">
        <w:rPr>
          <w:color w:val="000000" w:themeColor="text1"/>
          <w:lang w:val="uk-UA"/>
        </w:rPr>
        <w:tab/>
        <w:t xml:space="preserve">Продовжується робота по залученню населення до укладання договорів добровільного страхування. Станом на 01.07.2012 кількість діючих договорів складає       2980 одиниць. </w:t>
      </w:r>
    </w:p>
    <w:p w:rsidR="001D6671" w:rsidRPr="00D36396" w:rsidRDefault="001D6671" w:rsidP="001D6671">
      <w:pPr>
        <w:tabs>
          <w:tab w:val="left" w:pos="720"/>
        </w:tabs>
        <w:spacing w:after="120"/>
        <w:jc w:val="both"/>
        <w:rPr>
          <w:color w:val="000000" w:themeColor="text1"/>
          <w:lang w:val="uk-UA"/>
        </w:rPr>
      </w:pPr>
      <w:r w:rsidRPr="00D36396">
        <w:rPr>
          <w:color w:val="FF0000"/>
          <w:lang w:val="uk-UA"/>
        </w:rPr>
        <w:tab/>
      </w:r>
      <w:r w:rsidRPr="00D36396">
        <w:rPr>
          <w:color w:val="000000" w:themeColor="text1"/>
          <w:lang w:val="uk-UA"/>
        </w:rPr>
        <w:t xml:space="preserve">Основні зусилля в </w:t>
      </w:r>
      <w:r w:rsidRPr="00D36396">
        <w:rPr>
          <w:b/>
          <w:color w:val="000000" w:themeColor="text1"/>
          <w:lang w:val="uk-UA"/>
        </w:rPr>
        <w:t>реалізації заходів  по</w:t>
      </w:r>
      <w:r w:rsidRPr="00D36396">
        <w:rPr>
          <w:color w:val="000000" w:themeColor="text1"/>
          <w:lang w:val="uk-UA"/>
        </w:rPr>
        <w:t xml:space="preserve"> </w:t>
      </w:r>
      <w:r w:rsidRPr="00D36396">
        <w:rPr>
          <w:b/>
          <w:color w:val="000000" w:themeColor="text1"/>
          <w:lang w:val="uk-UA"/>
        </w:rPr>
        <w:t xml:space="preserve">підвищенню  життєвого рівня найбільш вразливих верств населення </w:t>
      </w:r>
      <w:r w:rsidRPr="00D36396">
        <w:rPr>
          <w:color w:val="000000" w:themeColor="text1"/>
          <w:lang w:val="uk-UA"/>
        </w:rPr>
        <w:t>направленні на здійснення адресної допомоги та забезпечення матеріальної підтримки малозабезпечених сімей, сімей з дітьми, дітей - інвалідів,                           дітей - сиріт та дітей, позбавлених батьківського піклування.</w:t>
      </w:r>
    </w:p>
    <w:p w:rsidR="001D6671" w:rsidRPr="00D36396" w:rsidRDefault="001D6671" w:rsidP="001D6671">
      <w:pPr>
        <w:tabs>
          <w:tab w:val="left" w:pos="720"/>
        </w:tabs>
        <w:spacing w:after="120"/>
        <w:jc w:val="both"/>
        <w:rPr>
          <w:color w:val="000000" w:themeColor="text1"/>
          <w:lang w:val="uk-UA"/>
        </w:rPr>
      </w:pPr>
      <w:r w:rsidRPr="00D36396">
        <w:rPr>
          <w:color w:val="000000" w:themeColor="text1"/>
          <w:lang w:val="uk-UA"/>
        </w:rPr>
        <w:tab/>
        <w:t>Адресну соціальну допомогу отримують майже 270 тис.  громадян цієї категорії. Для виплати допомоги в державному бюджеті передбачено 2,4 млрд. грн. В поточному році профінансовано понад 1,2 млрд. грн.</w:t>
      </w:r>
    </w:p>
    <w:p w:rsidR="001D6671" w:rsidRPr="00D36396" w:rsidRDefault="001D6671" w:rsidP="001D6671">
      <w:pPr>
        <w:tabs>
          <w:tab w:val="left" w:pos="720"/>
        </w:tabs>
        <w:spacing w:after="120"/>
        <w:jc w:val="both"/>
        <w:rPr>
          <w:color w:val="000000" w:themeColor="text1"/>
          <w:lang w:val="uk-UA"/>
        </w:rPr>
      </w:pPr>
      <w:r w:rsidRPr="00D36396">
        <w:rPr>
          <w:color w:val="000000" w:themeColor="text1"/>
          <w:lang w:val="uk-UA"/>
        </w:rPr>
        <w:tab/>
        <w:t xml:space="preserve">В області діють 30 дитячих будинків сімейного типу та 311 прийомних сімей. Батькам-вихователям і прийомним батькам надано державну соціальну допомогу на               дітей-сиріт та дітей, позбавлених батьківського піклування, за принципом </w:t>
      </w:r>
      <w:r w:rsidR="00B96CDF" w:rsidRPr="00D36396">
        <w:rPr>
          <w:color w:val="000000" w:themeColor="text1"/>
          <w:lang w:val="uk-UA"/>
        </w:rPr>
        <w:t>«</w:t>
      </w:r>
      <w:r w:rsidRPr="00D36396">
        <w:rPr>
          <w:color w:val="000000" w:themeColor="text1"/>
          <w:lang w:val="uk-UA"/>
        </w:rPr>
        <w:t>гроші ходять за дитиною</w:t>
      </w:r>
      <w:r w:rsidR="00B96CDF" w:rsidRPr="00D36396">
        <w:rPr>
          <w:color w:val="000000" w:themeColor="text1"/>
          <w:lang w:val="uk-UA"/>
        </w:rPr>
        <w:t>»</w:t>
      </w:r>
      <w:r w:rsidRPr="00D36396">
        <w:rPr>
          <w:color w:val="000000" w:themeColor="text1"/>
          <w:lang w:val="uk-UA"/>
        </w:rPr>
        <w:t xml:space="preserve"> на суму 10,8 </w:t>
      </w:r>
      <w:r w:rsidR="00B96CDF" w:rsidRPr="00D36396">
        <w:rPr>
          <w:color w:val="000000" w:themeColor="text1"/>
          <w:lang w:val="uk-UA"/>
        </w:rPr>
        <w:t>млн.грн.</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За рахунок коштів обласного бюджету надавалась щомісячна допомога учням професійно-технічних навчальних закладів, студентам вищих навчальних закладів 1-4 рівня акредитації з числа дітей-сиріт та дітей, позбавлених батьківського піклування. В поточному році допомогу отримають понад 3,0 тис. дітей на суму 3,6 </w:t>
      </w:r>
      <w:r w:rsidR="00B96CDF" w:rsidRPr="00D36396">
        <w:rPr>
          <w:color w:val="000000" w:themeColor="text1"/>
          <w:lang w:val="uk-UA"/>
        </w:rPr>
        <w:t>млн.грн.</w:t>
      </w:r>
      <w:r w:rsidRPr="00D36396">
        <w:rPr>
          <w:color w:val="000000" w:themeColor="text1"/>
          <w:lang w:val="uk-UA"/>
        </w:rPr>
        <w:t xml:space="preserve"> За І півріччя </w:t>
      </w:r>
      <w:r w:rsidR="005537FB" w:rsidRPr="00D36396">
        <w:rPr>
          <w:color w:val="000000" w:themeColor="text1"/>
          <w:lang w:val="uk-UA"/>
        </w:rPr>
        <w:t xml:space="preserve">поточного року </w:t>
      </w:r>
      <w:r w:rsidRPr="00D36396">
        <w:rPr>
          <w:color w:val="000000" w:themeColor="text1"/>
          <w:lang w:val="uk-UA"/>
        </w:rPr>
        <w:t xml:space="preserve">профінансовано 1,6 </w:t>
      </w:r>
      <w:r w:rsidR="00B96CDF" w:rsidRPr="00D36396">
        <w:rPr>
          <w:color w:val="000000" w:themeColor="text1"/>
          <w:lang w:val="uk-UA"/>
        </w:rPr>
        <w:t>млн.грн.</w:t>
      </w:r>
    </w:p>
    <w:p w:rsidR="001D6671" w:rsidRPr="00D36396" w:rsidRDefault="001D6671" w:rsidP="001D6671">
      <w:pPr>
        <w:tabs>
          <w:tab w:val="left" w:pos="720"/>
        </w:tabs>
        <w:spacing w:before="120" w:after="120"/>
        <w:ind w:firstLine="720"/>
        <w:jc w:val="both"/>
        <w:rPr>
          <w:color w:val="000000" w:themeColor="text1"/>
          <w:lang w:val="uk-UA"/>
        </w:rPr>
      </w:pPr>
      <w:r w:rsidRPr="00D36396">
        <w:rPr>
          <w:color w:val="000000" w:themeColor="text1"/>
          <w:lang w:val="uk-UA"/>
        </w:rPr>
        <w:t xml:space="preserve">Обсяг пільг та житлових субсидій на оплату житлово-комунальних послуг та придбання твердого та рідкого пічного побутового палива і скрапленого газу на 2012 рік складає 982,8 </w:t>
      </w:r>
      <w:r w:rsidR="00B96CDF" w:rsidRPr="00D36396">
        <w:rPr>
          <w:color w:val="000000" w:themeColor="text1"/>
          <w:lang w:val="uk-UA"/>
        </w:rPr>
        <w:t>млн.грн.</w:t>
      </w:r>
      <w:r w:rsidRPr="00D36396">
        <w:rPr>
          <w:color w:val="000000" w:themeColor="text1"/>
          <w:lang w:val="uk-UA"/>
        </w:rPr>
        <w:t xml:space="preserve">, з яких профінансовано 511,6 </w:t>
      </w:r>
      <w:r w:rsidR="00B96CDF" w:rsidRPr="00D36396">
        <w:rPr>
          <w:color w:val="000000" w:themeColor="text1"/>
          <w:lang w:val="uk-UA"/>
        </w:rPr>
        <w:t>млн.грн.</w:t>
      </w:r>
      <w:r w:rsidRPr="00D36396">
        <w:rPr>
          <w:color w:val="000000" w:themeColor="text1"/>
          <w:lang w:val="uk-UA"/>
        </w:rPr>
        <w:t xml:space="preserve"> або 52%. </w:t>
      </w:r>
    </w:p>
    <w:p w:rsidR="001D6671" w:rsidRPr="00D36396" w:rsidRDefault="001D6671" w:rsidP="001D6671">
      <w:pPr>
        <w:tabs>
          <w:tab w:val="left" w:pos="720"/>
        </w:tabs>
        <w:spacing w:before="120" w:after="120"/>
        <w:ind w:firstLine="720"/>
        <w:jc w:val="both"/>
        <w:rPr>
          <w:color w:val="000000" w:themeColor="text1"/>
          <w:lang w:val="uk-UA"/>
        </w:rPr>
      </w:pPr>
      <w:r w:rsidRPr="00D36396">
        <w:rPr>
          <w:color w:val="000000" w:themeColor="text1"/>
          <w:lang w:val="uk-UA"/>
        </w:rPr>
        <w:t xml:space="preserve">Станом на 01.07.2012 року пільги та субсидії на оплату житлово-комунальних послуг отримали 561,6 тис. сімей (на 01.01.2012 цей контингент складав 774,6 тис. сімей). За шість місяців поточного року до управлінь праці та соціального захисту населення для забезпечення пільговим твердим побутовим паливом звернулось 25,4 тис. осіб, скрапленим газом –  9,0 тис. осіб.  </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Відповідно до Гірничого закону України у відділення банків на особові рахунки заявників перераховано компенсацію за оплату електроенергії, природного газу та центрального опалення житла по 185,3 тис. звернень  на загальну суму 36,3 </w:t>
      </w:r>
      <w:r w:rsidR="00B96CDF" w:rsidRPr="00D36396">
        <w:rPr>
          <w:color w:val="000000" w:themeColor="text1"/>
          <w:lang w:val="uk-UA"/>
        </w:rPr>
        <w:t>млн.грн.</w:t>
      </w:r>
      <w:r w:rsidRPr="00D36396">
        <w:rPr>
          <w:color w:val="000000" w:themeColor="text1"/>
          <w:lang w:val="uk-UA"/>
        </w:rPr>
        <w:t xml:space="preserve"> Щомісяця за компенсацією звертається у середньому  більше ніж 36,1тис. осіб, в тому числі 9,1 тис. працівників.    </w:t>
      </w:r>
    </w:p>
    <w:p w:rsidR="001D6671" w:rsidRPr="00D36396" w:rsidRDefault="001D6671" w:rsidP="001D6671">
      <w:pPr>
        <w:tabs>
          <w:tab w:val="left" w:pos="720"/>
        </w:tabs>
        <w:spacing w:before="120" w:after="120"/>
        <w:ind w:firstLine="720"/>
        <w:jc w:val="both"/>
        <w:rPr>
          <w:color w:val="000000" w:themeColor="text1"/>
          <w:lang w:val="uk-UA"/>
        </w:rPr>
      </w:pPr>
      <w:r w:rsidRPr="00D36396">
        <w:rPr>
          <w:color w:val="000000" w:themeColor="text1"/>
          <w:lang w:val="uk-UA"/>
        </w:rPr>
        <w:t xml:space="preserve">Через систему соціального захисту населення області здійснюється підтримка ветеранів війни, громадян, які постраждали внаслідок аварії на ЧАЕС, членів сімей померлих або загиблих ветеранів війни, дітей війни, ветеранів праці, осіб, які мають особливі заслуги                                                                                                                                                                                   перед Батьківщиною. Державним бюджетом України на 2012 рік для Донецької області передбачено 147,2 </w:t>
      </w:r>
      <w:r w:rsidR="00B96CDF" w:rsidRPr="00D36396">
        <w:rPr>
          <w:color w:val="000000" w:themeColor="text1"/>
          <w:lang w:val="uk-UA"/>
        </w:rPr>
        <w:t>млн.грн.</w:t>
      </w:r>
      <w:r w:rsidRPr="00D36396">
        <w:rPr>
          <w:color w:val="000000" w:themeColor="text1"/>
          <w:lang w:val="uk-UA"/>
        </w:rPr>
        <w:t xml:space="preserve">, профінансовано – 104,4 </w:t>
      </w:r>
      <w:r w:rsidR="00B96CDF" w:rsidRPr="00D36396">
        <w:rPr>
          <w:color w:val="000000" w:themeColor="text1"/>
          <w:lang w:val="uk-UA"/>
        </w:rPr>
        <w:t>млн.грн.</w:t>
      </w:r>
      <w:r w:rsidRPr="00D36396">
        <w:rPr>
          <w:color w:val="000000" w:themeColor="text1"/>
          <w:lang w:val="uk-UA"/>
        </w:rPr>
        <w:t>, або 70,9 %.</w:t>
      </w:r>
    </w:p>
    <w:p w:rsidR="001D6671" w:rsidRPr="00D36396" w:rsidRDefault="001D6671" w:rsidP="001D6671">
      <w:pPr>
        <w:tabs>
          <w:tab w:val="left" w:pos="720"/>
        </w:tabs>
        <w:spacing w:before="120" w:after="120"/>
        <w:ind w:firstLine="720"/>
        <w:jc w:val="both"/>
        <w:rPr>
          <w:color w:val="000000" w:themeColor="text1"/>
          <w:lang w:val="uk-UA"/>
        </w:rPr>
      </w:pPr>
      <w:r w:rsidRPr="00D36396">
        <w:rPr>
          <w:color w:val="000000" w:themeColor="text1"/>
          <w:lang w:val="uk-UA"/>
        </w:rPr>
        <w:t xml:space="preserve">Відповідно до соціальних ініціатив Президента України у поточному році виплата разової грошової допомоги до Дня Перемоги здійснювалася в підвищених розмірах.  Допомогу  отримали 157,7 тис. ветеранів війни на загальну суму 62,2 </w:t>
      </w:r>
      <w:r w:rsidR="00B96CDF" w:rsidRPr="00D36396">
        <w:rPr>
          <w:color w:val="000000" w:themeColor="text1"/>
          <w:lang w:val="uk-UA"/>
        </w:rPr>
        <w:t>млн.грн.</w:t>
      </w:r>
    </w:p>
    <w:p w:rsidR="001D6671" w:rsidRPr="00D36396" w:rsidRDefault="001D6671" w:rsidP="001D6671">
      <w:pPr>
        <w:tabs>
          <w:tab w:val="left" w:pos="720"/>
        </w:tabs>
        <w:spacing w:before="120" w:after="120"/>
        <w:ind w:firstLine="720"/>
        <w:jc w:val="both"/>
        <w:rPr>
          <w:color w:val="000000" w:themeColor="text1"/>
          <w:lang w:val="uk-UA"/>
        </w:rPr>
      </w:pPr>
      <w:r w:rsidRPr="00D36396">
        <w:rPr>
          <w:color w:val="000000" w:themeColor="text1"/>
          <w:lang w:val="uk-UA"/>
        </w:rPr>
        <w:t xml:space="preserve">В поточному році Указами Президента України 78 жінкам присвоєно почесне звання </w:t>
      </w:r>
      <w:r w:rsidR="00B96CDF" w:rsidRPr="00D36396">
        <w:rPr>
          <w:color w:val="000000" w:themeColor="text1"/>
          <w:lang w:val="uk-UA"/>
        </w:rPr>
        <w:t>«</w:t>
      </w:r>
      <w:r w:rsidRPr="00D36396">
        <w:rPr>
          <w:color w:val="000000" w:themeColor="text1"/>
          <w:lang w:val="uk-UA"/>
        </w:rPr>
        <w:t>Мати-героїня</w:t>
      </w:r>
      <w:r w:rsidR="00B96CDF" w:rsidRPr="00D36396">
        <w:rPr>
          <w:color w:val="000000" w:themeColor="text1"/>
          <w:lang w:val="uk-UA"/>
        </w:rPr>
        <w:t>»</w:t>
      </w:r>
      <w:r w:rsidRPr="00D36396">
        <w:rPr>
          <w:color w:val="000000" w:themeColor="text1"/>
          <w:lang w:val="uk-UA"/>
        </w:rPr>
        <w:t xml:space="preserve">. В </w:t>
      </w:r>
      <w:r w:rsidR="00210EF1" w:rsidRPr="00D36396">
        <w:rPr>
          <w:color w:val="000000" w:themeColor="text1"/>
          <w:lang w:val="uk-UA"/>
        </w:rPr>
        <w:t>першому</w:t>
      </w:r>
      <w:r w:rsidRPr="00D36396">
        <w:rPr>
          <w:color w:val="000000" w:themeColor="text1"/>
          <w:lang w:val="uk-UA"/>
        </w:rPr>
        <w:t xml:space="preserve"> півріччі 2012 року одноразова виплата жінкам здійснена в повному обсязі (836,9 тис. грн.).</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lastRenderedPageBreak/>
        <w:t>В установах системи органів праці та соціального захисту населення на обліку перебуває 23,2 тис. чол. громадян, які постраждали внаслідок Чорнобильської катастрофи,          з яких більше 7,0 тис. чол. – інваліди.</w:t>
      </w:r>
    </w:p>
    <w:p w:rsidR="001D6671" w:rsidRPr="00D36396" w:rsidRDefault="001D6671" w:rsidP="001D6671">
      <w:pPr>
        <w:spacing w:before="120" w:after="120"/>
        <w:ind w:firstLine="709"/>
        <w:jc w:val="both"/>
        <w:rPr>
          <w:color w:val="000000" w:themeColor="text1"/>
          <w:lang w:val="uk-UA"/>
        </w:rPr>
      </w:pPr>
      <w:r w:rsidRPr="00D36396">
        <w:rPr>
          <w:color w:val="000000" w:themeColor="text1"/>
          <w:lang w:val="uk-UA"/>
        </w:rPr>
        <w:t xml:space="preserve">Для надання пільг на медичне обслуговування цих громадян на 2012 рік передбачено 1,4 </w:t>
      </w:r>
      <w:r w:rsidR="00B96CDF" w:rsidRPr="00D36396">
        <w:rPr>
          <w:color w:val="000000" w:themeColor="text1"/>
          <w:lang w:val="uk-UA"/>
        </w:rPr>
        <w:t>млн.грн.</w:t>
      </w:r>
      <w:r w:rsidRPr="00D36396">
        <w:rPr>
          <w:color w:val="000000" w:themeColor="text1"/>
          <w:lang w:val="uk-UA"/>
        </w:rPr>
        <w:t xml:space="preserve"> За І півріччя поточного року профінансовано 679,1 тис. грн., що складає 48,5%.</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 В області реалізується загальнодержавна програма соціального захисту громадян, які постраждали внаслідок аварії на ЧАЕС, на фінансування якої в бюджеті передбачено         63,3 </w:t>
      </w:r>
      <w:r w:rsidR="00B96CDF" w:rsidRPr="00D36396">
        <w:rPr>
          <w:color w:val="000000" w:themeColor="text1"/>
          <w:lang w:val="uk-UA"/>
        </w:rPr>
        <w:t>млн.грн.</w:t>
      </w:r>
      <w:r w:rsidRPr="00D36396">
        <w:rPr>
          <w:color w:val="000000" w:themeColor="text1"/>
          <w:lang w:val="uk-UA"/>
        </w:rPr>
        <w:t xml:space="preserve"> Протягом І півріччя поточного року профінансовано 31,9 </w:t>
      </w:r>
      <w:r w:rsidR="00B96CDF" w:rsidRPr="00D36396">
        <w:rPr>
          <w:color w:val="000000" w:themeColor="text1"/>
          <w:lang w:val="uk-UA"/>
        </w:rPr>
        <w:t>млн.грн.</w:t>
      </w:r>
      <w:r w:rsidRPr="00D36396">
        <w:rPr>
          <w:color w:val="000000" w:themeColor="text1"/>
          <w:lang w:val="uk-UA"/>
        </w:rPr>
        <w:t xml:space="preserve"> або 50,4%.</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За програмами соціального захисту громадян, які постраждали внаслідок аварії на ЧАЕС, оздоровлено 144 чол. (з них 4 дітей) в санаторно – курортних закладах  Львівської, Одеської, Київської, Харківської, Запорізької областей та Автономної республіки Крим.</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На черзі для забезпечення санаторно-курортним лікуванням перебуває 5,3 тис. чол. ветеранів війни, з них в поточному році оздоровлено 1,0 тис. чол., та 18,0 тис. чол. інвалідів, з яких оздоровлено 0,6 тис. чол. </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За шість місяців поточного року на виплату компенсації замість санаторно-курортних путівок в область надійшло 0,4 </w:t>
      </w:r>
      <w:r w:rsidR="00B96CDF" w:rsidRPr="00D36396">
        <w:rPr>
          <w:color w:val="000000" w:themeColor="text1"/>
          <w:lang w:val="uk-UA"/>
        </w:rPr>
        <w:t>млн.грн.</w:t>
      </w:r>
      <w:r w:rsidRPr="00D36396">
        <w:rPr>
          <w:color w:val="000000" w:themeColor="text1"/>
          <w:lang w:val="uk-UA"/>
        </w:rPr>
        <w:t xml:space="preserve"> (100%  від запланованих асигнувань на зазначений період).</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Відповідно до соціальних ініціатив Президента України з 1 травня 2012 року збільшено до розміру мінімальної заробітної плати державну соціальну допомоги малозабезпеченим особам, які здійснюють догляд за психічно хворими. За І півріччя поточного року профінансовано 614,2 тис. грн.</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В системі соціального захисту населення області працюють 20 центрів соціальної реабілітації дітей-інвалідів. Протягом </w:t>
      </w:r>
      <w:r w:rsidR="00210EF1" w:rsidRPr="00D36396">
        <w:rPr>
          <w:color w:val="000000" w:themeColor="text1"/>
          <w:lang w:val="uk-UA"/>
        </w:rPr>
        <w:t>першого</w:t>
      </w:r>
      <w:r w:rsidRPr="00D36396">
        <w:rPr>
          <w:color w:val="000000" w:themeColor="text1"/>
          <w:lang w:val="uk-UA"/>
        </w:rPr>
        <w:t xml:space="preserve"> півріччя 2012 року в зазначених центрах отримали реабілітаційні послуги 585 дітей – інвалідів.</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Для отримання інвалідами конкурентоспроможної робітничої професії, підвищення рівня їх професійної підготовки діє Донбаський міжрегіональний центр професійної реабілітації інвалідів у Краматорську. За І півріччя поточного року пройшли відповідну професійну реабілітацію  41 особа.</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Потреба інвалідів області в технічних та інших засобах реабілітації на 2012 рік складає  16,7 тис.  од., в тому числі  3,8  тис. інвалідних візків. </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Органами праці та соціального захисту населення впроваджується новий механізм забезпечення засобами реабілітації шляхом направлення замовлень інвалідів безпосередньо до бази даних підприємств –</w:t>
      </w:r>
      <w:r w:rsidR="0075584D" w:rsidRPr="00D36396">
        <w:rPr>
          <w:color w:val="000000" w:themeColor="text1"/>
          <w:lang w:val="uk-UA"/>
        </w:rPr>
        <w:t xml:space="preserve"> </w:t>
      </w:r>
      <w:r w:rsidRPr="00D36396">
        <w:rPr>
          <w:color w:val="000000" w:themeColor="text1"/>
          <w:lang w:val="uk-UA"/>
        </w:rPr>
        <w:t>виробників. Даний механізм дозволить інваліду у короткий термін отримувати той засіб реабілітації, який він самостійно вибрав по каталогу.</w:t>
      </w:r>
    </w:p>
    <w:p w:rsidR="001D6671" w:rsidRPr="00D36396" w:rsidRDefault="001D6671" w:rsidP="001D6671">
      <w:pPr>
        <w:autoSpaceDE w:val="0"/>
        <w:autoSpaceDN w:val="0"/>
        <w:spacing w:before="120" w:after="120"/>
        <w:ind w:firstLine="720"/>
        <w:jc w:val="both"/>
        <w:rPr>
          <w:color w:val="000000" w:themeColor="text1"/>
          <w:lang w:val="uk-UA"/>
        </w:rPr>
      </w:pPr>
      <w:r w:rsidRPr="00D36396">
        <w:rPr>
          <w:color w:val="000000" w:themeColor="text1"/>
          <w:lang w:val="uk-UA"/>
        </w:rPr>
        <w:t xml:space="preserve">Згідно з соціальними ініціативами Президента України до 1 вересня поточного року планується забезпечити кріслами колісними всіх інвалідів, що потребують даний засіб реабілітації. </w:t>
      </w:r>
    </w:p>
    <w:p w:rsidR="001D6671" w:rsidRPr="00D36396" w:rsidRDefault="001D6671" w:rsidP="001D6671">
      <w:pPr>
        <w:pStyle w:val="12"/>
        <w:spacing w:after="120"/>
        <w:ind w:firstLine="709"/>
        <w:jc w:val="both"/>
        <w:rPr>
          <w:color w:val="000000" w:themeColor="text1"/>
          <w:szCs w:val="24"/>
          <w:lang w:val="uk-UA"/>
        </w:rPr>
      </w:pPr>
      <w:r w:rsidRPr="00D36396">
        <w:rPr>
          <w:color w:val="000000" w:themeColor="text1"/>
          <w:szCs w:val="24"/>
          <w:lang w:val="uk-UA"/>
        </w:rPr>
        <w:t xml:space="preserve">Грошові компенсації на бензин, ремонт і технічне обслуговування автомобілів виплачено 3,6 тис. осіб на загальну суму 287,5 тис. грн. </w:t>
      </w:r>
    </w:p>
    <w:p w:rsidR="001D6671" w:rsidRPr="00D36396" w:rsidRDefault="001D6671" w:rsidP="001D6671">
      <w:pPr>
        <w:pStyle w:val="12"/>
        <w:spacing w:after="120"/>
        <w:ind w:firstLine="709"/>
        <w:jc w:val="both"/>
        <w:rPr>
          <w:color w:val="000000" w:themeColor="text1"/>
          <w:szCs w:val="24"/>
          <w:lang w:val="uk-UA"/>
        </w:rPr>
      </w:pPr>
      <w:r w:rsidRPr="00D36396">
        <w:rPr>
          <w:color w:val="000000" w:themeColor="text1"/>
          <w:szCs w:val="24"/>
          <w:lang w:val="uk-UA"/>
        </w:rPr>
        <w:t xml:space="preserve">Соціальне обслуговування громадян похилого віку та одиноких непрацездатних громадян здійснювали 63 територіальних центри. В їх структурі працюють 221 відділень, на обслуговуванні яких знаходиться понад 101,2 тис. осіб. </w:t>
      </w:r>
    </w:p>
    <w:p w:rsidR="001D6671" w:rsidRPr="00D36396" w:rsidRDefault="001D6671" w:rsidP="001D6671">
      <w:pPr>
        <w:ind w:firstLine="601"/>
        <w:contextualSpacing/>
        <w:jc w:val="both"/>
        <w:rPr>
          <w:color w:val="000000" w:themeColor="text1"/>
          <w:lang w:val="uk-UA"/>
        </w:rPr>
      </w:pPr>
      <w:r w:rsidRPr="00D36396">
        <w:rPr>
          <w:color w:val="000000" w:themeColor="text1"/>
          <w:lang w:val="uk-UA"/>
        </w:rPr>
        <w:t xml:space="preserve">В системі праці та соціального захисту населення області функціонує 21 будинок-інтернат, серед яких 10 – для громадян із психоневрологічними захворюваннями, 9 – для громадян похилого віку, інвалідів, ветеранів війни та праці, 2 – для дітей-інвалідів з вадами психічного та розумового розвитку. На повному державному утриманні в них знаходиться </w:t>
      </w:r>
      <w:r w:rsidRPr="00D36396">
        <w:rPr>
          <w:color w:val="000000" w:themeColor="text1"/>
          <w:lang w:val="uk-UA"/>
        </w:rPr>
        <w:lastRenderedPageBreak/>
        <w:t>понад 6,0 тис. громадян похилого віку та інвалідів.</w:t>
      </w:r>
      <w:r w:rsidRPr="00D36396">
        <w:rPr>
          <w:color w:val="000000" w:themeColor="text1"/>
          <w:sz w:val="28"/>
          <w:szCs w:val="28"/>
          <w:lang w:val="uk-UA"/>
        </w:rPr>
        <w:t xml:space="preserve"> </w:t>
      </w:r>
      <w:r w:rsidRPr="00D36396">
        <w:rPr>
          <w:color w:val="000000" w:themeColor="text1"/>
          <w:lang w:val="uk-UA"/>
        </w:rPr>
        <w:t xml:space="preserve">Для утримання будинків-інтернатів                в обласному бюджеті на 2012 рік передбачено 218,6 </w:t>
      </w:r>
      <w:r w:rsidR="00B96CDF" w:rsidRPr="00D36396">
        <w:rPr>
          <w:color w:val="000000" w:themeColor="text1"/>
          <w:lang w:val="uk-UA"/>
        </w:rPr>
        <w:t>млн.грн.</w:t>
      </w:r>
      <w:r w:rsidRPr="00D36396">
        <w:rPr>
          <w:color w:val="000000" w:themeColor="text1"/>
          <w:lang w:val="uk-UA"/>
        </w:rPr>
        <w:t xml:space="preserve">, профінансовано –                         100,6 </w:t>
      </w:r>
      <w:r w:rsidR="00B96CDF" w:rsidRPr="00D36396">
        <w:rPr>
          <w:color w:val="000000" w:themeColor="text1"/>
          <w:lang w:val="uk-UA"/>
        </w:rPr>
        <w:t>млн.грн.</w:t>
      </w:r>
      <w:r w:rsidRPr="00D36396">
        <w:rPr>
          <w:color w:val="000000" w:themeColor="text1"/>
          <w:lang w:val="uk-UA"/>
        </w:rPr>
        <w:t xml:space="preserve"> (в повному обсязі від запланованих асигнувань на відповідний період).</w:t>
      </w:r>
    </w:p>
    <w:p w:rsidR="000C34ED" w:rsidRPr="00D36396" w:rsidRDefault="000C34ED" w:rsidP="000C34ED">
      <w:pPr>
        <w:spacing w:before="120" w:after="120"/>
        <w:ind w:firstLine="709"/>
        <w:jc w:val="both"/>
        <w:rPr>
          <w:color w:val="000000" w:themeColor="text1"/>
          <w:lang w:val="uk-UA"/>
        </w:rPr>
      </w:pPr>
      <w:r w:rsidRPr="00D36396">
        <w:rPr>
          <w:b/>
          <w:color w:val="000000" w:themeColor="text1"/>
          <w:lang w:val="uk-UA"/>
        </w:rPr>
        <w:t>Чисельність безробітних</w:t>
      </w:r>
      <w:r w:rsidRPr="00D36396">
        <w:rPr>
          <w:color w:val="000000" w:themeColor="text1"/>
          <w:lang w:val="uk-UA"/>
        </w:rPr>
        <w:t xml:space="preserve"> у віці 15-70 років за січень-березень 2012 року порівняно  з відповідним періодом 2011 року зменшилась на 6,7 тис. осіб, або на 3,3% і склала 193,4 тис. осіб. Рівень безробіття, визначений за методологією Міжнародної Організації Праці, становив 9,0%. </w:t>
      </w:r>
    </w:p>
    <w:p w:rsidR="000C34ED" w:rsidRPr="00D36396" w:rsidRDefault="000C34ED" w:rsidP="000C34ED">
      <w:pPr>
        <w:spacing w:before="120" w:after="120"/>
        <w:ind w:firstLine="709"/>
        <w:jc w:val="both"/>
        <w:rPr>
          <w:color w:val="000000" w:themeColor="text1"/>
          <w:lang w:val="uk-UA"/>
        </w:rPr>
      </w:pPr>
      <w:r w:rsidRPr="00D36396">
        <w:rPr>
          <w:color w:val="000000" w:themeColor="text1"/>
          <w:lang w:val="uk-UA"/>
        </w:rPr>
        <w:t>Чисельність осіб, які шукали роботу за сприянням державної служби зайнятості протягом січня-червня 2012 року, склала 68,1 тис. осіб, що на 13,8 тис. осіб, або  на 16,9% менше, ніж  за  січень-червень 2011 року.</w:t>
      </w:r>
    </w:p>
    <w:p w:rsidR="000C34ED" w:rsidRPr="00D36396" w:rsidRDefault="000C34ED" w:rsidP="000C34ED">
      <w:pPr>
        <w:spacing w:before="120" w:after="120"/>
        <w:ind w:firstLine="709"/>
        <w:jc w:val="both"/>
        <w:rPr>
          <w:color w:val="000000" w:themeColor="text1"/>
          <w:lang w:val="uk-UA"/>
        </w:rPr>
      </w:pPr>
      <w:r w:rsidRPr="00D36396">
        <w:rPr>
          <w:color w:val="000000" w:themeColor="text1"/>
          <w:lang w:val="uk-UA"/>
        </w:rPr>
        <w:t xml:space="preserve">Чисельність незайнятих громадян, які перебували на обліку в державній службі зайнятості  на кінець червня 2012 року, склала 29,3 тис. осіб, що на 3,1%, або на </w:t>
      </w:r>
      <w:r w:rsidR="00B96CDF" w:rsidRPr="00D36396">
        <w:rPr>
          <w:color w:val="000000" w:themeColor="text1"/>
          <w:lang w:val="uk-UA"/>
        </w:rPr>
        <w:t xml:space="preserve">882 чол. більше, ніж на кінець </w:t>
      </w:r>
      <w:r w:rsidRPr="00D36396">
        <w:rPr>
          <w:color w:val="000000" w:themeColor="text1"/>
          <w:lang w:val="uk-UA"/>
        </w:rPr>
        <w:t>2011 року (28,4 тис.чол.).</w:t>
      </w:r>
    </w:p>
    <w:p w:rsidR="000C34ED" w:rsidRPr="00D36396" w:rsidRDefault="000C34ED" w:rsidP="000C34ED">
      <w:pPr>
        <w:spacing w:before="120" w:after="120"/>
        <w:ind w:firstLine="709"/>
        <w:jc w:val="both"/>
        <w:rPr>
          <w:color w:val="000000" w:themeColor="text1"/>
          <w:lang w:val="uk-UA"/>
        </w:rPr>
      </w:pPr>
      <w:r w:rsidRPr="00D36396">
        <w:rPr>
          <w:color w:val="000000" w:themeColor="text1"/>
          <w:lang w:val="uk-UA"/>
        </w:rPr>
        <w:t xml:space="preserve"> Чисельність безробітних порівняно з чисельністю на кінець 2011 року (27,5 тис.</w:t>
      </w:r>
      <w:r w:rsidR="00B96108" w:rsidRPr="00D36396">
        <w:rPr>
          <w:color w:val="000000" w:themeColor="text1"/>
          <w:lang w:val="uk-UA"/>
        </w:rPr>
        <w:t xml:space="preserve"> </w:t>
      </w:r>
      <w:r w:rsidRPr="00D36396">
        <w:rPr>
          <w:color w:val="000000" w:themeColor="text1"/>
          <w:lang w:val="uk-UA"/>
        </w:rPr>
        <w:t>чол.) збільшилась на 2,3% і станом на 01.07.2012 склала 28,1 тис.</w:t>
      </w:r>
      <w:r w:rsidR="00B96108" w:rsidRPr="00D36396">
        <w:rPr>
          <w:color w:val="000000" w:themeColor="text1"/>
          <w:lang w:val="uk-UA"/>
        </w:rPr>
        <w:t xml:space="preserve"> </w:t>
      </w:r>
      <w:r w:rsidRPr="00D36396">
        <w:rPr>
          <w:color w:val="000000" w:themeColor="text1"/>
          <w:lang w:val="uk-UA"/>
        </w:rPr>
        <w:t xml:space="preserve">чол. Допомогу по безробіттю було призначено 21,0 тис. осіб. Середній розмір допомоги по безробіттю у червні 2012 року складав 1146 грн. </w:t>
      </w:r>
    </w:p>
    <w:p w:rsidR="000C34ED" w:rsidRPr="00D36396" w:rsidRDefault="000C34ED" w:rsidP="000C34ED">
      <w:pPr>
        <w:spacing w:before="120" w:after="120"/>
        <w:ind w:firstLine="709"/>
        <w:jc w:val="both"/>
        <w:rPr>
          <w:color w:val="000000" w:themeColor="text1"/>
          <w:lang w:val="uk-UA"/>
        </w:rPr>
      </w:pPr>
      <w:r w:rsidRPr="00D36396">
        <w:rPr>
          <w:color w:val="000000" w:themeColor="text1"/>
          <w:lang w:val="uk-UA"/>
        </w:rPr>
        <w:t>Рівень зареєстрованого безробіття на 01.07.2012 склав 1,1 % населення працездатного віку (на 01.07.2011 – 1,2%).</w:t>
      </w:r>
    </w:p>
    <w:p w:rsidR="000C34ED" w:rsidRPr="00D36396" w:rsidRDefault="000C34ED" w:rsidP="000C34ED">
      <w:pPr>
        <w:spacing w:before="120" w:after="120"/>
        <w:ind w:firstLine="709"/>
        <w:jc w:val="both"/>
        <w:rPr>
          <w:color w:val="000000" w:themeColor="text1"/>
          <w:lang w:val="uk-UA"/>
        </w:rPr>
      </w:pPr>
      <w:r w:rsidRPr="00D36396">
        <w:rPr>
          <w:color w:val="000000" w:themeColor="text1"/>
          <w:lang w:val="uk-UA"/>
        </w:rPr>
        <w:t xml:space="preserve">Протягом січня-червня 2012 року в області ліквідовано 31,0 тис. робочих місць,  створено 51,0 тис. нових робочих місць, що складає 70,7% до завдання на рік . </w:t>
      </w:r>
    </w:p>
    <w:p w:rsidR="000C34ED" w:rsidRPr="00D36396" w:rsidRDefault="00A4675C" w:rsidP="000C34ED">
      <w:pPr>
        <w:spacing w:before="120" w:after="120"/>
        <w:ind w:firstLine="709"/>
        <w:jc w:val="both"/>
        <w:rPr>
          <w:color w:val="000000" w:themeColor="text1"/>
          <w:lang w:val="uk-UA"/>
        </w:rPr>
      </w:pPr>
      <w:r w:rsidRPr="00D36396">
        <w:rPr>
          <w:color w:val="000000" w:themeColor="text1"/>
          <w:lang w:val="uk-UA"/>
        </w:rPr>
        <w:t>Кількість</w:t>
      </w:r>
      <w:r w:rsidR="000C34ED" w:rsidRPr="00D36396">
        <w:rPr>
          <w:color w:val="000000" w:themeColor="text1"/>
          <w:lang w:val="uk-UA"/>
        </w:rPr>
        <w:t xml:space="preserve"> вільних робочих місць (вакансій), зареєстрованих у службі зайнятості, збільшилось порівняно з даними на 01.07.2011 на 39,0% і станом на 01.07.2012 склало 7,8 тис. На кожне вільне робоче місце претендують 4 особи. </w:t>
      </w:r>
    </w:p>
    <w:p w:rsidR="000C34ED" w:rsidRPr="00D36396" w:rsidRDefault="000C34ED" w:rsidP="000C34ED">
      <w:pPr>
        <w:spacing w:before="120" w:after="120"/>
        <w:ind w:firstLine="709"/>
        <w:jc w:val="both"/>
        <w:rPr>
          <w:color w:val="000000" w:themeColor="text1"/>
          <w:lang w:val="uk-UA"/>
        </w:rPr>
      </w:pPr>
      <w:r w:rsidRPr="00D36396">
        <w:rPr>
          <w:color w:val="000000" w:themeColor="text1"/>
          <w:lang w:val="uk-UA"/>
        </w:rPr>
        <w:t>По містах і районах області навантаження незайнятого населення на 1 вільне робоче місце коливалося від 1 особи у м. Донецьк  до 50 осіб в м. Дружківка, 61 особи у Новоазовському районі, 97 осіб у Слов</w:t>
      </w:r>
      <w:r w:rsidRPr="00D36396">
        <w:rPr>
          <w:color w:val="000000" w:themeColor="text1"/>
        </w:rPr>
        <w:t>’</w:t>
      </w:r>
      <w:r w:rsidRPr="00D36396">
        <w:rPr>
          <w:color w:val="000000" w:themeColor="text1"/>
          <w:lang w:val="uk-UA"/>
        </w:rPr>
        <w:t>янському районі.</w:t>
      </w:r>
    </w:p>
    <w:tbl>
      <w:tblPr>
        <w:tblW w:w="9948" w:type="dxa"/>
        <w:tblLayout w:type="fixed"/>
        <w:tblLook w:val="01E0"/>
      </w:tblPr>
      <w:tblGrid>
        <w:gridCol w:w="9948"/>
      </w:tblGrid>
      <w:tr w:rsidR="000C34ED" w:rsidRPr="00D36396" w:rsidTr="004E6538">
        <w:tc>
          <w:tcPr>
            <w:tcW w:w="9948" w:type="dxa"/>
          </w:tcPr>
          <w:p w:rsidR="000C34ED" w:rsidRPr="00D36396" w:rsidRDefault="000C34ED" w:rsidP="004E6538">
            <w:pPr>
              <w:spacing w:before="120" w:after="120"/>
              <w:jc w:val="center"/>
              <w:rPr>
                <w:b/>
                <w:color w:val="000000" w:themeColor="text1"/>
                <w:lang w:val="uk-UA"/>
              </w:rPr>
            </w:pPr>
            <w:r w:rsidRPr="00D36396">
              <w:rPr>
                <w:b/>
                <w:color w:val="000000" w:themeColor="text1"/>
                <w:lang w:val="uk-UA"/>
              </w:rPr>
              <w:t>Ситуація на зареєстрованому ринку праці</w:t>
            </w:r>
          </w:p>
        </w:tc>
      </w:tr>
      <w:tr w:rsidR="000C34ED" w:rsidRPr="00D36396" w:rsidTr="00B96CDF">
        <w:trPr>
          <w:trHeight w:val="4138"/>
        </w:trPr>
        <w:tc>
          <w:tcPr>
            <w:tcW w:w="9948" w:type="dxa"/>
          </w:tcPr>
          <w:p w:rsidR="000C34ED" w:rsidRPr="00D36396" w:rsidRDefault="00050D9A" w:rsidP="004E6538">
            <w:pPr>
              <w:jc w:val="center"/>
              <w:rPr>
                <w:color w:val="FF0000"/>
                <w:sz w:val="16"/>
                <w:szCs w:val="16"/>
                <w:lang w:val="uk-UA"/>
              </w:rPr>
            </w:pPr>
            <w:r w:rsidRPr="00D36396">
              <w:rPr>
                <w:noProof/>
                <w:color w:val="FF0000"/>
              </w:rPr>
              <w:drawing>
                <wp:inline distT="0" distB="0" distL="0" distR="0">
                  <wp:extent cx="5908430" cy="2582426"/>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C34ED" w:rsidRPr="00D36396" w:rsidRDefault="000C34ED" w:rsidP="000C34ED">
      <w:pPr>
        <w:spacing w:before="120" w:after="120"/>
        <w:ind w:firstLine="709"/>
        <w:jc w:val="both"/>
        <w:rPr>
          <w:color w:val="000000" w:themeColor="text1"/>
          <w:spacing w:val="-8"/>
          <w:lang w:val="uk-UA"/>
        </w:rPr>
      </w:pPr>
      <w:r w:rsidRPr="00D36396">
        <w:rPr>
          <w:bCs/>
          <w:color w:val="000000" w:themeColor="text1"/>
          <w:spacing w:val="-8"/>
          <w:lang w:val="uk-UA"/>
        </w:rPr>
        <w:t>А</w:t>
      </w:r>
      <w:r w:rsidRPr="00D36396">
        <w:rPr>
          <w:color w:val="000000" w:themeColor="text1"/>
          <w:spacing w:val="-8"/>
          <w:lang w:val="uk-UA"/>
        </w:rPr>
        <w:t>ктивними заходами сприяння зайнятості було охоплено 40,8 тис. незайнятих громадян,    або 60,0% від їх загальної чисельності.</w:t>
      </w:r>
    </w:p>
    <w:p w:rsidR="000C34ED" w:rsidRPr="00D36396" w:rsidRDefault="000C34ED" w:rsidP="000C34ED">
      <w:pPr>
        <w:spacing w:before="120" w:after="120"/>
        <w:ind w:firstLine="709"/>
        <w:jc w:val="both"/>
        <w:rPr>
          <w:color w:val="000000" w:themeColor="text1"/>
          <w:spacing w:val="-8"/>
          <w:lang w:val="uk-UA"/>
        </w:rPr>
      </w:pPr>
      <w:r w:rsidRPr="00D36396">
        <w:rPr>
          <w:color w:val="000000" w:themeColor="text1"/>
          <w:spacing w:val="-8"/>
          <w:lang w:val="uk-UA"/>
        </w:rPr>
        <w:t>Протягом  січня-червня 2012 року за направленням служби зайнятості працевлаштовано 19,1 тис. осіб (28,1% від загальної чисельності незайнятих громадян, що перебували на обліку),</w:t>
      </w:r>
      <w:r w:rsidRPr="00D36396">
        <w:rPr>
          <w:b/>
          <w:color w:val="000000" w:themeColor="text1"/>
          <w:spacing w:val="-8"/>
          <w:lang w:val="uk-UA"/>
        </w:rPr>
        <w:t xml:space="preserve"> </w:t>
      </w:r>
      <w:r w:rsidRPr="00D36396">
        <w:rPr>
          <w:b/>
          <w:color w:val="000000" w:themeColor="text1"/>
          <w:spacing w:val="-8"/>
          <w:lang w:val="uk-UA"/>
        </w:rPr>
        <w:lastRenderedPageBreak/>
        <w:t>б</w:t>
      </w:r>
      <w:r w:rsidRPr="00D36396">
        <w:rPr>
          <w:color w:val="000000" w:themeColor="text1"/>
          <w:spacing w:val="-8"/>
          <w:lang w:val="uk-UA"/>
        </w:rPr>
        <w:t>рало участь у оплачуваних громадських роботах 15,4 тис. осіб (22,6%), направлено на навчання –                   6,3 тис. безробітних (12,0%).</w:t>
      </w:r>
    </w:p>
    <w:p w:rsidR="001365EA" w:rsidRPr="00D36396" w:rsidRDefault="001365EA" w:rsidP="001365EA">
      <w:pPr>
        <w:spacing w:after="120"/>
        <w:ind w:firstLine="709"/>
        <w:jc w:val="both"/>
        <w:rPr>
          <w:bCs/>
          <w:lang w:val="uk-UA"/>
        </w:rPr>
      </w:pPr>
      <w:r w:rsidRPr="00D36396">
        <w:rPr>
          <w:lang w:val="uk-UA"/>
        </w:rPr>
        <w:t>У галузі</w:t>
      </w:r>
      <w:r w:rsidRPr="00D36396">
        <w:rPr>
          <w:b/>
          <w:lang w:val="uk-UA"/>
        </w:rPr>
        <w:t xml:space="preserve"> охорони здоров'я </w:t>
      </w:r>
      <w:r w:rsidRPr="00D36396">
        <w:rPr>
          <w:lang w:val="uk-UA"/>
        </w:rPr>
        <w:t xml:space="preserve">проводяться заходи щодо </w:t>
      </w:r>
      <w:r w:rsidRPr="00D36396">
        <w:rPr>
          <w:bCs/>
          <w:lang w:val="uk-UA"/>
        </w:rPr>
        <w:t xml:space="preserve">зниження та попередження захворюваності, смертності, збереження, зміцнення здоров’я населення. </w:t>
      </w:r>
    </w:p>
    <w:p w:rsidR="001365EA" w:rsidRPr="00D36396" w:rsidRDefault="001365EA" w:rsidP="001365EA">
      <w:pPr>
        <w:spacing w:after="120"/>
        <w:ind w:firstLine="709"/>
        <w:jc w:val="both"/>
        <w:rPr>
          <w:lang w:val="uk-UA"/>
        </w:rPr>
      </w:pPr>
      <w:r w:rsidRPr="00D36396">
        <w:rPr>
          <w:lang w:val="uk-UA"/>
        </w:rPr>
        <w:t>Протягом першого півріччя 2012 року здійснювалися заходи щодо удосконалення кадрової політики. Проводилась робота по впровадженню сучасних інформаційних технологій в роботу закладів охорони здоров</w:t>
      </w:r>
      <w:r w:rsidRPr="00D36396">
        <w:t xml:space="preserve">’я </w:t>
      </w:r>
      <w:r w:rsidRPr="00D36396">
        <w:rPr>
          <w:lang w:val="uk-UA"/>
        </w:rPr>
        <w:t xml:space="preserve">в області. В рамках цієї роботи встановлено програму </w:t>
      </w:r>
      <w:r w:rsidR="00B96CDF" w:rsidRPr="00D36396">
        <w:rPr>
          <w:lang w:val="uk-UA"/>
        </w:rPr>
        <w:t>«</w:t>
      </w:r>
      <w:r w:rsidRPr="00D36396">
        <w:rPr>
          <w:lang w:val="uk-UA"/>
        </w:rPr>
        <w:t>Єдина медична картка</w:t>
      </w:r>
      <w:r w:rsidR="00B96CDF" w:rsidRPr="00D36396">
        <w:rPr>
          <w:lang w:val="uk-UA"/>
        </w:rPr>
        <w:t>»</w:t>
      </w:r>
      <w:r w:rsidRPr="00D36396">
        <w:rPr>
          <w:lang w:val="uk-UA"/>
        </w:rPr>
        <w:t xml:space="preserve">, продовжено ведення баз даних здоров’я населення обласного рівня і реєстрів окремих класів захворювань, що дозволило поліпшити рівень консультативної допомоги хворим, підвищити своєчасність її надання і оперативність                        в роботі. З міських та районних бюджетів на ці заходи виділено 1,1 </w:t>
      </w:r>
      <w:r w:rsidR="00B96CDF" w:rsidRPr="00D36396">
        <w:rPr>
          <w:lang w:val="uk-UA"/>
        </w:rPr>
        <w:t>млн.грн.</w:t>
      </w:r>
    </w:p>
    <w:p w:rsidR="001365EA" w:rsidRPr="00D36396" w:rsidRDefault="001365EA" w:rsidP="001365EA">
      <w:pPr>
        <w:spacing w:after="120"/>
        <w:ind w:firstLine="709"/>
        <w:jc w:val="both"/>
        <w:rPr>
          <w:lang w:val="uk-UA"/>
        </w:rPr>
      </w:pPr>
      <w:r w:rsidRPr="00D36396">
        <w:rPr>
          <w:lang w:val="uk-UA"/>
        </w:rPr>
        <w:t xml:space="preserve">Забезпечено охоплення вагітних групи ризику сучасними методами пренатальної діагностики, на що з обласного бюджету виділено 0,9 </w:t>
      </w:r>
      <w:r w:rsidR="00B96CDF" w:rsidRPr="00D36396">
        <w:rPr>
          <w:lang w:val="uk-UA"/>
        </w:rPr>
        <w:t>млн.грн.</w:t>
      </w:r>
      <w:r w:rsidRPr="00D36396">
        <w:rPr>
          <w:lang w:val="uk-UA"/>
        </w:rPr>
        <w:t xml:space="preserve">, з бюджетів міст та районів –                          90 тис.грн., з інших джерел – 30 тис.грн. Здійснено своєчасне проведення туберкулінодіагностики та щеплень від туберкульозу новонародженим за рахунок коштів міських та районних бюджетів (1,3 </w:t>
      </w:r>
      <w:r w:rsidR="00B96CDF" w:rsidRPr="00D36396">
        <w:rPr>
          <w:lang w:val="uk-UA"/>
        </w:rPr>
        <w:t>млн.грн.</w:t>
      </w:r>
      <w:r w:rsidRPr="00D36396">
        <w:rPr>
          <w:lang w:val="uk-UA"/>
        </w:rPr>
        <w:t>).</w:t>
      </w:r>
    </w:p>
    <w:p w:rsidR="001365EA" w:rsidRPr="00D36396" w:rsidRDefault="001365EA" w:rsidP="001365EA">
      <w:pPr>
        <w:spacing w:after="120"/>
        <w:ind w:firstLine="709"/>
        <w:jc w:val="both"/>
        <w:rPr>
          <w:i/>
          <w:lang w:val="uk-UA"/>
        </w:rPr>
      </w:pPr>
      <w:r w:rsidRPr="00D36396">
        <w:rPr>
          <w:lang w:val="uk-UA"/>
        </w:rPr>
        <w:t xml:space="preserve">Але в той же час, у першому півріччі поточного року порівняно з відповідним періодом минулого року, у зв’язку зі збільшенням кількості випадків малюкової смертності (відповідно 12,5 випадків проти 10,5 випадків на 1 тис. народжених живими) зріс рівень малюкової смертності на 19%. </w:t>
      </w:r>
    </w:p>
    <w:p w:rsidR="001365EA" w:rsidRPr="00D36396" w:rsidRDefault="001365EA" w:rsidP="001365EA">
      <w:pPr>
        <w:spacing w:after="120"/>
        <w:ind w:firstLine="709"/>
        <w:jc w:val="both"/>
        <w:rPr>
          <w:lang w:val="uk-UA"/>
        </w:rPr>
      </w:pPr>
      <w:r w:rsidRPr="00D36396">
        <w:rPr>
          <w:lang w:val="uk-UA"/>
        </w:rPr>
        <w:t>Здійснювалися заходи по забезпеченню хворих на гемофілію – медикаментами, дітей, хворих на фенілкетонурію – продуктами лікувального харчування, дітей перших двох років життя з малозабезпечених сімей – пільговим харчуванням, пільгової категорії населення - медикаментами, зубним протезуванням, слуховими апаратами, кардіостимуляторами, штучними кришталиками, лікуванням хворих на хронічну ниркову недостатність, хворих на онкологічні захворювання - лікарськими засобами та діагностикою.</w:t>
      </w:r>
    </w:p>
    <w:p w:rsidR="001365EA" w:rsidRPr="00D36396" w:rsidRDefault="001365EA" w:rsidP="001365EA">
      <w:pPr>
        <w:spacing w:after="120"/>
        <w:ind w:firstLine="709"/>
        <w:jc w:val="both"/>
        <w:rPr>
          <w:lang w:val="uk-UA"/>
        </w:rPr>
      </w:pPr>
      <w:r w:rsidRPr="00D36396">
        <w:rPr>
          <w:lang w:val="uk-UA"/>
        </w:rPr>
        <w:t>Проведено 153 тис. обстежень на ВІЛ-інфекцію, виявлено 2,8 тис. випадків на цю інфекцію. Антиретровірусною терапією охоплено 5,8 тис. пацієнтів, у тому числі 367 дітей. Всі категорії хворих на туберкульоз на амбулаторному етапі забезпечені безоплатним рентгенологічним і бактеріоскопічним обстеженням. В результаті вжитих заходів, захворюваність на туберкульоз (з урахування пенітенціарної системи) знизилась до відповідного періоду попереднього року на 6,8%.</w:t>
      </w:r>
    </w:p>
    <w:p w:rsidR="001365EA" w:rsidRPr="00D36396" w:rsidRDefault="001365EA" w:rsidP="001365EA">
      <w:pPr>
        <w:spacing w:after="120"/>
        <w:ind w:firstLine="709"/>
        <w:jc w:val="both"/>
        <w:rPr>
          <w:lang w:val="uk-UA"/>
        </w:rPr>
      </w:pPr>
      <w:r w:rsidRPr="00D36396">
        <w:rPr>
          <w:lang w:val="uk-UA"/>
        </w:rPr>
        <w:t xml:space="preserve">На придбання медикаментів для забезпечення швидкої медичної допомоги,  обладнання довгострокового користування обласних закладів охорони здоров’я, госпіталів та госпітальних відділень спрямовано 12,9 </w:t>
      </w:r>
      <w:r w:rsidR="00B96CDF" w:rsidRPr="00D36396">
        <w:rPr>
          <w:lang w:val="uk-UA"/>
        </w:rPr>
        <w:t>млн.грн.</w:t>
      </w:r>
      <w:r w:rsidRPr="00D36396">
        <w:rPr>
          <w:lang w:val="uk-UA"/>
        </w:rPr>
        <w:t xml:space="preserve"> коштів державного бюджету, 2,5 </w:t>
      </w:r>
      <w:r w:rsidR="00B96CDF" w:rsidRPr="00D36396">
        <w:rPr>
          <w:lang w:val="uk-UA"/>
        </w:rPr>
        <w:t>млн.грн.</w:t>
      </w:r>
      <w:r w:rsidRPr="00D36396">
        <w:rPr>
          <w:lang w:val="uk-UA"/>
        </w:rPr>
        <w:t xml:space="preserve"> коштів обласного бюджету. </w:t>
      </w:r>
    </w:p>
    <w:p w:rsidR="001365EA" w:rsidRPr="00D36396" w:rsidRDefault="001365EA" w:rsidP="001365EA">
      <w:pPr>
        <w:spacing w:after="120"/>
        <w:ind w:firstLine="709"/>
        <w:jc w:val="both"/>
        <w:rPr>
          <w:lang w:val="uk-UA"/>
        </w:rPr>
      </w:pPr>
      <w:r w:rsidRPr="00D36396">
        <w:rPr>
          <w:lang w:val="uk-UA"/>
        </w:rPr>
        <w:t xml:space="preserve">Забезпечено функціонування 72 центрів первинної медико-санітарної допомоги, на що з міських та районних бюджетів у першому півріччі 2012 року виділено 12,6 </w:t>
      </w:r>
      <w:r w:rsidR="00B96CDF" w:rsidRPr="00D36396">
        <w:rPr>
          <w:lang w:val="uk-UA"/>
        </w:rPr>
        <w:t>млн.грн.</w:t>
      </w:r>
    </w:p>
    <w:p w:rsidR="001365EA" w:rsidRPr="00D36396" w:rsidRDefault="001365EA" w:rsidP="001365EA">
      <w:pPr>
        <w:spacing w:after="120"/>
        <w:ind w:firstLine="709"/>
        <w:jc w:val="both"/>
        <w:rPr>
          <w:lang w:val="uk-UA"/>
        </w:rPr>
      </w:pPr>
      <w:r w:rsidRPr="00D36396">
        <w:rPr>
          <w:lang w:val="uk-UA"/>
        </w:rPr>
        <w:t xml:space="preserve">З метою покращення матеріально-технічної бази закладів охорони здоров’я області          у першому півріччі 2012 року проводились капітальні ремонти КЛПУ </w:t>
      </w:r>
      <w:r w:rsidR="00B96CDF" w:rsidRPr="00D36396">
        <w:rPr>
          <w:lang w:val="uk-UA"/>
        </w:rPr>
        <w:t>«</w:t>
      </w:r>
      <w:r w:rsidRPr="00D36396">
        <w:rPr>
          <w:lang w:val="uk-UA"/>
        </w:rPr>
        <w:t>Дитяча міська лікарня</w:t>
      </w:r>
      <w:r w:rsidR="00B96CDF" w:rsidRPr="00D36396">
        <w:rPr>
          <w:lang w:val="uk-UA"/>
        </w:rPr>
        <w:t>»</w:t>
      </w:r>
      <w:r w:rsidRPr="00D36396">
        <w:rPr>
          <w:lang w:val="uk-UA"/>
        </w:rPr>
        <w:t xml:space="preserve"> (за рахунок коштів субвенції з державного бюджету місцевим бюджетам на здійснення заходів щодо соціально-економічного розвитку окремих територій профінансовано станом на 01.07.2012 -  2 </w:t>
      </w:r>
      <w:r w:rsidR="00B96CDF" w:rsidRPr="00D36396">
        <w:rPr>
          <w:lang w:val="uk-UA"/>
        </w:rPr>
        <w:t>млн.грн.</w:t>
      </w:r>
      <w:r w:rsidRPr="00D36396">
        <w:rPr>
          <w:lang w:val="uk-UA"/>
        </w:rPr>
        <w:t xml:space="preserve">), внутрішньої системи центрального опалення КУ </w:t>
      </w:r>
      <w:r w:rsidR="00B96CDF" w:rsidRPr="00D36396">
        <w:rPr>
          <w:lang w:val="uk-UA"/>
        </w:rPr>
        <w:t>«</w:t>
      </w:r>
      <w:r w:rsidRPr="00D36396">
        <w:rPr>
          <w:lang w:val="uk-UA"/>
        </w:rPr>
        <w:t>Центр  первинної медико-санітарної допомоги № 1</w:t>
      </w:r>
      <w:r w:rsidR="00B96CDF" w:rsidRPr="00D36396">
        <w:rPr>
          <w:lang w:val="uk-UA"/>
        </w:rPr>
        <w:t>»</w:t>
      </w:r>
      <w:r w:rsidRPr="00D36396">
        <w:rPr>
          <w:lang w:val="uk-UA"/>
        </w:rPr>
        <w:t xml:space="preserve"> лікарської амбулаторії № 3 у м. Вуглегірськ (0,4 </w:t>
      </w:r>
      <w:r w:rsidR="00B96CDF" w:rsidRPr="00D36396">
        <w:rPr>
          <w:lang w:val="uk-UA"/>
        </w:rPr>
        <w:t>млн.грн.</w:t>
      </w:r>
      <w:r w:rsidRPr="00D36396">
        <w:rPr>
          <w:lang w:val="uk-UA"/>
        </w:rPr>
        <w:t xml:space="preserve">), клініко-діагностичної лабораторії КУ </w:t>
      </w:r>
      <w:r w:rsidR="00B96CDF" w:rsidRPr="00D36396">
        <w:rPr>
          <w:lang w:val="uk-UA"/>
        </w:rPr>
        <w:t>«</w:t>
      </w:r>
      <w:r w:rsidRPr="00D36396">
        <w:rPr>
          <w:lang w:val="uk-UA"/>
        </w:rPr>
        <w:t>Центр первинної медико-санітарної допомоги № 1</w:t>
      </w:r>
      <w:r w:rsidR="00B96CDF" w:rsidRPr="00D36396">
        <w:rPr>
          <w:lang w:val="uk-UA"/>
        </w:rPr>
        <w:t>»</w:t>
      </w:r>
      <w:r w:rsidRPr="00D36396">
        <w:rPr>
          <w:lang w:val="uk-UA"/>
        </w:rPr>
        <w:t xml:space="preserve"> в м. Єнакієве (0,2 </w:t>
      </w:r>
      <w:r w:rsidR="00B96CDF" w:rsidRPr="00D36396">
        <w:rPr>
          <w:lang w:val="uk-UA"/>
        </w:rPr>
        <w:t>млн.грн.</w:t>
      </w:r>
      <w:r w:rsidRPr="00D36396">
        <w:rPr>
          <w:lang w:val="uk-UA"/>
        </w:rPr>
        <w:t xml:space="preserve">), амбулаторії первинної медико-санітарної  допомоги № 7, смт Первомайський, м. Сніжне (0,1 </w:t>
      </w:r>
      <w:r w:rsidR="00B96CDF" w:rsidRPr="00D36396">
        <w:rPr>
          <w:lang w:val="uk-UA"/>
        </w:rPr>
        <w:t>млн.грн.</w:t>
      </w:r>
      <w:r w:rsidRPr="00D36396">
        <w:rPr>
          <w:lang w:val="uk-UA"/>
        </w:rPr>
        <w:t xml:space="preserve">), покрівлі акушерсько-гінекологічного корпусу № 5 КУ </w:t>
      </w:r>
      <w:r w:rsidR="00B96CDF" w:rsidRPr="00D36396">
        <w:rPr>
          <w:lang w:val="uk-UA"/>
        </w:rPr>
        <w:t>«</w:t>
      </w:r>
      <w:r w:rsidRPr="00D36396">
        <w:rPr>
          <w:lang w:val="uk-UA"/>
        </w:rPr>
        <w:t>Центральна міська лікарня</w:t>
      </w:r>
      <w:r w:rsidR="00B96CDF" w:rsidRPr="00D36396">
        <w:rPr>
          <w:lang w:val="uk-UA"/>
        </w:rPr>
        <w:t>»</w:t>
      </w:r>
      <w:r w:rsidRPr="00D36396">
        <w:rPr>
          <w:lang w:val="uk-UA"/>
        </w:rPr>
        <w:t xml:space="preserve"> в м. Харцизьк           </w:t>
      </w:r>
      <w:r w:rsidRPr="00D36396">
        <w:rPr>
          <w:lang w:val="uk-UA"/>
        </w:rPr>
        <w:lastRenderedPageBreak/>
        <w:t xml:space="preserve">(0,2 </w:t>
      </w:r>
      <w:r w:rsidR="00B96CDF" w:rsidRPr="00D36396">
        <w:rPr>
          <w:lang w:val="uk-UA"/>
        </w:rPr>
        <w:t>млн.грн.</w:t>
      </w:r>
      <w:r w:rsidRPr="00D36396">
        <w:rPr>
          <w:lang w:val="uk-UA"/>
        </w:rPr>
        <w:t xml:space="preserve">), реконструкція інфекційного корпусу КМУ </w:t>
      </w:r>
      <w:r w:rsidR="00B96CDF" w:rsidRPr="00D36396">
        <w:rPr>
          <w:lang w:val="uk-UA"/>
        </w:rPr>
        <w:t>«</w:t>
      </w:r>
      <w:r w:rsidRPr="00D36396">
        <w:rPr>
          <w:lang w:val="uk-UA"/>
        </w:rPr>
        <w:t>ММТПО</w:t>
      </w:r>
      <w:r w:rsidR="00B96CDF" w:rsidRPr="00D36396">
        <w:rPr>
          <w:lang w:val="uk-UA"/>
        </w:rPr>
        <w:t>»</w:t>
      </w:r>
      <w:r w:rsidRPr="00D36396">
        <w:rPr>
          <w:lang w:val="uk-UA"/>
        </w:rPr>
        <w:t xml:space="preserve"> в м. Макіївка                     (3,3 </w:t>
      </w:r>
      <w:r w:rsidR="00B96CDF" w:rsidRPr="00D36396">
        <w:rPr>
          <w:lang w:val="uk-UA"/>
        </w:rPr>
        <w:t>млн.грн.</w:t>
      </w:r>
      <w:r w:rsidRPr="00D36396">
        <w:rPr>
          <w:lang w:val="uk-UA"/>
        </w:rPr>
        <w:t>) тощо.</w:t>
      </w:r>
    </w:p>
    <w:p w:rsidR="001365EA" w:rsidRPr="00D36396" w:rsidRDefault="001365EA" w:rsidP="001365EA">
      <w:pPr>
        <w:spacing w:after="120"/>
        <w:ind w:firstLine="709"/>
        <w:jc w:val="both"/>
        <w:rPr>
          <w:lang w:val="uk-UA"/>
        </w:rPr>
      </w:pPr>
      <w:r w:rsidRPr="00D36396">
        <w:rPr>
          <w:lang w:val="uk-UA"/>
        </w:rPr>
        <w:t>На підготовку проектно-кошторисної документації на будівництво, реконструкцію та проведення капітальних ремонтів  закладів охорони здоров</w:t>
      </w:r>
      <w:r w:rsidRPr="00D36396">
        <w:t>’</w:t>
      </w:r>
      <w:r w:rsidRPr="00D36396">
        <w:rPr>
          <w:lang w:val="uk-UA"/>
        </w:rPr>
        <w:t xml:space="preserve">я обласного підпорядкування з обласного бюджету виділено 9,4 </w:t>
      </w:r>
      <w:r w:rsidR="00B96CDF" w:rsidRPr="00D36396">
        <w:rPr>
          <w:lang w:val="uk-UA"/>
        </w:rPr>
        <w:t>млн.грн.</w:t>
      </w:r>
    </w:p>
    <w:p w:rsidR="001365EA" w:rsidRPr="00D36396" w:rsidRDefault="001365EA" w:rsidP="001365EA">
      <w:pPr>
        <w:spacing w:after="120"/>
        <w:ind w:firstLine="709"/>
        <w:jc w:val="both"/>
        <w:rPr>
          <w:lang w:val="uk-UA"/>
        </w:rPr>
      </w:pPr>
      <w:r w:rsidRPr="00D36396">
        <w:rPr>
          <w:lang w:val="uk-UA"/>
        </w:rPr>
        <w:t xml:space="preserve">З метою профілактики народження дітей з вродженими вадами генетичне консультування проведено 6,8  тис. вагітним, попереджено народження 215 дітей з аномаліями. </w:t>
      </w:r>
    </w:p>
    <w:p w:rsidR="001365EA" w:rsidRPr="00D36396" w:rsidRDefault="001365EA" w:rsidP="001365EA">
      <w:pPr>
        <w:spacing w:after="120"/>
        <w:ind w:firstLine="709"/>
        <w:jc w:val="both"/>
        <w:rPr>
          <w:lang w:val="uk-UA"/>
        </w:rPr>
      </w:pPr>
      <w:r w:rsidRPr="00D36396">
        <w:rPr>
          <w:lang w:val="uk-UA"/>
        </w:rPr>
        <w:t xml:space="preserve">Приділялась увага підвищенню якості надання медичних послуг хворим на цукровий діабет. Вони на 100% забезпечені інсуліном, на 60%  - таблетованими препаратами, на 10%  - засобами самоконтролю, на що витрачено більше 32 </w:t>
      </w:r>
      <w:r w:rsidR="00B96CDF" w:rsidRPr="00D36396">
        <w:rPr>
          <w:lang w:val="uk-UA"/>
        </w:rPr>
        <w:t>млн.грн.</w:t>
      </w:r>
    </w:p>
    <w:p w:rsidR="001365EA" w:rsidRPr="00D36396" w:rsidRDefault="001365EA" w:rsidP="001365EA">
      <w:pPr>
        <w:spacing w:after="120"/>
        <w:ind w:firstLine="709"/>
        <w:jc w:val="both"/>
        <w:rPr>
          <w:lang w:val="uk-UA"/>
        </w:rPr>
      </w:pPr>
      <w:r w:rsidRPr="00D36396">
        <w:rPr>
          <w:lang w:val="uk-UA"/>
        </w:rPr>
        <w:t xml:space="preserve">Забезпечено виконання заходів з надання якісної стаціонарної допомоги                           14,4 тис. ветеранам війни, витрати склали 10,5 </w:t>
      </w:r>
      <w:r w:rsidR="00B96CDF" w:rsidRPr="00D36396">
        <w:rPr>
          <w:lang w:val="uk-UA"/>
        </w:rPr>
        <w:t>млн.грн.</w:t>
      </w:r>
      <w:r w:rsidRPr="00D36396">
        <w:rPr>
          <w:lang w:val="uk-UA"/>
        </w:rPr>
        <w:t xml:space="preserve">, з них кошти обласного бюджету –                       6,8 </w:t>
      </w:r>
      <w:r w:rsidR="00B96CDF" w:rsidRPr="00D36396">
        <w:rPr>
          <w:lang w:val="uk-UA"/>
        </w:rPr>
        <w:t>млн.грн.</w:t>
      </w:r>
      <w:r w:rsidRPr="00D36396">
        <w:rPr>
          <w:lang w:val="uk-UA"/>
        </w:rPr>
        <w:t xml:space="preserve">, міських і районних бюджетів – 3,5 </w:t>
      </w:r>
      <w:r w:rsidR="00B96CDF" w:rsidRPr="00D36396">
        <w:rPr>
          <w:lang w:val="uk-UA"/>
        </w:rPr>
        <w:t>млн.грн.</w:t>
      </w:r>
      <w:r w:rsidRPr="00D36396">
        <w:rPr>
          <w:lang w:val="uk-UA"/>
        </w:rPr>
        <w:t xml:space="preserve">, інших джерел – 0,2 </w:t>
      </w:r>
      <w:r w:rsidR="00B96CDF" w:rsidRPr="00D36396">
        <w:rPr>
          <w:lang w:val="uk-UA"/>
        </w:rPr>
        <w:t>млн.грн.</w:t>
      </w:r>
      <w:r w:rsidRPr="00D36396">
        <w:rPr>
          <w:lang w:val="uk-UA"/>
        </w:rPr>
        <w:t xml:space="preserve"> </w:t>
      </w:r>
    </w:p>
    <w:p w:rsidR="001365EA" w:rsidRPr="00D36396" w:rsidRDefault="001365EA" w:rsidP="001365EA">
      <w:pPr>
        <w:spacing w:after="120"/>
        <w:ind w:firstLine="709"/>
        <w:jc w:val="both"/>
        <w:rPr>
          <w:lang w:val="uk-UA"/>
        </w:rPr>
      </w:pPr>
      <w:r w:rsidRPr="00D36396">
        <w:rPr>
          <w:spacing w:val="-8"/>
          <w:lang w:val="uk-UA"/>
        </w:rPr>
        <w:t xml:space="preserve">Діяльність закладів </w:t>
      </w:r>
      <w:r w:rsidRPr="00D36396">
        <w:rPr>
          <w:b/>
          <w:spacing w:val="-8"/>
          <w:lang w:val="uk-UA"/>
        </w:rPr>
        <w:t>освіти</w:t>
      </w:r>
      <w:r w:rsidRPr="00D36396">
        <w:rPr>
          <w:spacing w:val="-8"/>
          <w:lang w:val="uk-UA"/>
        </w:rPr>
        <w:t xml:space="preserve"> спрямовувалась на </w:t>
      </w:r>
      <w:r w:rsidRPr="00D36396">
        <w:rPr>
          <w:lang w:val="uk-UA"/>
        </w:rPr>
        <w:t xml:space="preserve">збереження кадрового потенціалу, </w:t>
      </w:r>
      <w:r w:rsidRPr="00D36396">
        <w:rPr>
          <w:bCs/>
          <w:lang w:val="uk-UA"/>
        </w:rPr>
        <w:t>забезпечення якісної дошкільної освіти</w:t>
      </w:r>
      <w:r w:rsidRPr="00D36396">
        <w:rPr>
          <w:lang w:val="uk-UA"/>
        </w:rPr>
        <w:t>, поліпшення матеріально-технічної бази.</w:t>
      </w:r>
    </w:p>
    <w:p w:rsidR="001365EA" w:rsidRPr="00D36396" w:rsidRDefault="001365EA" w:rsidP="001365EA">
      <w:pPr>
        <w:shd w:val="clear" w:color="auto" w:fill="FFFFFF"/>
        <w:spacing w:before="110" w:after="120"/>
        <w:ind w:left="5" w:firstLine="691"/>
        <w:jc w:val="both"/>
        <w:rPr>
          <w:spacing w:val="-6"/>
          <w:lang w:val="uk-UA"/>
        </w:rPr>
      </w:pPr>
      <w:r w:rsidRPr="00D36396">
        <w:rPr>
          <w:lang w:val="uk-UA"/>
        </w:rPr>
        <w:t xml:space="preserve">Станом на 01.07.2012 на реалізацію заходів державних та обласних програм: </w:t>
      </w:r>
      <w:r w:rsidR="00B96CDF" w:rsidRPr="00D36396">
        <w:rPr>
          <w:lang w:val="uk-UA"/>
        </w:rPr>
        <w:t>«</w:t>
      </w:r>
      <w:r w:rsidRPr="00D36396">
        <w:rPr>
          <w:lang w:val="uk-UA"/>
        </w:rPr>
        <w:t>Вчитель</w:t>
      </w:r>
      <w:r w:rsidR="00B96CDF" w:rsidRPr="00D36396">
        <w:rPr>
          <w:lang w:val="uk-UA"/>
        </w:rPr>
        <w:t>»</w:t>
      </w:r>
      <w:r w:rsidRPr="00D36396">
        <w:rPr>
          <w:lang w:val="uk-UA"/>
        </w:rPr>
        <w:t xml:space="preserve">, у тому числі на підвищення кваліфікації педагогічних працівників, проведення конкурсів </w:t>
      </w:r>
      <w:r w:rsidR="00B96CDF" w:rsidRPr="00D36396">
        <w:rPr>
          <w:lang w:val="uk-UA"/>
        </w:rPr>
        <w:t>«</w:t>
      </w:r>
      <w:r w:rsidRPr="00D36396">
        <w:rPr>
          <w:lang w:val="uk-UA"/>
        </w:rPr>
        <w:t>Вчитель року</w:t>
      </w:r>
      <w:r w:rsidR="00B96CDF" w:rsidRPr="00D36396">
        <w:rPr>
          <w:lang w:val="uk-UA"/>
        </w:rPr>
        <w:t>»</w:t>
      </w:r>
      <w:r w:rsidRPr="00D36396">
        <w:rPr>
          <w:lang w:val="uk-UA"/>
        </w:rPr>
        <w:t xml:space="preserve">, </w:t>
      </w:r>
      <w:r w:rsidR="00B96CDF" w:rsidRPr="00D36396">
        <w:rPr>
          <w:lang w:val="uk-UA"/>
        </w:rPr>
        <w:t>«</w:t>
      </w:r>
      <w:r w:rsidRPr="00D36396">
        <w:rPr>
          <w:lang w:val="uk-UA"/>
        </w:rPr>
        <w:t>Кращий працівник року у сфері освіти</w:t>
      </w:r>
      <w:r w:rsidR="00B96CDF" w:rsidRPr="00D36396">
        <w:rPr>
          <w:lang w:val="uk-UA"/>
        </w:rPr>
        <w:t>»</w:t>
      </w:r>
      <w:r w:rsidRPr="00D36396">
        <w:rPr>
          <w:lang w:val="uk-UA"/>
        </w:rPr>
        <w:t xml:space="preserve"> з обласного бюджету виділено 700 тис.грн.; на проведення масових позашкільних заходів для дітей-сиріт та дітей, позбавлених батьківського піклування – 0,2 млн.грн.;  програми </w:t>
      </w:r>
      <w:r w:rsidR="00B96CDF" w:rsidRPr="00D36396">
        <w:rPr>
          <w:spacing w:val="-6"/>
          <w:lang w:val="uk-UA"/>
        </w:rPr>
        <w:t>«</w:t>
      </w:r>
      <w:r w:rsidRPr="00D36396">
        <w:rPr>
          <w:spacing w:val="-6"/>
          <w:lang w:val="uk-UA"/>
        </w:rPr>
        <w:t>Шкільний автобус</w:t>
      </w:r>
      <w:r w:rsidR="00B96CDF" w:rsidRPr="00D36396">
        <w:rPr>
          <w:spacing w:val="-6"/>
          <w:lang w:val="uk-UA"/>
        </w:rPr>
        <w:t>»</w:t>
      </w:r>
      <w:r w:rsidRPr="00D36396">
        <w:rPr>
          <w:spacing w:val="-6"/>
          <w:lang w:val="uk-UA"/>
        </w:rPr>
        <w:t xml:space="preserve"> -                 3,6 </w:t>
      </w:r>
      <w:r w:rsidR="00B96CDF" w:rsidRPr="00D36396">
        <w:rPr>
          <w:spacing w:val="-6"/>
          <w:lang w:val="uk-UA"/>
        </w:rPr>
        <w:t>млн.грн.</w:t>
      </w:r>
      <w:r w:rsidRPr="00D36396">
        <w:rPr>
          <w:spacing w:val="-6"/>
          <w:lang w:val="uk-UA"/>
        </w:rPr>
        <w:t xml:space="preserve"> (10 районів області отримали шкільні автобуси).</w:t>
      </w:r>
    </w:p>
    <w:p w:rsidR="001365EA" w:rsidRPr="00D36396" w:rsidRDefault="001365EA" w:rsidP="001365EA">
      <w:pPr>
        <w:spacing w:after="120"/>
        <w:ind w:firstLine="709"/>
        <w:jc w:val="both"/>
        <w:rPr>
          <w:lang w:val="uk-UA"/>
        </w:rPr>
      </w:pPr>
      <w:r w:rsidRPr="00D36396">
        <w:rPr>
          <w:lang w:val="uk-UA"/>
        </w:rPr>
        <w:t>На стипендіальне забезпечення обдарованих учнів, студентів та аспірантів  з обласного бюджету спрямовано 600 тис.грн., проведення  Всеукраїнських олімпіад –            500 тис.грн., на урочисте вручення дипломів кращим випускникам вищих навчальних закладів III-IV рівня акредитації –100 тис.грн.</w:t>
      </w:r>
    </w:p>
    <w:p w:rsidR="001365EA" w:rsidRPr="00D36396" w:rsidRDefault="001365EA" w:rsidP="001365EA">
      <w:pPr>
        <w:spacing w:after="120"/>
        <w:ind w:firstLine="709"/>
        <w:jc w:val="both"/>
        <w:rPr>
          <w:lang w:val="uk-UA"/>
        </w:rPr>
      </w:pPr>
      <w:r w:rsidRPr="00D36396">
        <w:rPr>
          <w:lang w:val="uk-UA"/>
        </w:rPr>
        <w:t>Для забезпечення соціального захисту учасників навчально-виховного процесу, у тому числі утримання та оздоровлення дітей-сиріт та дітей, позбавлених батьківського піклування, які навчаються та виховуються в закладах освіти обласної комунальної власності з обласного бюджету виділено 900 тис.грн.</w:t>
      </w:r>
    </w:p>
    <w:p w:rsidR="001365EA" w:rsidRPr="00D36396" w:rsidRDefault="001365EA" w:rsidP="001365EA">
      <w:pPr>
        <w:spacing w:after="120"/>
        <w:ind w:firstLine="709"/>
        <w:jc w:val="both"/>
        <w:rPr>
          <w:lang w:val="uk-UA"/>
        </w:rPr>
      </w:pPr>
      <w:r w:rsidRPr="00D36396">
        <w:rPr>
          <w:lang w:val="uk-UA"/>
        </w:rPr>
        <w:t>Протягом першого півріччя поточного року сучасними технічними засобами навчання з природничо-математичних дисциплін забезпечено загальноосвітні навчальні заклади Артемівського, Новоазовського, Волноваського, Володарського, Добропільського, Костянтинівського та Красноармійського районів на загальну суму 200 тис.грн. В загальноосвітніх навчальних закладах області встановлено 20 комплексів по очищенню води.</w:t>
      </w:r>
    </w:p>
    <w:p w:rsidR="001365EA" w:rsidRPr="00D36396" w:rsidRDefault="001365EA" w:rsidP="001365EA">
      <w:pPr>
        <w:spacing w:after="120"/>
        <w:ind w:firstLine="709"/>
        <w:jc w:val="both"/>
        <w:rPr>
          <w:lang w:val="uk-UA"/>
        </w:rPr>
      </w:pPr>
      <w:r w:rsidRPr="00D36396">
        <w:rPr>
          <w:lang w:val="uk-UA"/>
        </w:rPr>
        <w:t xml:space="preserve">На поліпшення матеріально-технічної бази  закладів освіти області витрачено              60 млн.грн. бюджетних та позабюджетних коштів. Відремонтовано покрівлі, системи опалення, водопостачання, каналізації, тепломережі тощо. </w:t>
      </w:r>
    </w:p>
    <w:p w:rsidR="001365EA" w:rsidRPr="00D36396" w:rsidRDefault="001365EA" w:rsidP="001365EA">
      <w:pPr>
        <w:spacing w:after="120"/>
        <w:ind w:firstLine="709"/>
        <w:jc w:val="both"/>
        <w:rPr>
          <w:lang w:val="uk-UA"/>
        </w:rPr>
      </w:pPr>
      <w:r w:rsidRPr="00D36396">
        <w:rPr>
          <w:lang w:val="uk-UA"/>
        </w:rPr>
        <w:t xml:space="preserve">З метою розвитку розумових здібностей дітей, здійснено регіональний науково-методичний супровід щодо організації роботи з дітьми п’ятирічного віку за комплексом практичних посібників </w:t>
      </w:r>
      <w:r w:rsidR="00B96CDF" w:rsidRPr="00D36396">
        <w:rPr>
          <w:lang w:val="uk-UA"/>
        </w:rPr>
        <w:t>«</w:t>
      </w:r>
      <w:r w:rsidRPr="00D36396">
        <w:rPr>
          <w:lang w:val="uk-UA"/>
        </w:rPr>
        <w:t>Розвивайко</w:t>
      </w:r>
      <w:r w:rsidR="00B96CDF" w:rsidRPr="00D36396">
        <w:rPr>
          <w:lang w:val="uk-UA"/>
        </w:rPr>
        <w:t>»</w:t>
      </w:r>
      <w:r w:rsidRPr="00D36396">
        <w:rPr>
          <w:lang w:val="uk-UA"/>
        </w:rPr>
        <w:t xml:space="preserve"> (за рахунок коштів обласного бюджету профінансовано 500 тис.грн.).</w:t>
      </w:r>
    </w:p>
    <w:p w:rsidR="001365EA" w:rsidRPr="00D36396" w:rsidRDefault="001365EA" w:rsidP="001365EA">
      <w:pPr>
        <w:spacing w:after="120"/>
        <w:ind w:firstLine="709"/>
        <w:jc w:val="both"/>
        <w:rPr>
          <w:lang w:val="uk-UA"/>
        </w:rPr>
      </w:pPr>
      <w:r w:rsidRPr="00D36396">
        <w:rPr>
          <w:lang w:val="uk-UA"/>
        </w:rPr>
        <w:t>На вітамінізацію дитячого харчування з обласного бюджету виділено 7 млн.грн.</w:t>
      </w:r>
    </w:p>
    <w:p w:rsidR="001365EA" w:rsidRPr="00D36396" w:rsidRDefault="001365EA" w:rsidP="001365EA">
      <w:pPr>
        <w:spacing w:after="120"/>
        <w:ind w:firstLine="709"/>
        <w:jc w:val="both"/>
        <w:rPr>
          <w:lang w:val="uk-UA"/>
        </w:rPr>
      </w:pPr>
      <w:r w:rsidRPr="00D36396">
        <w:rPr>
          <w:lang w:val="uk-UA"/>
        </w:rPr>
        <w:t>У дитячих навчальних закладах області відкрито додаткові групи на 660 місць                у містах Дебальцеве, Дружківка, Красний Лиман, Новогродівка, Сніжне, Торез, Ясинувата, Володарському, Добропільському, Першотравневому, Старобешівському, Тельманівському та Шахтарському районах.</w:t>
      </w:r>
    </w:p>
    <w:p w:rsidR="001365EA" w:rsidRPr="00D36396" w:rsidRDefault="001365EA" w:rsidP="001365EA">
      <w:pPr>
        <w:spacing w:after="120"/>
        <w:ind w:firstLine="709"/>
        <w:jc w:val="both"/>
        <w:rPr>
          <w:lang w:val="uk-UA"/>
        </w:rPr>
      </w:pPr>
      <w:r w:rsidRPr="00D36396">
        <w:rPr>
          <w:lang w:val="uk-UA"/>
        </w:rPr>
        <w:lastRenderedPageBreak/>
        <w:t xml:space="preserve">У сфері </w:t>
      </w:r>
      <w:r w:rsidRPr="00D36396">
        <w:rPr>
          <w:b/>
          <w:lang w:val="uk-UA"/>
        </w:rPr>
        <w:t xml:space="preserve">підтримки сім’ї, дітей та молоді </w:t>
      </w:r>
      <w:r w:rsidRPr="00D36396">
        <w:rPr>
          <w:lang w:val="uk-UA"/>
        </w:rPr>
        <w:t>в першому півріччі поточного року створено 2 дитячі будинки сімейного типу та 27 прийомних сімей, до яких влаштовано            66 дітей-сиріт та дітей, позбавлених батьківського піклування.</w:t>
      </w:r>
    </w:p>
    <w:p w:rsidR="001365EA" w:rsidRPr="00D36396" w:rsidRDefault="001365EA" w:rsidP="001365EA">
      <w:pPr>
        <w:pStyle w:val="a6"/>
        <w:ind w:firstLine="709"/>
        <w:jc w:val="both"/>
        <w:rPr>
          <w:bCs/>
          <w:lang w:val="uk-UA"/>
        </w:rPr>
      </w:pPr>
      <w:r w:rsidRPr="00D36396">
        <w:rPr>
          <w:bCs/>
          <w:lang w:val="uk-UA"/>
        </w:rPr>
        <w:t>Загальна чисельність дітей-сиріт та дітей, позбавлених батьківського піклування в області складає 10,1 тис. осіб.</w:t>
      </w:r>
    </w:p>
    <w:p w:rsidR="001365EA" w:rsidRPr="00D36396" w:rsidRDefault="001365EA" w:rsidP="001365EA">
      <w:pPr>
        <w:spacing w:before="120"/>
        <w:ind w:firstLine="708"/>
        <w:jc w:val="both"/>
        <w:rPr>
          <w:lang w:val="uk-UA"/>
        </w:rPr>
      </w:pPr>
      <w:r w:rsidRPr="00D36396">
        <w:rPr>
          <w:lang w:val="uk-UA"/>
        </w:rPr>
        <w:t xml:space="preserve">В сімейних формах виховання перебуває 7892 дитини, що складає 78% від загальної кількості дітей-сиріт та дітей, позбавлених батьківського піклування.  </w:t>
      </w:r>
    </w:p>
    <w:p w:rsidR="001365EA" w:rsidRPr="00D36396" w:rsidRDefault="001365EA" w:rsidP="001365EA">
      <w:pPr>
        <w:spacing w:before="120"/>
        <w:ind w:firstLine="708"/>
        <w:jc w:val="both"/>
        <w:rPr>
          <w:lang w:val="uk-UA"/>
        </w:rPr>
      </w:pPr>
      <w:r w:rsidRPr="00D36396">
        <w:rPr>
          <w:lang w:val="uk-UA"/>
        </w:rPr>
        <w:t xml:space="preserve">Опікою та піклуванням охоплено 7219 дітей вищезазначеної категорії,  що  складає  71% їх загальної чисельності. </w:t>
      </w:r>
    </w:p>
    <w:p w:rsidR="001365EA" w:rsidRPr="00D36396" w:rsidRDefault="001365EA" w:rsidP="001365EA">
      <w:pPr>
        <w:spacing w:before="120"/>
        <w:ind w:firstLine="708"/>
        <w:jc w:val="both"/>
        <w:rPr>
          <w:lang w:val="uk-UA"/>
        </w:rPr>
      </w:pPr>
      <w:r w:rsidRPr="00D36396">
        <w:rPr>
          <w:lang w:val="uk-UA"/>
        </w:rPr>
        <w:t>В області функціонує 31 дитячий будинок сімейного типу, де виховуються 211 дітей –сиріт та дітей, позбавлених батьківського піклування та 301 прийомна сім’я, де виховується 462 дитини (в цілому - 673 дитини або 6,6% ).</w:t>
      </w:r>
    </w:p>
    <w:p w:rsidR="001365EA" w:rsidRPr="00D36396" w:rsidRDefault="001365EA" w:rsidP="001365EA">
      <w:pPr>
        <w:pStyle w:val="a6"/>
        <w:ind w:firstLine="709"/>
        <w:jc w:val="both"/>
        <w:rPr>
          <w:bCs/>
          <w:lang w:val="uk-UA"/>
        </w:rPr>
      </w:pPr>
      <w:r w:rsidRPr="00D36396">
        <w:rPr>
          <w:bCs/>
          <w:lang w:val="uk-UA"/>
        </w:rPr>
        <w:t>Для забезпечення своєчасного виявлення дітей, які опинились в скрутних життєвих умовах, їх вилучення з небезпечного оточення та надання психолого-педагогічної, медико-соціальної та правової допомоги з міських та районних бюджетів виділено 400 тис. грн.</w:t>
      </w:r>
    </w:p>
    <w:p w:rsidR="001365EA" w:rsidRPr="00D36396" w:rsidRDefault="001365EA" w:rsidP="001365EA">
      <w:pPr>
        <w:pStyle w:val="a6"/>
        <w:ind w:firstLine="709"/>
        <w:jc w:val="both"/>
        <w:rPr>
          <w:bCs/>
          <w:lang w:val="uk-UA"/>
        </w:rPr>
      </w:pPr>
      <w:r w:rsidRPr="00D36396">
        <w:rPr>
          <w:bCs/>
          <w:lang w:val="uk-UA"/>
        </w:rPr>
        <w:t>З міських та районних бюджетів на забезпечення захисту особистих, житлових та майнових прав дітей-сиріт та дітей, позбавлених батьківського піклування, оформлення документів щодо вступу до спадщини, погашення заборгованості за житлово-комунальні послуги, ремонт житла профінансовано 400 тис.грн.</w:t>
      </w:r>
    </w:p>
    <w:p w:rsidR="001365EA" w:rsidRPr="00D36396" w:rsidRDefault="001365EA" w:rsidP="001365EA">
      <w:pPr>
        <w:pStyle w:val="a6"/>
        <w:ind w:firstLine="709"/>
        <w:jc w:val="both"/>
        <w:rPr>
          <w:lang w:val="uk-UA"/>
        </w:rPr>
      </w:pPr>
      <w:r w:rsidRPr="00D36396">
        <w:rPr>
          <w:bCs/>
          <w:lang w:val="uk-UA"/>
        </w:rPr>
        <w:t>Влітку працювали 5</w:t>
      </w:r>
      <w:r w:rsidRPr="00D36396">
        <w:rPr>
          <w:lang w:val="uk-UA"/>
        </w:rPr>
        <w:t xml:space="preserve"> таборів праці та відпочинку на Азовському узбережжі.</w:t>
      </w:r>
    </w:p>
    <w:p w:rsidR="001365EA" w:rsidRPr="00D36396" w:rsidRDefault="001365EA" w:rsidP="001365EA">
      <w:pPr>
        <w:spacing w:after="120"/>
        <w:ind w:firstLine="709"/>
        <w:jc w:val="both"/>
        <w:rPr>
          <w:lang w:val="uk-UA"/>
        </w:rPr>
      </w:pPr>
      <w:r w:rsidRPr="00D36396">
        <w:rPr>
          <w:lang w:val="uk-UA"/>
        </w:rPr>
        <w:t xml:space="preserve">За рахунок коштів обласного бюджету (1,3 млн.грн) забезпечувалися літнє оздоровлення дітей, які потребують соціальної уваги та підтримки, збереження і розвиток дитячих оздоровчих закладів. </w:t>
      </w:r>
    </w:p>
    <w:p w:rsidR="001365EA" w:rsidRPr="00D36396" w:rsidRDefault="001365EA" w:rsidP="001365EA">
      <w:pPr>
        <w:spacing w:after="120"/>
        <w:ind w:firstLine="709"/>
        <w:jc w:val="both"/>
        <w:rPr>
          <w:lang w:val="uk-UA"/>
        </w:rPr>
      </w:pPr>
      <w:r w:rsidRPr="00D36396">
        <w:rPr>
          <w:lang w:val="uk-UA"/>
        </w:rPr>
        <w:t xml:space="preserve">На утримання соціальних закладів з обласного бюджету спрямовано 1,9 </w:t>
      </w:r>
      <w:r w:rsidR="00B96CDF" w:rsidRPr="00D36396">
        <w:rPr>
          <w:lang w:val="uk-UA"/>
        </w:rPr>
        <w:t>млн.грн.</w:t>
      </w:r>
      <w:r w:rsidRPr="00D36396">
        <w:rPr>
          <w:lang w:val="uk-UA"/>
        </w:rPr>
        <w:t xml:space="preserve">, комунального закладу </w:t>
      </w:r>
      <w:r w:rsidR="00B96CDF" w:rsidRPr="00D36396">
        <w:rPr>
          <w:lang w:val="uk-UA"/>
        </w:rPr>
        <w:t>«</w:t>
      </w:r>
      <w:r w:rsidRPr="00D36396">
        <w:rPr>
          <w:lang w:val="uk-UA"/>
        </w:rPr>
        <w:t>Донецький обласний дитячо-молодіжний центр</w:t>
      </w:r>
      <w:r w:rsidR="00B96CDF" w:rsidRPr="00D36396">
        <w:rPr>
          <w:lang w:val="uk-UA"/>
        </w:rPr>
        <w:t>»</w:t>
      </w:r>
      <w:r w:rsidRPr="00D36396">
        <w:rPr>
          <w:lang w:val="uk-UA"/>
        </w:rPr>
        <w:t xml:space="preserve">  - 0,7 </w:t>
      </w:r>
      <w:r w:rsidR="00B96CDF" w:rsidRPr="00D36396">
        <w:rPr>
          <w:lang w:val="uk-UA"/>
        </w:rPr>
        <w:t>млн.грн.</w:t>
      </w:r>
    </w:p>
    <w:p w:rsidR="001365EA" w:rsidRPr="00D36396" w:rsidRDefault="001365EA" w:rsidP="001365EA">
      <w:pPr>
        <w:tabs>
          <w:tab w:val="left" w:pos="9720"/>
        </w:tabs>
        <w:spacing w:before="120"/>
        <w:ind w:right="-57" w:firstLine="709"/>
        <w:jc w:val="both"/>
        <w:rPr>
          <w:bCs/>
          <w:color w:val="000000" w:themeColor="text1"/>
        </w:rPr>
      </w:pPr>
      <w:r w:rsidRPr="00D36396">
        <w:rPr>
          <w:b/>
          <w:color w:val="000000" w:themeColor="text1"/>
          <w:spacing w:val="-6"/>
          <w:lang w:val="uk-UA"/>
        </w:rPr>
        <w:t>Органами внутрішніх справ області</w:t>
      </w:r>
      <w:r w:rsidRPr="00D36396">
        <w:rPr>
          <w:color w:val="000000" w:themeColor="text1"/>
          <w:spacing w:val="-6"/>
          <w:lang w:val="uk-UA"/>
        </w:rPr>
        <w:t xml:space="preserve"> </w:t>
      </w:r>
      <w:r w:rsidRPr="00D36396">
        <w:rPr>
          <w:color w:val="000000" w:themeColor="text1"/>
        </w:rPr>
        <w:t xml:space="preserve">за січень-червень поточного року </w:t>
      </w:r>
      <w:r w:rsidRPr="00D36396">
        <w:rPr>
          <w:color w:val="000000" w:themeColor="text1"/>
          <w:lang w:val="uk-UA"/>
        </w:rPr>
        <w:t>розкрито</w:t>
      </w:r>
      <w:r w:rsidRPr="00D36396">
        <w:rPr>
          <w:color w:val="000000" w:themeColor="text1"/>
        </w:rPr>
        <w:t xml:space="preserve"> </w:t>
      </w:r>
      <w:r w:rsidRPr="00D36396">
        <w:rPr>
          <w:color w:val="000000" w:themeColor="text1"/>
          <w:lang w:val="uk-UA"/>
        </w:rPr>
        <w:t xml:space="preserve">              </w:t>
      </w:r>
      <w:r w:rsidRPr="00D36396">
        <w:rPr>
          <w:color w:val="000000" w:themeColor="text1"/>
        </w:rPr>
        <w:t xml:space="preserve">16,1 тис. </w:t>
      </w:r>
      <w:r w:rsidRPr="00D36396">
        <w:rPr>
          <w:b/>
          <w:color w:val="000000" w:themeColor="text1"/>
        </w:rPr>
        <w:t>злочинів загальнокримінальної спрямованості</w:t>
      </w:r>
      <w:r w:rsidRPr="00D36396">
        <w:rPr>
          <w:color w:val="000000" w:themeColor="text1"/>
        </w:rPr>
        <w:t xml:space="preserve">, у тому числі – 5,0 тис. тяжких та особливо тяжких. </w:t>
      </w:r>
    </w:p>
    <w:p w:rsidR="001365EA" w:rsidRPr="00D36396" w:rsidRDefault="001365EA" w:rsidP="001365EA">
      <w:pPr>
        <w:widowControl w:val="0"/>
        <w:spacing w:before="120" w:after="120"/>
        <w:ind w:firstLine="709"/>
        <w:jc w:val="both"/>
        <w:rPr>
          <w:color w:val="000000" w:themeColor="text1"/>
        </w:rPr>
      </w:pPr>
      <w:r w:rsidRPr="00D36396">
        <w:rPr>
          <w:color w:val="000000" w:themeColor="text1"/>
        </w:rPr>
        <w:t>Виявлена і припинена діяльність 16 організованих злочинних груп. У сфері боротьби з економічною злочинністю виявлено</w:t>
      </w:r>
      <w:r w:rsidRPr="00D36396">
        <w:rPr>
          <w:color w:val="000000" w:themeColor="text1"/>
          <w:lang w:val="uk-UA"/>
        </w:rPr>
        <w:t xml:space="preserve"> </w:t>
      </w:r>
      <w:r w:rsidRPr="00D36396">
        <w:rPr>
          <w:color w:val="000000" w:themeColor="text1"/>
        </w:rPr>
        <w:t>2089 злочинів. Викрито 198 фактів хабарництва.</w:t>
      </w:r>
    </w:p>
    <w:p w:rsidR="001365EA" w:rsidRPr="00D36396" w:rsidRDefault="001365EA" w:rsidP="001365EA">
      <w:pPr>
        <w:spacing w:after="60"/>
        <w:ind w:firstLine="709"/>
        <w:jc w:val="both"/>
        <w:rPr>
          <w:lang w:val="uk-UA"/>
        </w:rPr>
      </w:pPr>
      <w:r w:rsidRPr="00D36396">
        <w:rPr>
          <w:b/>
          <w:lang w:val="uk-UA"/>
        </w:rPr>
        <w:t xml:space="preserve">Культура, туризм. </w:t>
      </w:r>
      <w:r w:rsidRPr="00D36396">
        <w:rPr>
          <w:lang w:val="uk-UA"/>
        </w:rPr>
        <w:t xml:space="preserve">Проведено Міжнародні фестивалі музичного мистецтва </w:t>
      </w:r>
      <w:r w:rsidR="00B96CDF" w:rsidRPr="00D36396">
        <w:rPr>
          <w:lang w:val="uk-UA"/>
        </w:rPr>
        <w:t>«</w:t>
      </w:r>
      <w:r w:rsidRPr="00D36396">
        <w:rPr>
          <w:lang w:val="uk-UA"/>
        </w:rPr>
        <w:t>Квітневий благовіст</w:t>
      </w:r>
      <w:r w:rsidR="00B96CDF" w:rsidRPr="00D36396">
        <w:rPr>
          <w:lang w:val="uk-UA"/>
        </w:rPr>
        <w:t>»</w:t>
      </w:r>
      <w:r w:rsidRPr="00D36396">
        <w:rPr>
          <w:lang w:val="uk-UA"/>
        </w:rPr>
        <w:t xml:space="preserve">, </w:t>
      </w:r>
      <w:r w:rsidR="00B96CDF" w:rsidRPr="00D36396">
        <w:rPr>
          <w:lang w:val="uk-UA"/>
        </w:rPr>
        <w:t>«</w:t>
      </w:r>
      <w:r w:rsidRPr="00D36396">
        <w:rPr>
          <w:lang w:val="uk-UA"/>
        </w:rPr>
        <w:t>Джаз-форум</w:t>
      </w:r>
      <w:r w:rsidR="00B96CDF" w:rsidRPr="00D36396">
        <w:rPr>
          <w:lang w:val="uk-UA"/>
        </w:rPr>
        <w:t>»</w:t>
      </w:r>
      <w:r w:rsidRPr="00D36396">
        <w:rPr>
          <w:lang w:val="uk-UA"/>
        </w:rPr>
        <w:t xml:space="preserve">, дитячих балетних вистав </w:t>
      </w:r>
      <w:r w:rsidR="00B96CDF" w:rsidRPr="00D36396">
        <w:rPr>
          <w:lang w:val="uk-UA"/>
        </w:rPr>
        <w:t>«</w:t>
      </w:r>
      <w:r w:rsidRPr="00D36396">
        <w:rPr>
          <w:lang w:val="uk-UA"/>
        </w:rPr>
        <w:t>Гран-Па</w:t>
      </w:r>
      <w:r w:rsidR="00B96CDF" w:rsidRPr="00D36396">
        <w:rPr>
          <w:lang w:val="uk-UA"/>
        </w:rPr>
        <w:t>»</w:t>
      </w:r>
      <w:r w:rsidRPr="00D36396">
        <w:rPr>
          <w:lang w:val="uk-UA"/>
        </w:rPr>
        <w:t xml:space="preserve">, гітарного мистецтва </w:t>
      </w:r>
      <w:r w:rsidR="00B96CDF" w:rsidRPr="00D36396">
        <w:rPr>
          <w:lang w:val="uk-UA"/>
        </w:rPr>
        <w:t>«</w:t>
      </w:r>
      <w:r w:rsidRPr="00D36396">
        <w:rPr>
          <w:lang w:val="uk-UA"/>
        </w:rPr>
        <w:t>Кришталеві струни</w:t>
      </w:r>
      <w:r w:rsidR="00B96CDF" w:rsidRPr="00D36396">
        <w:rPr>
          <w:lang w:val="uk-UA"/>
        </w:rPr>
        <w:t>»</w:t>
      </w:r>
      <w:r w:rsidRPr="00D36396">
        <w:rPr>
          <w:lang w:val="uk-UA"/>
        </w:rPr>
        <w:t xml:space="preserve">, міжрегіональний музичний фестиваль </w:t>
      </w:r>
      <w:r w:rsidR="00B96CDF" w:rsidRPr="00D36396">
        <w:rPr>
          <w:lang w:val="uk-UA"/>
        </w:rPr>
        <w:t>«</w:t>
      </w:r>
      <w:r w:rsidRPr="00D36396">
        <w:rPr>
          <w:lang w:val="uk-UA"/>
        </w:rPr>
        <w:t>Живи та пам’ятай</w:t>
      </w:r>
      <w:r w:rsidR="00B96CDF" w:rsidRPr="00D36396">
        <w:rPr>
          <w:lang w:val="uk-UA"/>
        </w:rPr>
        <w:t>»</w:t>
      </w:r>
      <w:r w:rsidRPr="00D36396">
        <w:rPr>
          <w:lang w:val="uk-UA"/>
        </w:rPr>
        <w:t xml:space="preserve">, культурно-мистецьку акцію </w:t>
      </w:r>
      <w:r w:rsidR="00B96CDF" w:rsidRPr="00D36396">
        <w:rPr>
          <w:lang w:val="uk-UA"/>
        </w:rPr>
        <w:t>«</w:t>
      </w:r>
      <w:r w:rsidRPr="00D36396">
        <w:rPr>
          <w:lang w:val="uk-UA"/>
        </w:rPr>
        <w:t>Молодь Донеччини – ювілею області</w:t>
      </w:r>
      <w:r w:rsidR="00B96CDF" w:rsidRPr="00D36396">
        <w:rPr>
          <w:lang w:val="uk-UA"/>
        </w:rPr>
        <w:t>»</w:t>
      </w:r>
      <w:r w:rsidRPr="00D36396">
        <w:rPr>
          <w:lang w:val="uk-UA"/>
        </w:rPr>
        <w:t xml:space="preserve">, міжрегіональне свято української культури </w:t>
      </w:r>
      <w:r w:rsidR="00B96CDF" w:rsidRPr="00D36396">
        <w:rPr>
          <w:lang w:val="uk-UA"/>
        </w:rPr>
        <w:t>«</w:t>
      </w:r>
      <w:r w:rsidRPr="00D36396">
        <w:rPr>
          <w:lang w:val="uk-UA"/>
        </w:rPr>
        <w:t>Легенди степу</w:t>
      </w:r>
      <w:r w:rsidR="00B96CDF" w:rsidRPr="00D36396">
        <w:rPr>
          <w:lang w:val="uk-UA"/>
        </w:rPr>
        <w:t>»</w:t>
      </w:r>
      <w:r w:rsidRPr="00D36396">
        <w:rPr>
          <w:lang w:val="uk-UA"/>
        </w:rPr>
        <w:t xml:space="preserve"> тощо.</w:t>
      </w:r>
    </w:p>
    <w:p w:rsidR="001365EA" w:rsidRPr="00D36396" w:rsidRDefault="001365EA" w:rsidP="001365EA">
      <w:pPr>
        <w:spacing w:after="60"/>
        <w:ind w:firstLine="709"/>
        <w:jc w:val="both"/>
        <w:rPr>
          <w:lang w:val="uk-UA"/>
        </w:rPr>
      </w:pPr>
      <w:r w:rsidRPr="00D36396">
        <w:rPr>
          <w:lang w:val="uk-UA"/>
        </w:rPr>
        <w:t xml:space="preserve">Протягом першого півріччя поточного року проведено культурно-мистецькі акції, фестивалі, виставки, конкурси, огляди, на що з обласного бюджету виділено 2,2 </w:t>
      </w:r>
      <w:r w:rsidR="00B96CDF" w:rsidRPr="00D36396">
        <w:rPr>
          <w:lang w:val="uk-UA"/>
        </w:rPr>
        <w:t>млн.грн.</w:t>
      </w:r>
    </w:p>
    <w:p w:rsidR="001365EA" w:rsidRPr="00D36396" w:rsidRDefault="001365EA" w:rsidP="001365EA">
      <w:pPr>
        <w:spacing w:after="60"/>
        <w:ind w:firstLine="709"/>
        <w:jc w:val="both"/>
        <w:rPr>
          <w:lang w:val="uk-UA"/>
        </w:rPr>
      </w:pPr>
      <w:r w:rsidRPr="00D36396">
        <w:rPr>
          <w:lang w:val="uk-UA"/>
        </w:rPr>
        <w:t xml:space="preserve">Здійснено заходи щодо вшанування ветеранів Великої Вітчизняної війни, учасників бойових дій на території інших держав, на що з обласного бюджету спрямовано 700 тис. грн., святкування 80-ї річниці Донецької області (0,8 млн. грн), організації та проведення урочистостей з нагоди державних свят і пам’ятних дат (400 тис. грн.), підтримки розвитку культур національних меншин області (100 тис. грн.). </w:t>
      </w:r>
    </w:p>
    <w:p w:rsidR="001365EA" w:rsidRPr="00D36396" w:rsidRDefault="001365EA" w:rsidP="001365EA">
      <w:pPr>
        <w:spacing w:after="60"/>
        <w:ind w:firstLine="709"/>
        <w:jc w:val="both"/>
        <w:rPr>
          <w:lang w:val="uk-UA"/>
        </w:rPr>
      </w:pPr>
      <w:r w:rsidRPr="00D36396">
        <w:rPr>
          <w:lang w:val="uk-UA"/>
        </w:rPr>
        <w:t xml:space="preserve">На фінансову підтримку КП </w:t>
      </w:r>
      <w:r w:rsidR="00B96CDF" w:rsidRPr="00D36396">
        <w:rPr>
          <w:lang w:val="uk-UA"/>
        </w:rPr>
        <w:t>«</w:t>
      </w:r>
      <w:r w:rsidRPr="00D36396">
        <w:rPr>
          <w:lang w:val="uk-UA"/>
        </w:rPr>
        <w:t>Донецький національний академічний театр опери                та балету  ім. А.Б. Солов’яненка</w:t>
      </w:r>
      <w:r w:rsidR="00B96CDF" w:rsidRPr="00D36396">
        <w:rPr>
          <w:lang w:val="uk-UA"/>
        </w:rPr>
        <w:t>»</w:t>
      </w:r>
      <w:r w:rsidRPr="00D36396">
        <w:rPr>
          <w:lang w:val="uk-UA"/>
        </w:rPr>
        <w:t xml:space="preserve"> з обласного бюджету виділено 20 </w:t>
      </w:r>
      <w:r w:rsidR="00B96CDF" w:rsidRPr="00D36396">
        <w:rPr>
          <w:lang w:val="uk-UA"/>
        </w:rPr>
        <w:t>млн.грн.</w:t>
      </w:r>
      <w:r w:rsidRPr="00D36396">
        <w:rPr>
          <w:lang w:val="uk-UA"/>
        </w:rPr>
        <w:t xml:space="preserve">,                              КП </w:t>
      </w:r>
      <w:r w:rsidR="00B96CDF" w:rsidRPr="00D36396">
        <w:rPr>
          <w:lang w:val="uk-UA"/>
        </w:rPr>
        <w:t>«</w:t>
      </w:r>
      <w:r w:rsidRPr="00D36396">
        <w:rPr>
          <w:lang w:val="uk-UA"/>
        </w:rPr>
        <w:t>Донецький національний український музично-драматичний театр</w:t>
      </w:r>
      <w:r w:rsidR="00B96CDF" w:rsidRPr="00D36396">
        <w:rPr>
          <w:lang w:val="uk-UA"/>
        </w:rPr>
        <w:t>»</w:t>
      </w:r>
      <w:r w:rsidRPr="00D36396">
        <w:rPr>
          <w:lang w:val="uk-UA"/>
        </w:rPr>
        <w:t xml:space="preserve"> - 12,6 </w:t>
      </w:r>
      <w:r w:rsidR="00B96CDF" w:rsidRPr="00D36396">
        <w:rPr>
          <w:lang w:val="uk-UA"/>
        </w:rPr>
        <w:t>млн.грн.</w:t>
      </w:r>
      <w:r w:rsidRPr="00D36396">
        <w:rPr>
          <w:lang w:val="uk-UA"/>
        </w:rPr>
        <w:t xml:space="preserve">,             КП </w:t>
      </w:r>
      <w:r w:rsidR="00B96CDF" w:rsidRPr="00D36396">
        <w:rPr>
          <w:lang w:val="uk-UA"/>
        </w:rPr>
        <w:t>«</w:t>
      </w:r>
      <w:r w:rsidRPr="00D36396">
        <w:rPr>
          <w:lang w:val="uk-UA"/>
        </w:rPr>
        <w:t>Кіновідеопрокат</w:t>
      </w:r>
      <w:r w:rsidR="00B96CDF" w:rsidRPr="00D36396">
        <w:rPr>
          <w:lang w:val="uk-UA"/>
        </w:rPr>
        <w:t>»</w:t>
      </w:r>
      <w:r w:rsidRPr="00D36396">
        <w:rPr>
          <w:lang w:val="uk-UA"/>
        </w:rPr>
        <w:t xml:space="preserve">  - 800 тис.грн. </w:t>
      </w:r>
    </w:p>
    <w:p w:rsidR="001365EA" w:rsidRPr="00D36396" w:rsidRDefault="001365EA" w:rsidP="001365EA">
      <w:pPr>
        <w:widowControl w:val="0"/>
        <w:autoSpaceDE w:val="0"/>
        <w:autoSpaceDN w:val="0"/>
        <w:adjustRightInd w:val="0"/>
        <w:spacing w:before="120"/>
        <w:ind w:firstLine="709"/>
        <w:jc w:val="both"/>
        <w:rPr>
          <w:rFonts w:ascii="Times New Roman CYR" w:hAnsi="Times New Roman CYR" w:cs="Times New Roman CYR"/>
          <w:lang w:val="uk-UA"/>
        </w:rPr>
      </w:pPr>
      <w:r w:rsidRPr="00D36396">
        <w:rPr>
          <w:rFonts w:ascii="Times New Roman CYR" w:hAnsi="Times New Roman CYR" w:cs="Times New Roman CYR"/>
          <w:lang w:val="uk-UA"/>
        </w:rPr>
        <w:lastRenderedPageBreak/>
        <w:t>Для підтримки видатних діячів культури і мистецтва обласною радою призначено            стипендії на загальну суму 200 тис.грн.</w:t>
      </w:r>
    </w:p>
    <w:p w:rsidR="001365EA" w:rsidRPr="00D36396" w:rsidRDefault="001365EA" w:rsidP="001365EA">
      <w:pPr>
        <w:spacing w:after="60"/>
        <w:ind w:firstLine="709"/>
        <w:jc w:val="both"/>
        <w:rPr>
          <w:lang w:val="uk-UA"/>
        </w:rPr>
      </w:pPr>
      <w:r w:rsidRPr="00D36396">
        <w:rPr>
          <w:lang w:val="uk-UA"/>
        </w:rPr>
        <w:t>Для Донецької державної музичної академії ім. С.С. Прокоф</w:t>
      </w:r>
      <w:r w:rsidRPr="00D36396">
        <w:t>’</w:t>
      </w:r>
      <w:r w:rsidRPr="00D36396">
        <w:rPr>
          <w:lang w:val="uk-UA"/>
        </w:rPr>
        <w:t xml:space="preserve">єва придбано рояль                     </w:t>
      </w:r>
      <w:r w:rsidRPr="00D36396">
        <w:t>за рахунок кошт</w:t>
      </w:r>
      <w:r w:rsidRPr="00D36396">
        <w:rPr>
          <w:lang w:val="uk-UA"/>
        </w:rPr>
        <w:t>ів обласного бюджету на суму 400 тис. грн.</w:t>
      </w:r>
    </w:p>
    <w:p w:rsidR="001365EA" w:rsidRPr="00D36396" w:rsidRDefault="001365EA" w:rsidP="001365EA">
      <w:pPr>
        <w:spacing w:after="60"/>
        <w:ind w:firstLine="709"/>
        <w:jc w:val="both"/>
        <w:rPr>
          <w:lang w:val="uk-UA"/>
        </w:rPr>
      </w:pPr>
      <w:r w:rsidRPr="00D36396">
        <w:rPr>
          <w:lang w:val="uk-UA"/>
        </w:rPr>
        <w:t xml:space="preserve">З обласного бюджету на проведення капітального ремонту Донецького обласного академічного театру ляльок, у тому числі на благоустрій прилеглої території                       виділено 1 </w:t>
      </w:r>
      <w:r w:rsidR="00B96CDF" w:rsidRPr="00D36396">
        <w:rPr>
          <w:lang w:val="uk-UA"/>
        </w:rPr>
        <w:t>млн.грн.</w:t>
      </w:r>
      <w:r w:rsidRPr="00D36396">
        <w:rPr>
          <w:lang w:val="uk-UA"/>
        </w:rPr>
        <w:t>, Донецького обласного академічного російського театру юного глядача, м. Макіївка  - 300 тис. грн.,  ремон</w:t>
      </w:r>
      <w:bookmarkStart w:id="0" w:name="_GoBack"/>
      <w:bookmarkEnd w:id="0"/>
      <w:r w:rsidRPr="00D36396">
        <w:rPr>
          <w:lang w:val="uk-UA"/>
        </w:rPr>
        <w:t>тних робіт  в Донецькій обласній філармонії – 500 тис.грн.</w:t>
      </w:r>
    </w:p>
    <w:p w:rsidR="001365EA" w:rsidRPr="00D36396" w:rsidRDefault="001365EA" w:rsidP="001365EA">
      <w:pPr>
        <w:pStyle w:val="31"/>
        <w:ind w:left="0" w:firstLine="709"/>
        <w:jc w:val="both"/>
        <w:rPr>
          <w:sz w:val="24"/>
          <w:szCs w:val="24"/>
          <w:lang w:val="uk-UA"/>
        </w:rPr>
      </w:pPr>
      <w:r w:rsidRPr="00D36396">
        <w:rPr>
          <w:sz w:val="24"/>
          <w:szCs w:val="24"/>
          <w:lang w:val="uk-UA"/>
        </w:rPr>
        <w:t xml:space="preserve">До занять </w:t>
      </w:r>
      <w:r w:rsidRPr="00D36396">
        <w:rPr>
          <w:b/>
          <w:sz w:val="24"/>
          <w:szCs w:val="24"/>
          <w:lang w:val="uk-UA"/>
        </w:rPr>
        <w:t>фізичною культурою і спортом</w:t>
      </w:r>
      <w:r w:rsidRPr="00D36396">
        <w:rPr>
          <w:sz w:val="24"/>
          <w:szCs w:val="24"/>
          <w:lang w:val="uk-UA"/>
        </w:rPr>
        <w:t xml:space="preserve"> залучено 741,1 тис. осіб або 16,8% населення області (у першому півріччі 2011 року – 740,6 тис. осіб, або 16,7%).</w:t>
      </w:r>
    </w:p>
    <w:p w:rsidR="001365EA" w:rsidRPr="00D36396" w:rsidRDefault="001365EA" w:rsidP="001365EA">
      <w:pPr>
        <w:pStyle w:val="31"/>
        <w:ind w:left="0" w:firstLine="709"/>
        <w:jc w:val="both"/>
        <w:rPr>
          <w:sz w:val="24"/>
          <w:szCs w:val="24"/>
          <w:lang w:val="uk-UA"/>
        </w:rPr>
      </w:pPr>
      <w:r w:rsidRPr="00D36396">
        <w:rPr>
          <w:sz w:val="24"/>
          <w:szCs w:val="24"/>
          <w:lang w:val="uk-UA"/>
        </w:rPr>
        <w:t>До занять фізичною культурою та спортом залучено 30,6 тис. дітей і підлітків соціально-незахищених категорій, або 49% їх загальної чисельності.</w:t>
      </w:r>
    </w:p>
    <w:p w:rsidR="001365EA" w:rsidRPr="00D36396" w:rsidRDefault="001365EA" w:rsidP="001365EA">
      <w:pPr>
        <w:pStyle w:val="31"/>
        <w:ind w:left="0" w:firstLine="709"/>
        <w:jc w:val="both"/>
        <w:rPr>
          <w:sz w:val="24"/>
          <w:szCs w:val="24"/>
          <w:lang w:val="uk-UA"/>
        </w:rPr>
      </w:pPr>
      <w:r w:rsidRPr="00D36396">
        <w:rPr>
          <w:sz w:val="24"/>
          <w:szCs w:val="24"/>
          <w:lang w:val="uk-UA"/>
        </w:rPr>
        <w:t xml:space="preserve">Частка дітей і підлітків, які займаються у 120 дитячо-юнацьких спортивних школах становить 16,3% учнів загальноосвітніх шкіл (53,5 тис. осіб). </w:t>
      </w:r>
    </w:p>
    <w:p w:rsidR="001365EA" w:rsidRPr="00D36396" w:rsidRDefault="001365EA" w:rsidP="001365EA">
      <w:pPr>
        <w:pStyle w:val="31"/>
        <w:ind w:left="0" w:firstLine="709"/>
        <w:jc w:val="both"/>
        <w:rPr>
          <w:sz w:val="24"/>
          <w:szCs w:val="24"/>
          <w:lang w:val="uk-UA"/>
        </w:rPr>
      </w:pPr>
      <w:r w:rsidRPr="00D36396">
        <w:rPr>
          <w:sz w:val="24"/>
          <w:szCs w:val="24"/>
          <w:lang w:val="uk-UA"/>
        </w:rPr>
        <w:t xml:space="preserve">В рамках Всеукраїнського місячника </w:t>
      </w:r>
      <w:r w:rsidR="00B96CDF" w:rsidRPr="00D36396">
        <w:rPr>
          <w:sz w:val="24"/>
          <w:szCs w:val="24"/>
          <w:lang w:val="uk-UA"/>
        </w:rPr>
        <w:t>«</w:t>
      </w:r>
      <w:r w:rsidRPr="00D36396">
        <w:rPr>
          <w:sz w:val="24"/>
          <w:szCs w:val="24"/>
          <w:lang w:val="uk-UA"/>
        </w:rPr>
        <w:t>Спорт для всіх – спільна турбота</w:t>
      </w:r>
      <w:r w:rsidR="00B96CDF" w:rsidRPr="00D36396">
        <w:rPr>
          <w:sz w:val="24"/>
          <w:szCs w:val="24"/>
          <w:lang w:val="uk-UA"/>
        </w:rPr>
        <w:t>»</w:t>
      </w:r>
      <w:r w:rsidRPr="00D36396">
        <w:rPr>
          <w:sz w:val="24"/>
          <w:szCs w:val="24"/>
          <w:lang w:val="uk-UA"/>
        </w:rPr>
        <w:t xml:space="preserve"> відремонтовано 2460 спортивних майданчиків. </w:t>
      </w:r>
    </w:p>
    <w:p w:rsidR="001365EA" w:rsidRPr="00D36396" w:rsidRDefault="001365EA" w:rsidP="001365EA">
      <w:pPr>
        <w:pStyle w:val="31"/>
        <w:ind w:left="0" w:firstLine="709"/>
        <w:jc w:val="both"/>
        <w:rPr>
          <w:sz w:val="24"/>
          <w:szCs w:val="24"/>
          <w:lang w:val="uk-UA"/>
        </w:rPr>
      </w:pPr>
      <w:r w:rsidRPr="00D36396">
        <w:rPr>
          <w:sz w:val="24"/>
          <w:szCs w:val="24"/>
          <w:lang w:val="uk-UA"/>
        </w:rPr>
        <w:t>Чисельність інвалідів різних нозологій, які залучені до занять спортивною                            та реабілітаційно-оздоровчою роботою, у порівнянні з першим півріччям 2011 року,  збільшилась на 12,5%  і складає 14,4 тис. осіб або 7% загальної чисельності.</w:t>
      </w:r>
    </w:p>
    <w:p w:rsidR="001365EA" w:rsidRPr="00D36396" w:rsidRDefault="001365EA" w:rsidP="001365EA">
      <w:pPr>
        <w:pStyle w:val="31"/>
        <w:ind w:left="0" w:firstLine="709"/>
        <w:jc w:val="both"/>
        <w:rPr>
          <w:sz w:val="24"/>
          <w:szCs w:val="24"/>
          <w:lang w:val="uk-UA"/>
        </w:rPr>
      </w:pPr>
      <w:r w:rsidRPr="00D36396">
        <w:rPr>
          <w:sz w:val="24"/>
          <w:szCs w:val="24"/>
          <w:lang w:val="uk-UA"/>
        </w:rPr>
        <w:t xml:space="preserve">Протягом </w:t>
      </w:r>
      <w:r w:rsidRPr="00D36396">
        <w:rPr>
          <w:sz w:val="24"/>
          <w:szCs w:val="24"/>
          <w:lang w:val="en-US"/>
        </w:rPr>
        <w:t>I</w:t>
      </w:r>
      <w:r w:rsidRPr="00D36396">
        <w:rPr>
          <w:sz w:val="24"/>
          <w:szCs w:val="24"/>
          <w:lang w:val="uk-UA"/>
        </w:rPr>
        <w:t xml:space="preserve"> півріччя поточного року в області відбулись Чемпіонат Світу з легкої атлетики серед юніорів, Чемпіонати ЄВРО-2012 з футболу, з легкої атлетики, по дзюдо,                з греко-римської боротьби, міжнародна велогонка </w:t>
      </w:r>
      <w:r w:rsidR="00B96CDF" w:rsidRPr="00D36396">
        <w:rPr>
          <w:sz w:val="24"/>
          <w:szCs w:val="24"/>
          <w:lang w:val="uk-UA"/>
        </w:rPr>
        <w:t>«</w:t>
      </w:r>
      <w:r w:rsidRPr="00D36396">
        <w:rPr>
          <w:sz w:val="24"/>
          <w:szCs w:val="24"/>
          <w:lang w:val="uk-UA"/>
        </w:rPr>
        <w:t>Гран-прі Донецька</w:t>
      </w:r>
      <w:r w:rsidR="00B96CDF" w:rsidRPr="00D36396">
        <w:rPr>
          <w:sz w:val="24"/>
          <w:szCs w:val="24"/>
          <w:lang w:val="uk-UA"/>
        </w:rPr>
        <w:t>»</w:t>
      </w:r>
      <w:r w:rsidRPr="00D36396">
        <w:rPr>
          <w:sz w:val="24"/>
          <w:szCs w:val="24"/>
          <w:lang w:val="uk-UA"/>
        </w:rPr>
        <w:t xml:space="preserve"> тощо.</w:t>
      </w:r>
    </w:p>
    <w:p w:rsidR="001365EA" w:rsidRPr="00D36396" w:rsidRDefault="001365EA" w:rsidP="001365EA">
      <w:pPr>
        <w:pStyle w:val="31"/>
        <w:ind w:left="0" w:firstLine="709"/>
        <w:jc w:val="both"/>
        <w:rPr>
          <w:sz w:val="24"/>
          <w:szCs w:val="24"/>
          <w:lang w:val="uk-UA"/>
        </w:rPr>
      </w:pPr>
      <w:r w:rsidRPr="00D36396">
        <w:rPr>
          <w:sz w:val="24"/>
          <w:szCs w:val="24"/>
          <w:lang w:val="uk-UA"/>
        </w:rPr>
        <w:t xml:space="preserve">Проведено понад 170 обласних спортивно-масових заходів. Спортсмени регіону, члени збірних команд області та України прийняли участь у 340 Всеукраїнських та міжнародних заходах.                             </w:t>
      </w:r>
    </w:p>
    <w:p w:rsidR="001365EA" w:rsidRPr="00D36396" w:rsidRDefault="001365EA" w:rsidP="001365EA">
      <w:pPr>
        <w:spacing w:after="120"/>
        <w:ind w:firstLine="709"/>
        <w:jc w:val="both"/>
        <w:rPr>
          <w:lang w:val="uk-UA"/>
        </w:rPr>
      </w:pPr>
      <w:r w:rsidRPr="00D36396">
        <w:rPr>
          <w:lang w:val="uk-UA"/>
        </w:rPr>
        <w:t xml:space="preserve">Введено в експлуатацію спортивно – оздоровчий комплекс, 2 споруди для занять водним спортом, об’єкт </w:t>
      </w:r>
      <w:r w:rsidRPr="00D36396">
        <w:rPr>
          <w:bCs/>
          <w:sz w:val="22"/>
          <w:szCs w:val="22"/>
        </w:rPr>
        <w:t xml:space="preserve">для занять спортом на </w:t>
      </w:r>
      <w:r w:rsidRPr="00D36396">
        <w:rPr>
          <w:bCs/>
          <w:sz w:val="22"/>
          <w:szCs w:val="22"/>
          <w:lang w:val="uk-UA"/>
        </w:rPr>
        <w:t xml:space="preserve">відкритому повітрі </w:t>
      </w:r>
      <w:r w:rsidRPr="00D36396">
        <w:rPr>
          <w:lang w:val="uk-UA"/>
        </w:rPr>
        <w:t>у м. Донецьк, спортивний зал у м. Макіївка тощо.</w:t>
      </w:r>
    </w:p>
    <w:p w:rsidR="000C34ED" w:rsidRPr="00D36396" w:rsidRDefault="000C34ED" w:rsidP="001365EA">
      <w:pPr>
        <w:spacing w:after="120"/>
        <w:ind w:firstLine="709"/>
        <w:jc w:val="both"/>
        <w:rPr>
          <w:color w:val="000000" w:themeColor="text1"/>
          <w:spacing w:val="-6"/>
          <w:lang w:val="uk-UA"/>
        </w:rPr>
      </w:pPr>
      <w:r w:rsidRPr="00D36396">
        <w:rPr>
          <w:color w:val="000000" w:themeColor="text1"/>
          <w:spacing w:val="-6"/>
          <w:lang w:val="uk-UA"/>
        </w:rPr>
        <w:t xml:space="preserve">Забезпечено виконання заходів Державної цільової програми з підготовки та проведення в Україні фінальної </w:t>
      </w:r>
      <w:r w:rsidRPr="00D36396">
        <w:rPr>
          <w:b/>
          <w:color w:val="000000" w:themeColor="text1"/>
          <w:spacing w:val="-6"/>
          <w:lang w:val="uk-UA"/>
        </w:rPr>
        <w:t>частини чемпіонату Європи 2012 року з футболу</w:t>
      </w:r>
      <w:r w:rsidRPr="00D36396">
        <w:rPr>
          <w:color w:val="000000" w:themeColor="text1"/>
          <w:spacing w:val="-6"/>
          <w:lang w:val="uk-UA"/>
        </w:rPr>
        <w:t>.</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 xml:space="preserve">14 травня 2012 року відбулося відкриття нового терміналу КП </w:t>
      </w:r>
      <w:r w:rsidR="00B96CDF" w:rsidRPr="00D36396">
        <w:rPr>
          <w:color w:val="000000" w:themeColor="text1"/>
          <w:lang w:val="uk-UA"/>
        </w:rPr>
        <w:t>«</w:t>
      </w:r>
      <w:r w:rsidRPr="00D36396">
        <w:rPr>
          <w:color w:val="000000" w:themeColor="text1"/>
          <w:lang w:val="uk-UA"/>
        </w:rPr>
        <w:t>Міжнародний аеропорт Донецьк  ім. С.С. Прокоф’єва</w:t>
      </w:r>
      <w:r w:rsidR="00B96CDF" w:rsidRPr="00D36396">
        <w:rPr>
          <w:color w:val="000000" w:themeColor="text1"/>
          <w:lang w:val="uk-UA"/>
        </w:rPr>
        <w:t>»</w:t>
      </w:r>
      <w:r w:rsidRPr="00D36396">
        <w:rPr>
          <w:color w:val="000000" w:themeColor="text1"/>
          <w:lang w:val="uk-UA"/>
        </w:rPr>
        <w:t>, пропускною спроможністю 3100 пасажирів на годину (при піковому навантаженні). Будівля нового терміналу відповідає всім міжнародним стандартам і вимогам з обслуговування пасажирів, термінал оснащений сучасною оглядової технікою.</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Нова штучна злітно-посадкова смуга дозволяє приймати усі типи повітряних суден.</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 xml:space="preserve">В цілому у першому півріччі 2012 року заходи з розвитку Донецького аеропорту  профінансовано в обсязі 1053,47 </w:t>
      </w:r>
      <w:r w:rsidR="00B96CDF" w:rsidRPr="00D36396">
        <w:rPr>
          <w:color w:val="000000" w:themeColor="text1"/>
          <w:lang w:val="uk-UA"/>
        </w:rPr>
        <w:t>млн.грн.</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 xml:space="preserve">21 травня 2012 року відкрито новий вокзальний комплекс залізничної станції </w:t>
      </w:r>
      <w:r w:rsidR="00B96CDF" w:rsidRPr="00D36396">
        <w:rPr>
          <w:color w:val="000000" w:themeColor="text1"/>
          <w:lang w:val="uk-UA"/>
        </w:rPr>
        <w:t>«</w:t>
      </w:r>
      <w:r w:rsidRPr="00D36396">
        <w:rPr>
          <w:color w:val="000000" w:themeColor="text1"/>
          <w:lang w:val="uk-UA"/>
        </w:rPr>
        <w:t>Донецьк</w:t>
      </w:r>
      <w:r w:rsidR="00B96CDF" w:rsidRPr="00D36396">
        <w:rPr>
          <w:color w:val="000000" w:themeColor="text1"/>
          <w:lang w:val="uk-UA"/>
        </w:rPr>
        <w:t>»</w:t>
      </w:r>
      <w:r w:rsidRPr="00D36396">
        <w:rPr>
          <w:color w:val="000000" w:themeColor="text1"/>
          <w:lang w:val="uk-UA"/>
        </w:rPr>
        <w:t xml:space="preserve">, який складається з реконструйованої основної будівлі вокзалу, збудованих приміського і транзитних вокзалів, двох торгових комплексів, двох конкорсів та приміської автостанції. </w:t>
      </w:r>
    </w:p>
    <w:p w:rsidR="000C34ED" w:rsidRPr="00D36396" w:rsidRDefault="000C34ED" w:rsidP="000C34ED">
      <w:pPr>
        <w:spacing w:after="120"/>
        <w:ind w:firstLine="709"/>
        <w:jc w:val="both"/>
        <w:rPr>
          <w:color w:val="000000" w:themeColor="text1"/>
          <w:lang w:val="uk-UA"/>
        </w:rPr>
      </w:pPr>
      <w:r w:rsidRPr="00D36396">
        <w:rPr>
          <w:color w:val="000000" w:themeColor="text1"/>
          <w:lang w:val="uk-UA"/>
        </w:rPr>
        <w:t>Реконструйований вокзальний комплекс зможе обслуговувати на рівні                     35000 пасажирів на добу. Суттєво зросла кількість місць в кімнатах відпочинку та залах очікування – до 510, створені комфортні умови для переміщення та перебування людей з обмеженими фізичними можливостями.</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lastRenderedPageBreak/>
        <w:t xml:space="preserve">Станом на 01.07.2012 року освоєно капітальних вкладень ДП </w:t>
      </w:r>
      <w:r w:rsidR="00B96CDF" w:rsidRPr="00D36396">
        <w:rPr>
          <w:color w:val="000000" w:themeColor="text1"/>
          <w:lang w:val="uk-UA"/>
        </w:rPr>
        <w:t>«</w:t>
      </w:r>
      <w:r w:rsidRPr="00D36396">
        <w:rPr>
          <w:color w:val="000000" w:themeColor="text1"/>
          <w:lang w:val="uk-UA"/>
        </w:rPr>
        <w:t>Укрзалізниця</w:t>
      </w:r>
      <w:r w:rsidR="00B96CDF" w:rsidRPr="00D36396">
        <w:rPr>
          <w:color w:val="000000" w:themeColor="text1"/>
          <w:lang w:val="uk-UA"/>
        </w:rPr>
        <w:t>»</w:t>
      </w:r>
      <w:r w:rsidRPr="00D36396">
        <w:rPr>
          <w:color w:val="000000" w:themeColor="text1"/>
          <w:lang w:val="uk-UA"/>
        </w:rPr>
        <w:t xml:space="preserve"> </w:t>
      </w:r>
      <w:r w:rsidR="00B96108" w:rsidRPr="00D36396">
        <w:rPr>
          <w:color w:val="000000" w:themeColor="text1"/>
          <w:lang w:val="uk-UA"/>
        </w:rPr>
        <w:t xml:space="preserve">                  </w:t>
      </w:r>
      <w:r w:rsidRPr="00D36396">
        <w:rPr>
          <w:color w:val="000000" w:themeColor="text1"/>
          <w:lang w:val="uk-UA"/>
        </w:rPr>
        <w:t xml:space="preserve">на суму 1150,0 </w:t>
      </w:r>
      <w:r w:rsidR="00B96CDF" w:rsidRPr="00D36396">
        <w:rPr>
          <w:color w:val="000000" w:themeColor="text1"/>
          <w:lang w:val="uk-UA"/>
        </w:rPr>
        <w:t>млн.грн.</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t xml:space="preserve">Відповідно до Державної цільової Програми ЄВРО-2012 на оновлення парку тролейбусів та автобусів на умовах відкриття кредитної лінії профінансовано                    111,2 </w:t>
      </w:r>
      <w:r w:rsidR="00B96CDF" w:rsidRPr="00D36396">
        <w:rPr>
          <w:color w:val="000000" w:themeColor="text1"/>
          <w:lang w:val="uk-UA"/>
        </w:rPr>
        <w:t>млн.грн.</w:t>
      </w:r>
      <w:r w:rsidRPr="00D36396">
        <w:rPr>
          <w:color w:val="000000" w:themeColor="text1"/>
          <w:lang w:val="uk-UA"/>
        </w:rPr>
        <w:t xml:space="preserve"> за рахунок коштів міського бюджету. У першому півріччі поточного року  приймаюче місто Донецьк отримало 17 тролейбусів. </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t xml:space="preserve">На будівництво, реконструкцію, капітальний ремонт мереж і споруд централізованого водопостачання виділено 0,31 </w:t>
      </w:r>
      <w:r w:rsidR="00B96CDF" w:rsidRPr="00D36396">
        <w:rPr>
          <w:color w:val="000000" w:themeColor="text1"/>
          <w:lang w:val="uk-UA"/>
        </w:rPr>
        <w:t>млн.грн.</w:t>
      </w:r>
      <w:r w:rsidRPr="00D36396">
        <w:rPr>
          <w:color w:val="000000" w:themeColor="text1"/>
          <w:lang w:val="uk-UA"/>
        </w:rPr>
        <w:t xml:space="preserve"> з міського бюджету.</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t>В м. Донецьку побудовано і відремонтовано понад 50 км доріг.</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t xml:space="preserve">Завершено будівництво транспортної розв'язки в районі стадіону </w:t>
      </w:r>
      <w:r w:rsidR="00B96CDF" w:rsidRPr="00D36396">
        <w:rPr>
          <w:color w:val="000000" w:themeColor="text1"/>
          <w:lang w:val="uk-UA"/>
        </w:rPr>
        <w:t>«</w:t>
      </w:r>
      <w:r w:rsidRPr="00D36396">
        <w:rPr>
          <w:color w:val="000000" w:themeColor="text1"/>
          <w:lang w:val="uk-UA"/>
        </w:rPr>
        <w:t>Донбас Арена</w:t>
      </w:r>
      <w:r w:rsidR="00B96CDF" w:rsidRPr="00D36396">
        <w:rPr>
          <w:color w:val="000000" w:themeColor="text1"/>
          <w:lang w:val="uk-UA"/>
        </w:rPr>
        <w:t>»</w:t>
      </w:r>
      <w:r w:rsidRPr="00D36396">
        <w:rPr>
          <w:color w:val="000000" w:themeColor="text1"/>
          <w:lang w:val="uk-UA"/>
        </w:rPr>
        <w:t xml:space="preserve">, а також  реконструкцію та капітальний ремонт автодоріг в центральній частині міста,  виконані капітальні ремонти під'їзних автодоріг і доріг на території лікарень міста. На фінансування зазначених заходів з міського бюджету виділено 72,32 </w:t>
      </w:r>
      <w:r w:rsidR="00B96CDF" w:rsidRPr="00D36396">
        <w:rPr>
          <w:color w:val="000000" w:themeColor="text1"/>
          <w:lang w:val="uk-UA"/>
        </w:rPr>
        <w:t>млн.грн.</w:t>
      </w:r>
      <w:r w:rsidRPr="00D36396">
        <w:rPr>
          <w:color w:val="000000" w:themeColor="text1"/>
          <w:lang w:val="uk-UA"/>
        </w:rPr>
        <w:t xml:space="preserve">, з державного – 170,0 </w:t>
      </w:r>
      <w:r w:rsidR="00B96CDF" w:rsidRPr="00D36396">
        <w:rPr>
          <w:color w:val="000000" w:themeColor="text1"/>
          <w:lang w:val="uk-UA"/>
        </w:rPr>
        <w:t>млн.грн.</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t xml:space="preserve">На будівництво зон паркування для відстою транспорту в звітному періоді виділено 9,79 </w:t>
      </w:r>
      <w:r w:rsidR="00B96CDF" w:rsidRPr="00D36396">
        <w:rPr>
          <w:color w:val="000000" w:themeColor="text1"/>
          <w:lang w:val="uk-UA"/>
        </w:rPr>
        <w:t>млн.грн.</w:t>
      </w:r>
      <w:r w:rsidRPr="00D36396">
        <w:rPr>
          <w:color w:val="000000" w:themeColor="text1"/>
          <w:lang w:val="uk-UA"/>
        </w:rPr>
        <w:t xml:space="preserve"> з міського бюджету.</w:t>
      </w:r>
    </w:p>
    <w:p w:rsidR="000C34ED" w:rsidRPr="00D36396" w:rsidRDefault="000C34ED" w:rsidP="00B96CDF">
      <w:pPr>
        <w:keepNext/>
        <w:widowControl w:val="0"/>
        <w:spacing w:after="120"/>
        <w:ind w:firstLine="709"/>
        <w:jc w:val="both"/>
        <w:rPr>
          <w:color w:val="000000" w:themeColor="text1"/>
          <w:lang w:val="uk-UA"/>
        </w:rPr>
      </w:pPr>
      <w:r w:rsidRPr="00D36396">
        <w:rPr>
          <w:color w:val="000000" w:themeColor="text1"/>
          <w:lang w:val="uk-UA"/>
        </w:rPr>
        <w:t>Побудовано і реконструйовано 11 готелів на 984 номери, з яких  5 – у м. Донецьк. Завершено роботи з організації понад</w:t>
      </w:r>
      <w:r w:rsidRPr="00D36396">
        <w:rPr>
          <w:bCs/>
          <w:color w:val="000000" w:themeColor="text1"/>
          <w:lang w:val="uk-UA"/>
        </w:rPr>
        <w:t xml:space="preserve"> 11 тисяч місць</w:t>
      </w:r>
      <w:r w:rsidRPr="00D36396">
        <w:rPr>
          <w:color w:val="000000" w:themeColor="text1"/>
          <w:lang w:val="uk-UA"/>
        </w:rPr>
        <w:t xml:space="preserve"> для розміщення вболівальників Турніру різної категорі</w:t>
      </w:r>
      <w:r w:rsidR="00B96108" w:rsidRPr="00D36396">
        <w:rPr>
          <w:color w:val="000000" w:themeColor="text1"/>
          <w:lang w:val="uk-UA"/>
        </w:rPr>
        <w:t>ї</w:t>
      </w:r>
      <w:r w:rsidRPr="00D36396">
        <w:rPr>
          <w:color w:val="000000" w:themeColor="text1"/>
          <w:lang w:val="uk-UA"/>
        </w:rPr>
        <w:t>: від хостелів до комфортабельних готелів.</w:t>
      </w:r>
    </w:p>
    <w:p w:rsidR="000C34ED" w:rsidRPr="00D36396" w:rsidRDefault="000C34ED" w:rsidP="00B96CDF">
      <w:pPr>
        <w:keepNext/>
        <w:widowControl w:val="0"/>
        <w:spacing w:after="120"/>
        <w:ind w:firstLine="709"/>
        <w:jc w:val="both"/>
        <w:rPr>
          <w:color w:val="000000" w:themeColor="text1"/>
          <w:sz w:val="28"/>
          <w:szCs w:val="28"/>
          <w:lang w:val="uk-UA"/>
        </w:rPr>
      </w:pPr>
      <w:r w:rsidRPr="00D36396">
        <w:rPr>
          <w:color w:val="000000" w:themeColor="text1"/>
          <w:lang w:val="uk-UA"/>
        </w:rPr>
        <w:t>В цілому за перше півріччя поточного року на фінансування заходів Програми            ЄВРО 2012 було спрямовано 2,8 млрд.</w:t>
      </w:r>
      <w:r w:rsidR="00057593" w:rsidRPr="00D36396">
        <w:rPr>
          <w:color w:val="000000" w:themeColor="text1"/>
          <w:lang w:val="uk-UA"/>
        </w:rPr>
        <w:t xml:space="preserve"> </w:t>
      </w:r>
      <w:r w:rsidRPr="00D36396">
        <w:rPr>
          <w:color w:val="000000" w:themeColor="text1"/>
          <w:lang w:val="uk-UA"/>
        </w:rPr>
        <w:t>грн., в тому числі за рахунок державних коштів –            2,6 млрд.</w:t>
      </w:r>
      <w:r w:rsidR="00057593" w:rsidRPr="00D36396">
        <w:rPr>
          <w:color w:val="000000" w:themeColor="text1"/>
          <w:lang w:val="uk-UA"/>
        </w:rPr>
        <w:t xml:space="preserve"> </w:t>
      </w:r>
      <w:r w:rsidRPr="00D36396">
        <w:rPr>
          <w:color w:val="000000" w:themeColor="text1"/>
          <w:lang w:val="uk-UA"/>
        </w:rPr>
        <w:t>грн., місцевих бюджетів – 0,2 млрд.</w:t>
      </w:r>
      <w:r w:rsidR="00057593" w:rsidRPr="00D36396">
        <w:rPr>
          <w:color w:val="000000" w:themeColor="text1"/>
          <w:lang w:val="uk-UA"/>
        </w:rPr>
        <w:t xml:space="preserve"> </w:t>
      </w:r>
      <w:r w:rsidRPr="00D36396">
        <w:rPr>
          <w:color w:val="000000" w:themeColor="text1"/>
          <w:lang w:val="uk-UA"/>
        </w:rPr>
        <w:t xml:space="preserve">грн. </w:t>
      </w:r>
    </w:p>
    <w:p w:rsidR="00D436E0" w:rsidRPr="00D36396" w:rsidRDefault="00D436E0" w:rsidP="00B96CDF">
      <w:pPr>
        <w:keepNext/>
        <w:widowControl w:val="0"/>
        <w:spacing w:after="120"/>
        <w:ind w:firstLine="708"/>
        <w:jc w:val="both"/>
        <w:rPr>
          <w:color w:val="000000" w:themeColor="text1"/>
          <w:spacing w:val="-6"/>
          <w:lang w:val="uk-UA"/>
        </w:rPr>
      </w:pPr>
      <w:r w:rsidRPr="00D36396">
        <w:rPr>
          <w:color w:val="000000" w:themeColor="text1"/>
          <w:spacing w:val="-6"/>
          <w:lang w:val="uk-UA"/>
        </w:rPr>
        <w:t xml:space="preserve">В області сформований значний сектор </w:t>
      </w:r>
      <w:r w:rsidRPr="00D36396">
        <w:rPr>
          <w:b/>
          <w:color w:val="000000" w:themeColor="text1"/>
          <w:spacing w:val="-6"/>
          <w:lang w:val="uk-UA"/>
        </w:rPr>
        <w:t>малого підприємництва.</w:t>
      </w:r>
    </w:p>
    <w:p w:rsidR="00D436E0" w:rsidRPr="00D36396" w:rsidRDefault="00D436E0" w:rsidP="00B96CDF">
      <w:pPr>
        <w:keepNext/>
        <w:widowControl w:val="0"/>
        <w:spacing w:after="120"/>
        <w:ind w:firstLine="709"/>
        <w:jc w:val="both"/>
        <w:rPr>
          <w:color w:val="000000" w:themeColor="text1"/>
          <w:lang w:val="uk-UA"/>
        </w:rPr>
      </w:pPr>
      <w:r w:rsidRPr="00D36396">
        <w:rPr>
          <w:color w:val="000000" w:themeColor="text1"/>
          <w:lang w:val="uk-UA"/>
        </w:rPr>
        <w:t xml:space="preserve">Станом на 01.01.2012 на 10 тис. осіб наявного населення припадало 54 малих підприємства (47 – у 2010 році). </w:t>
      </w:r>
    </w:p>
    <w:p w:rsidR="00D436E0" w:rsidRPr="00D36396" w:rsidRDefault="00D436E0" w:rsidP="00B96CDF">
      <w:pPr>
        <w:keepNext/>
        <w:widowControl w:val="0"/>
        <w:spacing w:after="120"/>
        <w:ind w:right="-6" w:firstLine="720"/>
        <w:jc w:val="both"/>
        <w:rPr>
          <w:color w:val="000000" w:themeColor="text1"/>
          <w:lang w:val="uk-UA"/>
        </w:rPr>
      </w:pPr>
      <w:r w:rsidRPr="00D36396">
        <w:rPr>
          <w:color w:val="000000" w:themeColor="text1"/>
          <w:lang w:val="uk-UA"/>
        </w:rPr>
        <w:t>Кількість працюючих на малих підприємствах за 2011 рік порівняно з 2010 роком зменшилась на 3,5% і склала 147,5 тис. осіб, фізичних осіб - підприємців – на 2,7% і склала 169,3 тис. осіб. В той же час, на 5,9% збільшилась кількість найманих працівників у фізичних осіб – підприємців. Загальна кількість працюючих у сфері малого бізнесу склала 387,5 тис. осіб.</w:t>
      </w:r>
    </w:p>
    <w:p w:rsidR="00D436E0" w:rsidRPr="00D36396" w:rsidRDefault="00D436E0" w:rsidP="00B96CDF">
      <w:pPr>
        <w:keepNext/>
        <w:widowControl w:val="0"/>
        <w:spacing w:after="120"/>
        <w:ind w:right="-6" w:firstLine="720"/>
        <w:jc w:val="both"/>
        <w:rPr>
          <w:color w:val="000000" w:themeColor="text1"/>
          <w:lang w:val="uk-UA"/>
        </w:rPr>
      </w:pPr>
      <w:r w:rsidRPr="00D36396">
        <w:rPr>
          <w:color w:val="000000" w:themeColor="text1"/>
          <w:lang w:val="uk-UA"/>
        </w:rPr>
        <w:t>Середньомісячна заробітна плата працівників малих підприємств зросла на 19,8% і склала 1534,48 грн., але вона залишається майже вдвічі меншою, ніж середня по області          (3063 грн.).</w:t>
      </w:r>
    </w:p>
    <w:p w:rsidR="00D436E0" w:rsidRPr="00D36396" w:rsidRDefault="00D436E0" w:rsidP="00B96CDF">
      <w:pPr>
        <w:keepNext/>
        <w:widowControl w:val="0"/>
        <w:spacing w:after="120"/>
        <w:ind w:right="-6" w:firstLine="720"/>
        <w:jc w:val="both"/>
        <w:rPr>
          <w:color w:val="000000" w:themeColor="text1"/>
          <w:lang w:val="uk-UA"/>
        </w:rPr>
      </w:pPr>
      <w:r w:rsidRPr="00D36396">
        <w:rPr>
          <w:color w:val="000000" w:themeColor="text1"/>
          <w:lang w:val="uk-UA"/>
        </w:rPr>
        <w:t>Підприємствами малого бізнесу було</w:t>
      </w:r>
      <w:r w:rsidRPr="00D36396">
        <w:rPr>
          <w:b/>
          <w:color w:val="000000" w:themeColor="text1"/>
          <w:lang w:val="uk-UA"/>
        </w:rPr>
        <w:t xml:space="preserve"> </w:t>
      </w:r>
      <w:r w:rsidRPr="00D36396">
        <w:rPr>
          <w:color w:val="000000" w:themeColor="text1"/>
          <w:lang w:val="uk-UA"/>
        </w:rPr>
        <w:t xml:space="preserve">реалізовано продукції, виконано робіт і надано послуг на суму 39962,3 </w:t>
      </w:r>
      <w:r w:rsidR="00B96CDF" w:rsidRPr="00D36396">
        <w:rPr>
          <w:color w:val="000000" w:themeColor="text1"/>
          <w:lang w:val="uk-UA"/>
        </w:rPr>
        <w:t>млн.грн.</w:t>
      </w:r>
      <w:r w:rsidRPr="00D36396">
        <w:rPr>
          <w:color w:val="000000" w:themeColor="text1"/>
          <w:lang w:val="uk-UA"/>
        </w:rPr>
        <w:t xml:space="preserve">, що на 5,0% більше, ніж у попередньому році. Частка малого бізнесу в загальному обсязі реалізації по області склала 5,8% (в 2010 році -  7,6%). </w:t>
      </w:r>
    </w:p>
    <w:p w:rsidR="00D436E0" w:rsidRPr="00D36396" w:rsidRDefault="00D436E0" w:rsidP="00B96CDF">
      <w:pPr>
        <w:keepNext/>
        <w:widowControl w:val="0"/>
        <w:spacing w:after="120"/>
        <w:ind w:right="-6" w:firstLine="720"/>
        <w:jc w:val="both"/>
        <w:rPr>
          <w:color w:val="000000" w:themeColor="text1"/>
          <w:lang w:val="uk-UA"/>
        </w:rPr>
      </w:pPr>
      <w:r w:rsidRPr="00D36396">
        <w:rPr>
          <w:color w:val="000000" w:themeColor="text1"/>
          <w:lang w:val="uk-UA"/>
        </w:rPr>
        <w:t xml:space="preserve">Малими підприємствами отримано негативний фінансовий результат до оподаткування в сумі 227,7 </w:t>
      </w:r>
      <w:r w:rsidR="00B96CDF" w:rsidRPr="00D36396">
        <w:rPr>
          <w:color w:val="000000" w:themeColor="text1"/>
          <w:lang w:val="uk-UA"/>
        </w:rPr>
        <w:t>млн.грн.</w:t>
      </w:r>
      <w:r w:rsidRPr="00D36396">
        <w:rPr>
          <w:color w:val="000000" w:themeColor="text1"/>
          <w:lang w:val="uk-UA"/>
        </w:rPr>
        <w:t xml:space="preserve"> </w:t>
      </w:r>
    </w:p>
    <w:p w:rsidR="00D436E0" w:rsidRPr="00D36396" w:rsidRDefault="00D436E0" w:rsidP="00B96CDF">
      <w:pPr>
        <w:keepNext/>
        <w:widowControl w:val="0"/>
        <w:spacing w:after="120"/>
        <w:ind w:firstLine="709"/>
        <w:jc w:val="both"/>
        <w:rPr>
          <w:color w:val="000000" w:themeColor="text1"/>
          <w:lang w:val="uk-UA"/>
        </w:rPr>
      </w:pPr>
      <w:r w:rsidRPr="00D36396">
        <w:rPr>
          <w:color w:val="000000" w:themeColor="text1"/>
          <w:lang w:val="uk-UA"/>
        </w:rPr>
        <w:t>Надходження до бюджетів усіх рівнів від діяльності суб’єктів малого підприємництва збільшились  на 47,5 %  і склали 3,7 млрд. грн.</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На реалізацію заходів Регіональної програми підтримки малого підприємництва у Донецькій області на 2011-2012 роки, яка є механізмом реалізації Регіональної стратегії розвитку малого та середнього бізнесу в Донецькій області на період до 2016 року, з обласного бюджету в 2012 році виділено  </w:t>
      </w:r>
      <w:r w:rsidR="00E00443" w:rsidRPr="00D36396">
        <w:rPr>
          <w:color w:val="000000" w:themeColor="text1"/>
          <w:spacing w:val="-6"/>
          <w:lang w:val="uk-UA"/>
        </w:rPr>
        <w:t xml:space="preserve">1324,4 </w:t>
      </w:r>
      <w:r w:rsidRPr="00D36396">
        <w:rPr>
          <w:color w:val="000000" w:themeColor="text1"/>
          <w:spacing w:val="-6"/>
          <w:lang w:val="uk-UA"/>
        </w:rPr>
        <w:t>тис. грн.,</w:t>
      </w:r>
      <w:r w:rsidRPr="00D36396">
        <w:rPr>
          <w:color w:val="000000" w:themeColor="text1"/>
          <w:lang w:val="uk-UA"/>
        </w:rPr>
        <w:t xml:space="preserve"> в тому числі 518,0 тис. грн. на погашення кредиторської заборгованості за попередній рік</w:t>
      </w:r>
      <w:r w:rsidR="00E00443" w:rsidRPr="00D36396">
        <w:rPr>
          <w:color w:val="000000" w:themeColor="text1"/>
          <w:lang w:val="uk-UA"/>
        </w:rPr>
        <w:t xml:space="preserve">,проводиться підготовка універсальної виставки-ярмарку </w:t>
      </w:r>
      <w:r w:rsidR="00B96CDF" w:rsidRPr="00D36396">
        <w:rPr>
          <w:color w:val="000000" w:themeColor="text1"/>
          <w:lang w:val="uk-UA"/>
        </w:rPr>
        <w:t>«</w:t>
      </w:r>
      <w:r w:rsidR="00E00443" w:rsidRPr="00D36396">
        <w:rPr>
          <w:color w:val="000000" w:themeColor="text1"/>
          <w:lang w:val="uk-UA"/>
        </w:rPr>
        <w:t>Єврорегіон Донбас-2012</w:t>
      </w:r>
      <w:r w:rsidR="00B96CDF" w:rsidRPr="00D36396">
        <w:rPr>
          <w:color w:val="000000" w:themeColor="text1"/>
          <w:lang w:val="uk-UA"/>
        </w:rPr>
        <w:t>»</w:t>
      </w:r>
      <w:r w:rsidR="00E00443" w:rsidRPr="00D36396">
        <w:rPr>
          <w:color w:val="000000" w:themeColor="text1"/>
          <w:lang w:val="uk-UA"/>
        </w:rPr>
        <w:t xml:space="preserve"> (м. Маріуполь)</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lastRenderedPageBreak/>
        <w:t xml:space="preserve">За ці кошти забезпечено функціонування Ресурсного центру Регіонального фонду підтримки підприємництва по Донецькій області, комунального підприємства </w:t>
      </w:r>
      <w:r w:rsidR="00B96CDF" w:rsidRPr="00D36396">
        <w:rPr>
          <w:color w:val="000000" w:themeColor="text1"/>
          <w:spacing w:val="-6"/>
          <w:lang w:val="uk-UA"/>
        </w:rPr>
        <w:t>«</w:t>
      </w:r>
      <w:r w:rsidRPr="00D36396">
        <w:rPr>
          <w:color w:val="000000" w:themeColor="text1"/>
          <w:spacing w:val="-6"/>
          <w:lang w:val="uk-UA"/>
        </w:rPr>
        <w:t>Донецький обласний координаційний центр підтримки підприємництва</w:t>
      </w:r>
      <w:r w:rsidR="00B96CDF" w:rsidRPr="00D36396">
        <w:rPr>
          <w:color w:val="000000" w:themeColor="text1"/>
          <w:spacing w:val="-6"/>
          <w:lang w:val="uk-UA"/>
        </w:rPr>
        <w:t>»</w:t>
      </w:r>
      <w:r w:rsidRPr="00D36396">
        <w:rPr>
          <w:color w:val="000000" w:themeColor="text1"/>
          <w:spacing w:val="-6"/>
          <w:lang w:val="uk-UA"/>
        </w:rPr>
        <w:t>.</w:t>
      </w:r>
    </w:p>
    <w:p w:rsidR="00D436E0" w:rsidRPr="00D36396" w:rsidRDefault="00D436E0" w:rsidP="00B96CDF">
      <w:pPr>
        <w:keepNext/>
        <w:widowControl w:val="0"/>
        <w:tabs>
          <w:tab w:val="left" w:pos="0"/>
        </w:tabs>
        <w:spacing w:after="120"/>
        <w:ind w:firstLine="720"/>
        <w:jc w:val="both"/>
        <w:rPr>
          <w:color w:val="000000" w:themeColor="text1"/>
          <w:lang w:val="uk-UA"/>
        </w:rPr>
      </w:pPr>
      <w:r w:rsidRPr="00D36396">
        <w:rPr>
          <w:color w:val="000000" w:themeColor="text1"/>
          <w:lang w:val="uk-UA"/>
        </w:rPr>
        <w:t xml:space="preserve">У лютому </w:t>
      </w:r>
      <w:r w:rsidR="00B96108" w:rsidRPr="00D36396">
        <w:rPr>
          <w:color w:val="000000" w:themeColor="text1"/>
          <w:lang w:val="uk-UA"/>
        </w:rPr>
        <w:t>поточного року</w:t>
      </w:r>
      <w:r w:rsidRPr="00D36396">
        <w:rPr>
          <w:color w:val="000000" w:themeColor="text1"/>
          <w:lang w:val="uk-UA"/>
        </w:rPr>
        <w:t xml:space="preserve">  повністю погашено кредиторську заборгованість </w:t>
      </w:r>
      <w:r w:rsidR="00B96108" w:rsidRPr="00D36396">
        <w:rPr>
          <w:color w:val="000000" w:themeColor="text1"/>
          <w:lang w:val="uk-UA"/>
        </w:rPr>
        <w:t xml:space="preserve">                       </w:t>
      </w:r>
      <w:r w:rsidRPr="00D36396">
        <w:rPr>
          <w:color w:val="000000" w:themeColor="text1"/>
          <w:lang w:val="uk-UA"/>
        </w:rPr>
        <w:t>за 2011 рік, в тому числі 450,0 тис. грн. на компенсацію відсоткових ставок за банківськими кредитами, залученими суб’єктами малого та середнього підприємництва на реалізацію 9 бізнес-проектів.</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За рахунок коштів Фонду загальнообов’язкового державного соціального страхування України на випадок безробіття одноразово допомогу по безробіттю для організації підприємницької діяльності отримали 300 осіб на загальну суму понад 3,8 </w:t>
      </w:r>
      <w:r w:rsidR="00B96CDF" w:rsidRPr="00D36396">
        <w:rPr>
          <w:color w:val="000000" w:themeColor="text1"/>
          <w:spacing w:val="-6"/>
          <w:lang w:val="uk-UA"/>
        </w:rPr>
        <w:t>млн.грн.</w:t>
      </w:r>
      <w:r w:rsidRPr="00D36396">
        <w:rPr>
          <w:color w:val="000000" w:themeColor="text1"/>
          <w:spacing w:val="-6"/>
          <w:lang w:val="uk-UA"/>
        </w:rPr>
        <w:t xml:space="preserve"> Працевлаштовані 525 безробітних шляхом надання дотацій роботодавцям у сумі </w:t>
      </w:r>
      <w:r w:rsidR="00B96108" w:rsidRPr="00D36396">
        <w:rPr>
          <w:color w:val="000000" w:themeColor="text1"/>
          <w:spacing w:val="-6"/>
          <w:lang w:val="uk-UA"/>
        </w:rPr>
        <w:t xml:space="preserve">                                </w:t>
      </w:r>
      <w:r w:rsidRPr="00D36396">
        <w:rPr>
          <w:color w:val="000000" w:themeColor="text1"/>
          <w:spacing w:val="-6"/>
          <w:lang w:val="uk-UA"/>
        </w:rPr>
        <w:t>понад 15,0 </w:t>
      </w:r>
      <w:r w:rsidR="00B96CDF" w:rsidRPr="00D36396">
        <w:rPr>
          <w:color w:val="000000" w:themeColor="text1"/>
          <w:spacing w:val="-6"/>
          <w:lang w:val="uk-UA"/>
        </w:rPr>
        <w:t>млн.грн.</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Станом на 01.07.2012 для потреб підприємницької діяльності передано в оренду біля 1,7 тис. вільних приміщень комунальної власності територіальних громад загальною площею 185,5 тис. кв. м. З початку року продано 73 приміщення (12,2 тис. кв. м.).</w:t>
      </w:r>
    </w:p>
    <w:p w:rsidR="00D436E0" w:rsidRPr="00D36396" w:rsidRDefault="00D436E0" w:rsidP="00B96CDF">
      <w:pPr>
        <w:keepNext/>
        <w:widowControl w:val="0"/>
        <w:tabs>
          <w:tab w:val="left" w:pos="0"/>
        </w:tabs>
        <w:spacing w:after="120"/>
        <w:ind w:right="34" w:firstLine="720"/>
        <w:jc w:val="both"/>
        <w:rPr>
          <w:color w:val="000000" w:themeColor="text1"/>
          <w:spacing w:val="-6"/>
          <w:lang w:val="uk-UA"/>
        </w:rPr>
      </w:pPr>
      <w:r w:rsidRPr="00D36396">
        <w:rPr>
          <w:color w:val="000000" w:themeColor="text1"/>
          <w:spacing w:val="-6"/>
          <w:lang w:val="uk-UA"/>
        </w:rPr>
        <w:t xml:space="preserve">Ресурсним центром Регіонального фонду підтримки підприємництва по Донецькій області у 12 містах та 6 районах області проведено 34 навчальних заходи, у яких взяли участь більше </w:t>
      </w:r>
      <w:r w:rsidR="00B96108" w:rsidRPr="00D36396">
        <w:rPr>
          <w:color w:val="000000" w:themeColor="text1"/>
          <w:spacing w:val="-6"/>
          <w:lang w:val="uk-UA"/>
        </w:rPr>
        <w:t xml:space="preserve">             </w:t>
      </w:r>
      <w:r w:rsidRPr="00D36396">
        <w:rPr>
          <w:color w:val="000000" w:themeColor="text1"/>
          <w:spacing w:val="-6"/>
          <w:lang w:val="uk-UA"/>
        </w:rPr>
        <w:t xml:space="preserve">695 тис. осіб (суб’єкти підприємницької діяльності, безробітні, молодь, жінки). </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Комунальним підприємством </w:t>
      </w:r>
      <w:r w:rsidR="00B96CDF" w:rsidRPr="00D36396">
        <w:rPr>
          <w:color w:val="000000" w:themeColor="text1"/>
          <w:spacing w:val="-6"/>
          <w:lang w:val="uk-UA"/>
        </w:rPr>
        <w:t>«</w:t>
      </w:r>
      <w:r w:rsidRPr="00D36396">
        <w:rPr>
          <w:color w:val="000000" w:themeColor="text1"/>
          <w:spacing w:val="-6"/>
          <w:lang w:val="uk-UA"/>
        </w:rPr>
        <w:t>Донецький обласний координаційний центр підтримки підприємництва</w:t>
      </w:r>
      <w:r w:rsidR="00B96CDF" w:rsidRPr="00D36396">
        <w:rPr>
          <w:color w:val="000000" w:themeColor="text1"/>
          <w:spacing w:val="-6"/>
          <w:lang w:val="uk-UA"/>
        </w:rPr>
        <w:t>»</w:t>
      </w:r>
      <w:r w:rsidRPr="00D36396">
        <w:rPr>
          <w:color w:val="000000" w:themeColor="text1"/>
          <w:spacing w:val="-6"/>
          <w:lang w:val="uk-UA"/>
        </w:rPr>
        <w:t xml:space="preserve"> для суб’єктів підприємницької діяльності проведено 17 семінарів, тренінгів, майстер-класів з актуальних питань ведення бізнесу. На базі КП ДОКЦПП функціонує Бізнес-школа, розробляються навчальні програми для дистанційного навчання. </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На </w:t>
      </w:r>
      <w:r w:rsidR="00B96CDF" w:rsidRPr="00D36396">
        <w:rPr>
          <w:color w:val="000000" w:themeColor="text1"/>
          <w:spacing w:val="-6"/>
          <w:lang w:val="uk-UA"/>
        </w:rPr>
        <w:t>«</w:t>
      </w:r>
      <w:r w:rsidRPr="00D36396">
        <w:rPr>
          <w:color w:val="000000" w:themeColor="text1"/>
          <w:spacing w:val="-6"/>
          <w:lang w:val="uk-UA"/>
        </w:rPr>
        <w:t>гарячу лінію підтримки підприємців</w:t>
      </w:r>
      <w:r w:rsidR="00B96CDF" w:rsidRPr="00D36396">
        <w:rPr>
          <w:color w:val="000000" w:themeColor="text1"/>
          <w:spacing w:val="-6"/>
          <w:lang w:val="uk-UA"/>
        </w:rPr>
        <w:t>»</w:t>
      </w:r>
      <w:r w:rsidRPr="00D36396">
        <w:rPr>
          <w:color w:val="000000" w:themeColor="text1"/>
          <w:spacing w:val="-6"/>
          <w:lang w:val="uk-UA"/>
        </w:rPr>
        <w:t xml:space="preserve"> при Регіональному фонді підтримки підприємництва по Донецькій області протягом І півріччя </w:t>
      </w:r>
      <w:r w:rsidR="00B96108" w:rsidRPr="00D36396">
        <w:rPr>
          <w:color w:val="000000" w:themeColor="text1"/>
          <w:spacing w:val="-6"/>
          <w:lang w:val="uk-UA"/>
        </w:rPr>
        <w:t>поточного року</w:t>
      </w:r>
      <w:r w:rsidRPr="00D36396">
        <w:rPr>
          <w:color w:val="000000" w:themeColor="text1"/>
          <w:spacing w:val="-6"/>
          <w:lang w:val="uk-UA"/>
        </w:rPr>
        <w:t xml:space="preserve"> звернулося та отримало інформаційну, консультативну, юридичну допомогу 1,7 тис.</w:t>
      </w:r>
      <w:r w:rsidRPr="00D36396">
        <w:rPr>
          <w:b/>
          <w:color w:val="000000" w:themeColor="text1"/>
          <w:spacing w:val="-6"/>
          <w:lang w:val="uk-UA"/>
        </w:rPr>
        <w:t xml:space="preserve"> </w:t>
      </w:r>
      <w:r w:rsidRPr="00D36396">
        <w:rPr>
          <w:color w:val="000000" w:themeColor="text1"/>
          <w:spacing w:val="-6"/>
          <w:lang w:val="uk-UA"/>
        </w:rPr>
        <w:t xml:space="preserve">підприємців. </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На базі КП </w:t>
      </w:r>
      <w:r w:rsidR="00B96CDF" w:rsidRPr="00D36396">
        <w:rPr>
          <w:color w:val="000000" w:themeColor="text1"/>
          <w:spacing w:val="-6"/>
          <w:lang w:val="uk-UA"/>
        </w:rPr>
        <w:t>«</w:t>
      </w:r>
      <w:r w:rsidRPr="00D36396">
        <w:rPr>
          <w:color w:val="000000" w:themeColor="text1"/>
          <w:spacing w:val="-6"/>
          <w:lang w:val="uk-UA"/>
        </w:rPr>
        <w:t>Донецький обласний координаційний центр підтримки підприємництва</w:t>
      </w:r>
      <w:r w:rsidR="00B96CDF" w:rsidRPr="00D36396">
        <w:rPr>
          <w:color w:val="000000" w:themeColor="text1"/>
          <w:spacing w:val="-6"/>
          <w:lang w:val="uk-UA"/>
        </w:rPr>
        <w:t>»</w:t>
      </w:r>
      <w:r w:rsidRPr="00D36396">
        <w:rPr>
          <w:color w:val="000000" w:themeColor="text1"/>
          <w:spacing w:val="-6"/>
          <w:lang w:val="uk-UA"/>
        </w:rPr>
        <w:t xml:space="preserve"> функціонує Єдине інформаційне вікно – </w:t>
      </w:r>
      <w:r w:rsidR="00B96CDF" w:rsidRPr="00D36396">
        <w:rPr>
          <w:color w:val="000000" w:themeColor="text1"/>
          <w:spacing w:val="-6"/>
          <w:lang w:val="uk-UA"/>
        </w:rPr>
        <w:t>«</w:t>
      </w:r>
      <w:r w:rsidRPr="00D36396">
        <w:rPr>
          <w:color w:val="000000" w:themeColor="text1"/>
          <w:spacing w:val="-6"/>
          <w:lang w:val="uk-UA"/>
        </w:rPr>
        <w:t>Обласна гаряча лінія</w:t>
      </w:r>
      <w:r w:rsidR="00B96CDF" w:rsidRPr="00D36396">
        <w:rPr>
          <w:color w:val="000000" w:themeColor="text1"/>
          <w:spacing w:val="-6"/>
          <w:lang w:val="uk-UA"/>
        </w:rPr>
        <w:t>»</w:t>
      </w:r>
      <w:r w:rsidRPr="00D36396">
        <w:rPr>
          <w:color w:val="000000" w:themeColor="text1"/>
          <w:spacing w:val="-6"/>
          <w:lang w:val="uk-UA"/>
        </w:rPr>
        <w:t xml:space="preserve"> + Обласний інформаційно-консультаційний бізнес-портал. Протягом </w:t>
      </w:r>
      <w:r w:rsidR="00210EF1" w:rsidRPr="00D36396">
        <w:rPr>
          <w:color w:val="000000" w:themeColor="text1"/>
          <w:spacing w:val="-6"/>
          <w:lang w:val="uk-UA"/>
        </w:rPr>
        <w:t>першого</w:t>
      </w:r>
      <w:r w:rsidRPr="00D36396">
        <w:rPr>
          <w:color w:val="000000" w:themeColor="text1"/>
          <w:spacing w:val="-6"/>
          <w:lang w:val="uk-UA"/>
        </w:rPr>
        <w:t xml:space="preserve"> півріччя 2012 року до </w:t>
      </w:r>
      <w:r w:rsidR="00B96CDF" w:rsidRPr="00D36396">
        <w:rPr>
          <w:color w:val="000000" w:themeColor="text1"/>
          <w:spacing w:val="-6"/>
          <w:lang w:val="uk-UA"/>
        </w:rPr>
        <w:t>«</w:t>
      </w:r>
      <w:r w:rsidRPr="00D36396">
        <w:rPr>
          <w:color w:val="000000" w:themeColor="text1"/>
          <w:spacing w:val="-6"/>
          <w:lang w:val="uk-UA"/>
        </w:rPr>
        <w:t>Обласної гарячої лінії</w:t>
      </w:r>
      <w:r w:rsidR="00B96CDF" w:rsidRPr="00D36396">
        <w:rPr>
          <w:color w:val="000000" w:themeColor="text1"/>
          <w:spacing w:val="-6"/>
          <w:lang w:val="uk-UA"/>
        </w:rPr>
        <w:t>»</w:t>
      </w:r>
      <w:r w:rsidRPr="00D36396">
        <w:rPr>
          <w:color w:val="000000" w:themeColor="text1"/>
          <w:spacing w:val="-6"/>
          <w:lang w:val="uk-UA"/>
        </w:rPr>
        <w:t xml:space="preserve"> звернулось  836 осіб, 101 запит був отриманий через інформаційно-консультаційний бізнес-портал. На базі бізнес-порталу розробляється електронно-торгова система. Здійснюється наповнення бази даних малих та середніх підприємств - потенційних учасників системи.</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З метою спрощення процедури отримання документів дозвільного характеру в усіх містах і районах області працюють дозвільні центри. За результатами моніторингу роботи дозвільних центрів області протягом </w:t>
      </w:r>
      <w:r w:rsidR="00210EF1" w:rsidRPr="00D36396">
        <w:rPr>
          <w:color w:val="000000" w:themeColor="text1"/>
          <w:spacing w:val="-6"/>
          <w:lang w:val="uk-UA"/>
        </w:rPr>
        <w:t>першого</w:t>
      </w:r>
      <w:r w:rsidRPr="00D36396">
        <w:rPr>
          <w:color w:val="000000" w:themeColor="text1"/>
          <w:spacing w:val="-6"/>
          <w:lang w:val="uk-UA"/>
        </w:rPr>
        <w:t xml:space="preserve"> півріччя 2012 року до них звернулося 39,9 тис. суб’єктів підприємництва, яким видано 32,6 тис. документів дозвільного характеру, зареєстровано </w:t>
      </w:r>
      <w:r w:rsidR="00B96108" w:rsidRPr="00D36396">
        <w:rPr>
          <w:color w:val="000000" w:themeColor="text1"/>
          <w:spacing w:val="-6"/>
          <w:lang w:val="uk-UA"/>
        </w:rPr>
        <w:t xml:space="preserve">                </w:t>
      </w:r>
      <w:r w:rsidRPr="00D36396">
        <w:rPr>
          <w:color w:val="000000" w:themeColor="text1"/>
          <w:spacing w:val="-6"/>
          <w:lang w:val="uk-UA"/>
        </w:rPr>
        <w:t>2,3 тис. декларацій,  надано 51,9 тис. консультацій.</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З 2 квітня </w:t>
      </w:r>
      <w:r w:rsidR="00B96108" w:rsidRPr="00D36396">
        <w:rPr>
          <w:color w:val="000000" w:themeColor="text1"/>
          <w:spacing w:val="-6"/>
          <w:lang w:val="uk-UA"/>
        </w:rPr>
        <w:t xml:space="preserve">поточного року </w:t>
      </w:r>
      <w:r w:rsidRPr="00D36396">
        <w:rPr>
          <w:color w:val="000000" w:themeColor="text1"/>
          <w:spacing w:val="-6"/>
          <w:lang w:val="uk-UA"/>
        </w:rPr>
        <w:t xml:space="preserve">розпочав свою роботу регіональний центр надання адміністративних послуг </w:t>
      </w:r>
      <w:r w:rsidR="00B96CDF" w:rsidRPr="00D36396">
        <w:rPr>
          <w:color w:val="000000" w:themeColor="text1"/>
          <w:spacing w:val="-6"/>
          <w:lang w:val="uk-UA"/>
        </w:rPr>
        <w:t>«</w:t>
      </w:r>
      <w:r w:rsidRPr="00D36396">
        <w:rPr>
          <w:color w:val="000000" w:themeColor="text1"/>
          <w:spacing w:val="-6"/>
          <w:lang w:val="uk-UA"/>
        </w:rPr>
        <w:t>Відкрита влада</w:t>
      </w:r>
      <w:r w:rsidR="00B96CDF" w:rsidRPr="00D36396">
        <w:rPr>
          <w:color w:val="000000" w:themeColor="text1"/>
          <w:spacing w:val="-6"/>
          <w:lang w:val="uk-UA"/>
        </w:rPr>
        <w:t>»</w:t>
      </w:r>
      <w:r w:rsidRPr="00D36396">
        <w:rPr>
          <w:color w:val="000000" w:themeColor="text1"/>
          <w:spacing w:val="-6"/>
          <w:lang w:val="uk-UA"/>
        </w:rPr>
        <w:t xml:space="preserve">. В Центрі здійснюється надання адміністративних послуг структурними підрозділами облдержадміністрації та видача документів дозвільного характеру регіональними дозвільними органами. </w:t>
      </w:r>
      <w:r w:rsidR="00B33AA1" w:rsidRPr="00D36396">
        <w:rPr>
          <w:color w:val="000000" w:themeColor="text1"/>
          <w:spacing w:val="-6"/>
          <w:lang w:val="uk-UA"/>
        </w:rPr>
        <w:t xml:space="preserve">Станом на 01.09.2012 </w:t>
      </w:r>
      <w:r w:rsidRPr="00D36396">
        <w:rPr>
          <w:color w:val="000000" w:themeColor="text1"/>
          <w:spacing w:val="-6"/>
          <w:lang w:val="uk-UA"/>
        </w:rPr>
        <w:t>до Центру звернулося 10,6 тис. суб’єктів господарюв</w:t>
      </w:r>
      <w:r w:rsidR="00B33AA1" w:rsidRPr="00D36396">
        <w:rPr>
          <w:color w:val="000000" w:themeColor="text1"/>
          <w:spacing w:val="-6"/>
          <w:lang w:val="uk-UA"/>
        </w:rPr>
        <w:t>ання, яким було видано 11,1</w:t>
      </w:r>
      <w:r w:rsidRPr="00D36396">
        <w:rPr>
          <w:color w:val="000000" w:themeColor="text1"/>
          <w:spacing w:val="-6"/>
          <w:lang w:val="uk-UA"/>
        </w:rPr>
        <w:t xml:space="preserve"> тис. документів дозвільного характеру.</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Донецьким національним університетом реалізується державна програма перепідготовки управлінських кадрів для сфери підприємництва </w:t>
      </w:r>
      <w:r w:rsidR="00B96CDF" w:rsidRPr="00D36396">
        <w:rPr>
          <w:color w:val="000000" w:themeColor="text1"/>
          <w:spacing w:val="-6"/>
          <w:lang w:val="uk-UA"/>
        </w:rPr>
        <w:t>«</w:t>
      </w:r>
      <w:r w:rsidRPr="00D36396">
        <w:rPr>
          <w:color w:val="000000" w:themeColor="text1"/>
          <w:spacing w:val="-6"/>
          <w:lang w:val="uk-UA"/>
        </w:rPr>
        <w:t>Українська ініціатива</w:t>
      </w:r>
      <w:r w:rsidR="00B96CDF" w:rsidRPr="00D36396">
        <w:rPr>
          <w:color w:val="000000" w:themeColor="text1"/>
          <w:spacing w:val="-6"/>
          <w:lang w:val="uk-UA"/>
        </w:rPr>
        <w:t>»</w:t>
      </w:r>
      <w:r w:rsidRPr="00D36396">
        <w:rPr>
          <w:color w:val="000000" w:themeColor="text1"/>
          <w:spacing w:val="-6"/>
          <w:lang w:val="uk-UA"/>
        </w:rPr>
        <w:t xml:space="preserve">. </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Проблеми, що стримують розвиток підприємництва, розглядалися на засіданнях </w:t>
      </w:r>
      <w:r w:rsidR="00B96CDF" w:rsidRPr="00D36396">
        <w:rPr>
          <w:color w:val="000000" w:themeColor="text1"/>
          <w:spacing w:val="-6"/>
          <w:lang w:val="uk-UA"/>
        </w:rPr>
        <w:t>«</w:t>
      </w:r>
      <w:r w:rsidRPr="00D36396">
        <w:rPr>
          <w:color w:val="000000" w:themeColor="text1"/>
          <w:spacing w:val="-6"/>
          <w:lang w:val="uk-UA"/>
        </w:rPr>
        <w:t>круглих столів</w:t>
      </w:r>
      <w:r w:rsidR="00B96CDF" w:rsidRPr="00D36396">
        <w:rPr>
          <w:color w:val="000000" w:themeColor="text1"/>
          <w:spacing w:val="-6"/>
          <w:lang w:val="uk-UA"/>
        </w:rPr>
        <w:t>»</w:t>
      </w:r>
      <w:r w:rsidRPr="00D36396">
        <w:rPr>
          <w:color w:val="000000" w:themeColor="text1"/>
          <w:spacing w:val="-6"/>
          <w:lang w:val="uk-UA"/>
        </w:rPr>
        <w:t xml:space="preserve">, зустрічах представників влади з суб’єктами бізнесу. </w:t>
      </w:r>
    </w:p>
    <w:p w:rsidR="00D436E0" w:rsidRPr="00D36396" w:rsidRDefault="00D436E0" w:rsidP="00B96CDF">
      <w:pPr>
        <w:keepNext/>
        <w:widowControl w:val="0"/>
        <w:spacing w:after="120"/>
        <w:ind w:firstLine="720"/>
        <w:jc w:val="both"/>
        <w:rPr>
          <w:color w:val="000000" w:themeColor="text1"/>
          <w:lang w:val="uk-UA"/>
        </w:rPr>
      </w:pPr>
      <w:r w:rsidRPr="00D36396">
        <w:rPr>
          <w:color w:val="000000" w:themeColor="text1"/>
          <w:spacing w:val="-6"/>
          <w:lang w:val="uk-UA"/>
        </w:rPr>
        <w:t xml:space="preserve">Координаційною радою з питань розвитку підприємництва облдержадміністрації протягом звітного періоду проведено 2 засідання, на яких розглядалися  питання виконання у 2011 році </w:t>
      </w:r>
      <w:r w:rsidRPr="00D36396">
        <w:rPr>
          <w:color w:val="000000" w:themeColor="text1"/>
          <w:spacing w:val="-6"/>
          <w:lang w:val="uk-UA"/>
        </w:rPr>
        <w:lastRenderedPageBreak/>
        <w:t xml:space="preserve">Регіональної програми підтримки підприємництва на 2011-2012 роки, виконання в області Закону України </w:t>
      </w:r>
      <w:r w:rsidR="00B96CDF" w:rsidRPr="00D36396">
        <w:rPr>
          <w:color w:val="000000" w:themeColor="text1"/>
          <w:spacing w:val="-6"/>
          <w:lang w:val="uk-UA"/>
        </w:rPr>
        <w:t>«</w:t>
      </w:r>
      <w:r w:rsidRPr="00D36396">
        <w:rPr>
          <w:color w:val="000000" w:themeColor="text1"/>
          <w:spacing w:val="-6"/>
          <w:lang w:val="uk-UA"/>
        </w:rPr>
        <w:t>Про дозвільну систему у сфері господарської діяльності</w:t>
      </w:r>
      <w:r w:rsidR="00B96CDF" w:rsidRPr="00D36396">
        <w:rPr>
          <w:color w:val="000000" w:themeColor="text1"/>
          <w:spacing w:val="-6"/>
          <w:lang w:val="uk-UA"/>
        </w:rPr>
        <w:t>»</w:t>
      </w:r>
      <w:r w:rsidRPr="00D36396">
        <w:rPr>
          <w:color w:val="000000" w:themeColor="text1"/>
          <w:spacing w:val="-6"/>
          <w:lang w:val="uk-UA"/>
        </w:rPr>
        <w:t>, створення умов для активізації інвестиційно-інноваційної діяльності підприємств малого та середнього бізнесу, удосконалення і розвитку фінансової підтримки суб’єктів малого підприємництва, проблемні питання, що виникають у фізичних осіб – підприємців при здійсненні ними підприємницької діяльності та ін.</w:t>
      </w:r>
      <w:r w:rsidRPr="00D36396">
        <w:rPr>
          <w:color w:val="000000" w:themeColor="text1"/>
          <w:lang w:val="uk-UA"/>
        </w:rPr>
        <w:t xml:space="preserve"> Проведено  3 засідання регіональної ради підприємців в Донецькій області. </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З метою реалізації в області </w:t>
      </w:r>
      <w:r w:rsidRPr="00D36396">
        <w:rPr>
          <w:b/>
          <w:color w:val="000000" w:themeColor="text1"/>
          <w:spacing w:val="-6"/>
          <w:lang w:val="uk-UA"/>
        </w:rPr>
        <w:t>державної регуляторної політики</w:t>
      </w:r>
      <w:r w:rsidRPr="00D36396">
        <w:rPr>
          <w:color w:val="000000" w:themeColor="text1"/>
          <w:spacing w:val="-6"/>
          <w:lang w:val="uk-UA"/>
        </w:rPr>
        <w:t xml:space="preserve"> забезпечувалось виконання затвердженого головою облдержадміністрації плану з підготовки проектів регуляторних актів Донецької облдержадміністрації на 2012 рік. </w:t>
      </w:r>
    </w:p>
    <w:p w:rsidR="00D436E0" w:rsidRPr="00D36396" w:rsidRDefault="00D436E0" w:rsidP="00B96CDF">
      <w:pPr>
        <w:keepNext/>
        <w:widowControl w:val="0"/>
        <w:spacing w:after="120"/>
        <w:ind w:firstLine="720"/>
        <w:jc w:val="both"/>
        <w:rPr>
          <w:color w:val="000000" w:themeColor="text1"/>
          <w:spacing w:val="-6"/>
          <w:lang w:val="uk-UA"/>
        </w:rPr>
      </w:pPr>
      <w:r w:rsidRPr="00D36396">
        <w:rPr>
          <w:color w:val="000000" w:themeColor="text1"/>
          <w:spacing w:val="-6"/>
          <w:lang w:val="uk-UA"/>
        </w:rPr>
        <w:t xml:space="preserve">Протягом </w:t>
      </w:r>
      <w:r w:rsidR="00210EF1" w:rsidRPr="00D36396">
        <w:rPr>
          <w:color w:val="000000" w:themeColor="text1"/>
          <w:spacing w:val="-6"/>
          <w:lang w:val="uk-UA"/>
        </w:rPr>
        <w:t>першого</w:t>
      </w:r>
      <w:r w:rsidRPr="00D36396">
        <w:rPr>
          <w:color w:val="000000" w:themeColor="text1"/>
          <w:spacing w:val="-6"/>
          <w:lang w:val="uk-UA"/>
        </w:rPr>
        <w:t xml:space="preserve"> півріччя поточного року зроблено 4 повторних та 4 періодичних </w:t>
      </w:r>
      <w:r w:rsidR="00B96108" w:rsidRPr="00D36396">
        <w:rPr>
          <w:color w:val="000000" w:themeColor="text1"/>
          <w:spacing w:val="-6"/>
          <w:lang w:val="uk-UA"/>
        </w:rPr>
        <w:t xml:space="preserve">                </w:t>
      </w:r>
      <w:r w:rsidRPr="00D36396">
        <w:rPr>
          <w:color w:val="000000" w:themeColor="text1"/>
          <w:spacing w:val="-6"/>
          <w:lang w:val="uk-UA"/>
        </w:rPr>
        <w:t>відстеження результативності регуляторних актів. За результатами відстеження переглянуто 3 регуляторних акта.</w:t>
      </w:r>
    </w:p>
    <w:p w:rsidR="00074BFF" w:rsidRPr="00D36396" w:rsidRDefault="003A6BE6" w:rsidP="00B96CDF">
      <w:pPr>
        <w:keepNext/>
        <w:widowControl w:val="0"/>
        <w:spacing w:after="120"/>
        <w:ind w:firstLine="720"/>
        <w:jc w:val="both"/>
        <w:rPr>
          <w:color w:val="000000" w:themeColor="text1"/>
          <w:spacing w:val="-6"/>
          <w:lang w:val="uk-UA"/>
        </w:rPr>
      </w:pPr>
      <w:r w:rsidRPr="00D36396">
        <w:rPr>
          <w:b/>
          <w:bCs/>
          <w:color w:val="000000" w:themeColor="text1"/>
          <w:spacing w:val="-6"/>
          <w:lang w:val="uk-UA"/>
        </w:rPr>
        <w:t xml:space="preserve">Організаційне забезпечення виконання Програми </w:t>
      </w:r>
      <w:r w:rsidRPr="00D36396">
        <w:rPr>
          <w:color w:val="000000" w:themeColor="text1"/>
          <w:spacing w:val="-6"/>
          <w:lang w:val="uk-UA"/>
        </w:rPr>
        <w:t xml:space="preserve">здійснювалось згідно з розпорядженням голови облдержадміністрації </w:t>
      </w:r>
      <w:r w:rsidR="00056EB8" w:rsidRPr="00D36396">
        <w:rPr>
          <w:color w:val="000000" w:themeColor="text1"/>
          <w:spacing w:val="-6"/>
          <w:lang w:val="uk-UA" w:eastAsia="uk-UA"/>
        </w:rPr>
        <w:t xml:space="preserve">від </w:t>
      </w:r>
      <w:r w:rsidR="00AC60AB" w:rsidRPr="00D36396">
        <w:rPr>
          <w:color w:val="000000" w:themeColor="text1"/>
          <w:spacing w:val="-6"/>
          <w:lang w:val="uk-UA" w:eastAsia="uk-UA"/>
        </w:rPr>
        <w:t>14</w:t>
      </w:r>
      <w:r w:rsidR="00056EB8" w:rsidRPr="00D36396">
        <w:rPr>
          <w:color w:val="000000" w:themeColor="text1"/>
          <w:spacing w:val="-6"/>
          <w:lang w:val="uk-UA" w:eastAsia="uk-UA"/>
        </w:rPr>
        <w:t>.0</w:t>
      </w:r>
      <w:r w:rsidR="00AC60AB" w:rsidRPr="00D36396">
        <w:rPr>
          <w:color w:val="000000" w:themeColor="text1"/>
          <w:spacing w:val="-6"/>
          <w:lang w:val="uk-UA" w:eastAsia="uk-UA"/>
        </w:rPr>
        <w:t>3</w:t>
      </w:r>
      <w:r w:rsidR="00056EB8" w:rsidRPr="00D36396">
        <w:rPr>
          <w:color w:val="000000" w:themeColor="text1"/>
          <w:spacing w:val="-6"/>
          <w:lang w:val="uk-UA" w:eastAsia="uk-UA"/>
        </w:rPr>
        <w:t>.201</w:t>
      </w:r>
      <w:r w:rsidR="00AC60AB" w:rsidRPr="00D36396">
        <w:rPr>
          <w:color w:val="000000" w:themeColor="text1"/>
          <w:spacing w:val="-6"/>
          <w:lang w:val="uk-UA" w:eastAsia="uk-UA"/>
        </w:rPr>
        <w:t>2</w:t>
      </w:r>
      <w:r w:rsidR="00056EB8" w:rsidRPr="00D36396">
        <w:rPr>
          <w:color w:val="000000" w:themeColor="text1"/>
          <w:spacing w:val="-6"/>
          <w:lang w:val="uk-UA" w:eastAsia="uk-UA"/>
        </w:rPr>
        <w:t xml:space="preserve"> № </w:t>
      </w:r>
      <w:r w:rsidR="00AC60AB" w:rsidRPr="00D36396">
        <w:rPr>
          <w:color w:val="000000" w:themeColor="text1"/>
          <w:spacing w:val="-6"/>
          <w:lang w:val="uk-UA" w:eastAsia="uk-UA"/>
        </w:rPr>
        <w:t>147</w:t>
      </w:r>
      <w:r w:rsidR="00056EB8" w:rsidRPr="00D36396">
        <w:rPr>
          <w:color w:val="000000" w:themeColor="text1"/>
          <w:spacing w:val="-6"/>
          <w:lang w:val="uk-UA"/>
        </w:rPr>
        <w:t xml:space="preserve"> </w:t>
      </w:r>
      <w:r w:rsidR="00B96CDF" w:rsidRPr="00D36396">
        <w:rPr>
          <w:color w:val="000000" w:themeColor="text1"/>
          <w:spacing w:val="-6"/>
          <w:lang w:val="uk-UA"/>
        </w:rPr>
        <w:t>«</w:t>
      </w:r>
      <w:r w:rsidRPr="00D36396">
        <w:rPr>
          <w:color w:val="000000" w:themeColor="text1"/>
          <w:spacing w:val="-6"/>
          <w:lang w:val="uk-UA"/>
        </w:rPr>
        <w:t>Про організаційне та інформаційне забезпечення виконання Програми економічного і соціального розвитку Донецької області на 20</w:t>
      </w:r>
      <w:r w:rsidR="005B55DA" w:rsidRPr="00D36396">
        <w:rPr>
          <w:color w:val="000000" w:themeColor="text1"/>
          <w:spacing w:val="-6"/>
          <w:lang w:val="uk-UA"/>
        </w:rPr>
        <w:t>12</w:t>
      </w:r>
      <w:r w:rsidRPr="00D36396">
        <w:rPr>
          <w:color w:val="000000" w:themeColor="text1"/>
          <w:spacing w:val="-6"/>
          <w:lang w:val="uk-UA"/>
        </w:rPr>
        <w:t xml:space="preserve"> рік</w:t>
      </w:r>
      <w:r w:rsidR="00AC60AB" w:rsidRPr="00D36396">
        <w:rPr>
          <w:color w:val="000000" w:themeColor="text1"/>
          <w:spacing w:val="-6"/>
          <w:lang w:val="uk-UA"/>
        </w:rPr>
        <w:t xml:space="preserve"> та основні напрями розвитку на 2013 і 2014 роки</w:t>
      </w:r>
      <w:r w:rsidR="00B96CDF" w:rsidRPr="00D36396">
        <w:rPr>
          <w:color w:val="000000" w:themeColor="text1"/>
          <w:spacing w:val="-6"/>
          <w:lang w:val="uk-UA"/>
        </w:rPr>
        <w:t>»</w:t>
      </w:r>
      <w:r w:rsidRPr="00D36396">
        <w:rPr>
          <w:color w:val="000000" w:themeColor="text1"/>
          <w:spacing w:val="-6"/>
          <w:lang w:val="uk-UA"/>
        </w:rPr>
        <w:t>.</w:t>
      </w:r>
    </w:p>
    <w:p w:rsidR="00674B0C" w:rsidRPr="00D36396" w:rsidRDefault="00674B0C" w:rsidP="00B96CDF">
      <w:pPr>
        <w:keepNext/>
        <w:widowControl w:val="0"/>
        <w:spacing w:after="120"/>
        <w:ind w:firstLine="720"/>
        <w:jc w:val="both"/>
        <w:rPr>
          <w:color w:val="000000" w:themeColor="text1"/>
          <w:spacing w:val="-8"/>
          <w:lang w:val="uk-UA"/>
        </w:rPr>
      </w:pPr>
      <w:r w:rsidRPr="00D36396">
        <w:rPr>
          <w:color w:val="000000" w:themeColor="text1"/>
          <w:spacing w:val="-6"/>
          <w:lang w:val="uk-UA"/>
        </w:rPr>
        <w:t>Управління, відділи облдержадміністрації забезпечували постійний контроль за реалізацією розділів Програми. Забезпечено реалізацію програм економічного і соціального розвитку міст і районів області</w:t>
      </w:r>
      <w:r w:rsidRPr="00D36396">
        <w:rPr>
          <w:color w:val="000000" w:themeColor="text1"/>
          <w:spacing w:val="-8"/>
          <w:lang w:val="uk-UA"/>
        </w:rPr>
        <w:t xml:space="preserve"> за </w:t>
      </w:r>
      <w:r w:rsidR="00210EF1" w:rsidRPr="00D36396">
        <w:rPr>
          <w:color w:val="000000" w:themeColor="text1"/>
          <w:spacing w:val="-8"/>
          <w:lang w:val="uk-UA"/>
        </w:rPr>
        <w:t>перше</w:t>
      </w:r>
      <w:r w:rsidRPr="00D36396">
        <w:rPr>
          <w:color w:val="000000" w:themeColor="text1"/>
          <w:spacing w:val="-8"/>
          <w:lang w:val="uk-UA"/>
        </w:rPr>
        <w:t xml:space="preserve"> півріччя 2012 року. </w:t>
      </w:r>
    </w:p>
    <w:p w:rsidR="004737BB" w:rsidRPr="00D36396" w:rsidRDefault="00095D8D" w:rsidP="00B96CDF">
      <w:pPr>
        <w:keepNext/>
        <w:widowControl w:val="0"/>
        <w:spacing w:after="120"/>
        <w:ind w:firstLine="720"/>
        <w:jc w:val="both"/>
        <w:rPr>
          <w:color w:val="000000" w:themeColor="text1"/>
          <w:spacing w:val="-6"/>
          <w:lang w:val="uk-UA"/>
        </w:rPr>
      </w:pPr>
      <w:r w:rsidRPr="00D36396">
        <w:rPr>
          <w:color w:val="000000" w:themeColor="text1"/>
          <w:spacing w:val="-6"/>
          <w:lang w:val="uk-UA" w:eastAsia="uk-UA"/>
        </w:rPr>
        <w:t xml:space="preserve">Протягом року в області активно працював </w:t>
      </w:r>
      <w:r w:rsidRPr="00D36396">
        <w:rPr>
          <w:bCs/>
          <w:color w:val="000000" w:themeColor="text1"/>
          <w:spacing w:val="-6"/>
          <w:lang w:val="uk-UA" w:eastAsia="uk-UA"/>
        </w:rPr>
        <w:t>регіональний комітет з економічних реформ при облдержадміністрації, який створено</w:t>
      </w:r>
      <w:r w:rsidRPr="00D36396">
        <w:rPr>
          <w:color w:val="000000" w:themeColor="text1"/>
          <w:spacing w:val="-6"/>
          <w:lang w:val="uk-UA" w:eastAsia="uk-UA"/>
        </w:rPr>
        <w:t xml:space="preserve"> розпорядженням голови облдержадміністрації </w:t>
      </w:r>
      <w:r w:rsidR="00E72942" w:rsidRPr="00D36396">
        <w:rPr>
          <w:color w:val="000000" w:themeColor="text1"/>
          <w:spacing w:val="-6"/>
          <w:lang w:val="uk-UA" w:eastAsia="uk-UA"/>
        </w:rPr>
        <w:t xml:space="preserve">                      </w:t>
      </w:r>
      <w:r w:rsidRPr="00D36396">
        <w:rPr>
          <w:color w:val="000000" w:themeColor="text1"/>
          <w:spacing w:val="-6"/>
          <w:lang w:val="uk-UA" w:eastAsia="uk-UA"/>
        </w:rPr>
        <w:t xml:space="preserve">від 02.04.2010 № 177. </w:t>
      </w:r>
    </w:p>
    <w:p w:rsidR="00ED0A57" w:rsidRPr="00D36396" w:rsidRDefault="00ED0A57" w:rsidP="00B96CDF">
      <w:pPr>
        <w:keepNext/>
        <w:widowControl w:val="0"/>
        <w:tabs>
          <w:tab w:val="left" w:pos="1080"/>
        </w:tabs>
        <w:autoSpaceDE w:val="0"/>
        <w:autoSpaceDN w:val="0"/>
        <w:adjustRightInd w:val="0"/>
        <w:spacing w:after="120"/>
        <w:ind w:firstLine="720"/>
        <w:jc w:val="both"/>
        <w:rPr>
          <w:color w:val="000000" w:themeColor="text1"/>
          <w:lang w:val="uk-UA" w:eastAsia="uk-UA"/>
        </w:rPr>
      </w:pPr>
      <w:r w:rsidRPr="00D36396">
        <w:rPr>
          <w:color w:val="000000" w:themeColor="text1"/>
          <w:lang w:val="uk-UA"/>
        </w:rPr>
        <w:t xml:space="preserve">З початку поточного року відбулось 7 засідань регіонального комітету </w:t>
      </w:r>
      <w:r w:rsidRPr="00D36396">
        <w:rPr>
          <w:color w:val="000000" w:themeColor="text1"/>
          <w:lang w:val="uk-UA" w:eastAsia="uk-UA"/>
        </w:rPr>
        <w:t xml:space="preserve">на яких розглянуті актуальні для регіону питання, які пов’язані з розвитком інноваційно-інвестиційної політики (стратегія розвитку інформаційної політики Донецької області на період 2012-2015 роки, впровадження інформаційних технологій в процес управління об'єктами комунальної власності, </w:t>
      </w:r>
      <w:r w:rsidRPr="00D36396">
        <w:rPr>
          <w:color w:val="000000" w:themeColor="text1"/>
          <w:lang w:val="uk-UA"/>
        </w:rPr>
        <w:t>стратегія територіального маркетингу Донецької області до 2020 року</w:t>
      </w:r>
      <w:r w:rsidRPr="00D36396">
        <w:rPr>
          <w:color w:val="000000" w:themeColor="text1"/>
          <w:lang w:val="uk-UA" w:eastAsia="uk-UA"/>
        </w:rPr>
        <w:t>); підвищення якості життя населення (</w:t>
      </w:r>
      <w:r w:rsidRPr="00D36396">
        <w:rPr>
          <w:color w:val="000000" w:themeColor="text1"/>
          <w:lang w:val="uk-UA"/>
        </w:rPr>
        <w:t xml:space="preserve">хід реформування системи охорони здоров’я міст Макіївка і </w:t>
      </w:r>
      <w:r w:rsidRPr="00D36396">
        <w:rPr>
          <w:color w:val="000000" w:themeColor="text1"/>
          <w:lang w:val="uk-UA" w:eastAsia="uk-UA"/>
        </w:rPr>
        <w:t>Маріуполь); реформування житлово-комунального господарства (стан ліфтового господарства Донецької області. П</w:t>
      </w:r>
      <w:r w:rsidRPr="00D36396">
        <w:rPr>
          <w:color w:val="000000" w:themeColor="text1"/>
          <w:lang w:val="uk-UA"/>
        </w:rPr>
        <w:t>рограма капітального ремонту та модернізації ліфтового парку Донецької області на 2012 – 2015 рік</w:t>
      </w:r>
      <w:r w:rsidRPr="00D36396">
        <w:rPr>
          <w:color w:val="000000" w:themeColor="text1"/>
          <w:lang w:val="uk-UA" w:eastAsia="uk-UA"/>
        </w:rPr>
        <w:t xml:space="preserve"> ), розвитком </w:t>
      </w:r>
      <w:r w:rsidRPr="00D36396">
        <w:rPr>
          <w:color w:val="000000" w:themeColor="text1"/>
          <w:lang w:val="uk-UA"/>
        </w:rPr>
        <w:t>малого бізнесу (створення обласного бізнес-інкубатору як елемента інфраструктури підтримки  та розвитку підприємництва у Донецькій області</w:t>
      </w:r>
      <w:r w:rsidRPr="00D36396">
        <w:rPr>
          <w:color w:val="000000" w:themeColor="text1"/>
          <w:lang w:val="uk-UA" w:eastAsia="uk-UA"/>
        </w:rPr>
        <w:t>).</w:t>
      </w:r>
    </w:p>
    <w:p w:rsidR="00ED0A57" w:rsidRPr="00D36396" w:rsidRDefault="00ED0A57" w:rsidP="00B96CDF">
      <w:pPr>
        <w:keepNext/>
        <w:widowControl w:val="0"/>
        <w:tabs>
          <w:tab w:val="left" w:pos="1080"/>
        </w:tabs>
        <w:autoSpaceDE w:val="0"/>
        <w:autoSpaceDN w:val="0"/>
        <w:adjustRightInd w:val="0"/>
        <w:spacing w:after="120"/>
        <w:ind w:firstLine="720"/>
        <w:jc w:val="both"/>
        <w:rPr>
          <w:color w:val="000000" w:themeColor="text1"/>
          <w:lang w:val="uk-UA" w:eastAsia="uk-UA"/>
        </w:rPr>
      </w:pPr>
      <w:r w:rsidRPr="00D36396">
        <w:rPr>
          <w:color w:val="000000" w:themeColor="text1"/>
          <w:lang w:val="uk-UA" w:eastAsia="uk-UA"/>
        </w:rPr>
        <w:t>Всі питання, що розглядались на засіданнях регіонального комітету, були прийняті до реалізації.</w:t>
      </w:r>
    </w:p>
    <w:p w:rsidR="008A45A6" w:rsidRPr="00D36396" w:rsidRDefault="008A45A6" w:rsidP="00B96CDF">
      <w:pPr>
        <w:keepNext/>
        <w:widowControl w:val="0"/>
        <w:spacing w:after="120"/>
        <w:ind w:firstLine="720"/>
        <w:jc w:val="both"/>
        <w:rPr>
          <w:color w:val="000000" w:themeColor="text1"/>
          <w:spacing w:val="-6"/>
          <w:lang w:val="uk-UA"/>
        </w:rPr>
      </w:pPr>
      <w:r w:rsidRPr="00D36396">
        <w:rPr>
          <w:color w:val="000000" w:themeColor="text1"/>
          <w:spacing w:val="-6"/>
          <w:lang w:val="uk-UA"/>
        </w:rPr>
        <w:t>В цілому на виконання заходів Програми за рахунок усіх джерел фінансування було спрямовано 6,8 млрд.грн., в тому числі коштів державного бюджету – 2,5 млрд.грн., місцевих бюджетів – 0,6 млрд.грн., коштів підприємств – 3,0 млрд.грн., інших джерел – 0,7 млрд.грн.</w:t>
      </w:r>
    </w:p>
    <w:p w:rsidR="00C140BF" w:rsidRPr="00D36396" w:rsidRDefault="00C140BF" w:rsidP="00B96CDF">
      <w:pPr>
        <w:keepNext/>
        <w:widowControl w:val="0"/>
        <w:spacing w:after="120"/>
        <w:ind w:firstLine="720"/>
        <w:jc w:val="both"/>
        <w:rPr>
          <w:color w:val="000000" w:themeColor="text1"/>
          <w:sz w:val="26"/>
          <w:szCs w:val="26"/>
          <w:lang w:val="uk-UA"/>
        </w:rPr>
      </w:pPr>
      <w:r w:rsidRPr="00D36396">
        <w:rPr>
          <w:color w:val="000000" w:themeColor="text1"/>
          <w:lang w:val="uk-UA"/>
        </w:rPr>
        <w:t>Завдяки спільними зусиллями облдержадміністрації, обласної ради, виконкомів міських рад, райдержадміністрацій, підприємств, організацій, депутатів усіх рівнів, забезпечено виконання бюджетних показників та заходів Програми економічного і соціальног</w:t>
      </w:r>
      <w:r w:rsidR="005B55DA" w:rsidRPr="00D36396">
        <w:rPr>
          <w:color w:val="000000" w:themeColor="text1"/>
          <w:lang w:val="uk-UA"/>
        </w:rPr>
        <w:t xml:space="preserve">о розвитку Донецької області за І півріччя 2012 </w:t>
      </w:r>
      <w:r w:rsidRPr="00D36396">
        <w:rPr>
          <w:color w:val="000000" w:themeColor="text1"/>
          <w:lang w:val="uk-UA"/>
        </w:rPr>
        <w:t>р</w:t>
      </w:r>
      <w:r w:rsidR="005B55DA" w:rsidRPr="00D36396">
        <w:rPr>
          <w:color w:val="000000" w:themeColor="text1"/>
          <w:lang w:val="uk-UA"/>
        </w:rPr>
        <w:t>о</w:t>
      </w:r>
      <w:r w:rsidRPr="00D36396">
        <w:rPr>
          <w:color w:val="000000" w:themeColor="text1"/>
          <w:lang w:val="uk-UA"/>
        </w:rPr>
        <w:t>к</w:t>
      </w:r>
      <w:r w:rsidR="005B55DA" w:rsidRPr="00D36396">
        <w:rPr>
          <w:color w:val="000000" w:themeColor="text1"/>
          <w:lang w:val="uk-UA"/>
        </w:rPr>
        <w:t>у</w:t>
      </w:r>
      <w:r w:rsidRPr="00D36396">
        <w:rPr>
          <w:color w:val="000000" w:themeColor="text1"/>
          <w:lang w:val="uk-UA"/>
        </w:rPr>
        <w:t xml:space="preserve"> в усіх с</w:t>
      </w:r>
      <w:r w:rsidRPr="00D36396">
        <w:rPr>
          <w:color w:val="000000" w:themeColor="text1"/>
          <w:sz w:val="26"/>
          <w:szCs w:val="26"/>
          <w:lang w:val="uk-UA"/>
        </w:rPr>
        <w:t>ферах.</w:t>
      </w:r>
    </w:p>
    <w:p w:rsidR="00C140BF" w:rsidRPr="00D36396" w:rsidRDefault="00C140BF" w:rsidP="00B96CDF">
      <w:pPr>
        <w:keepNext/>
        <w:widowControl w:val="0"/>
        <w:spacing w:after="120"/>
        <w:ind w:firstLine="720"/>
        <w:jc w:val="both"/>
        <w:rPr>
          <w:color w:val="000000" w:themeColor="text1"/>
          <w:sz w:val="26"/>
          <w:szCs w:val="26"/>
          <w:lang w:val="uk-UA"/>
        </w:rPr>
      </w:pPr>
    </w:p>
    <w:p w:rsidR="00C140BF" w:rsidRPr="00D36396" w:rsidRDefault="00C140BF" w:rsidP="00B96CDF">
      <w:pPr>
        <w:keepNext/>
        <w:widowControl w:val="0"/>
        <w:spacing w:after="120"/>
        <w:ind w:firstLine="720"/>
        <w:jc w:val="both"/>
        <w:rPr>
          <w:color w:val="000000" w:themeColor="text1"/>
          <w:spacing w:val="-6"/>
          <w:lang w:val="uk-UA"/>
        </w:rPr>
      </w:pPr>
    </w:p>
    <w:p w:rsidR="00E46D47" w:rsidRPr="00D36396" w:rsidRDefault="00F11024" w:rsidP="00B96CDF">
      <w:pPr>
        <w:keepNext/>
        <w:widowControl w:val="0"/>
        <w:jc w:val="both"/>
        <w:rPr>
          <w:color w:val="000000" w:themeColor="text1"/>
          <w:lang w:val="uk-UA"/>
        </w:rPr>
      </w:pPr>
      <w:r w:rsidRPr="00D36396">
        <w:rPr>
          <w:color w:val="000000" w:themeColor="text1"/>
          <w:lang w:val="uk-UA"/>
        </w:rPr>
        <w:t>В.о. н</w:t>
      </w:r>
      <w:r w:rsidR="00F11FDE" w:rsidRPr="00D36396">
        <w:rPr>
          <w:color w:val="000000" w:themeColor="text1"/>
          <w:lang w:val="uk-UA"/>
        </w:rPr>
        <w:t>ачальник</w:t>
      </w:r>
      <w:r w:rsidRPr="00D36396">
        <w:rPr>
          <w:color w:val="000000" w:themeColor="text1"/>
          <w:lang w:val="uk-UA"/>
        </w:rPr>
        <w:t>а</w:t>
      </w:r>
      <w:r w:rsidR="00F11FDE" w:rsidRPr="00D36396">
        <w:rPr>
          <w:color w:val="000000" w:themeColor="text1"/>
          <w:lang w:val="uk-UA"/>
        </w:rPr>
        <w:t xml:space="preserve"> головного </w:t>
      </w:r>
      <w:r w:rsidR="009E547E" w:rsidRPr="00D36396">
        <w:rPr>
          <w:color w:val="000000" w:themeColor="text1"/>
          <w:lang w:val="uk-UA"/>
        </w:rPr>
        <w:t>у</w:t>
      </w:r>
      <w:r w:rsidR="00F11FDE" w:rsidRPr="00D36396">
        <w:rPr>
          <w:color w:val="000000" w:themeColor="text1"/>
          <w:lang w:val="uk-UA"/>
        </w:rPr>
        <w:t>правління</w:t>
      </w:r>
      <w:r w:rsidR="00E46D47" w:rsidRPr="00D36396">
        <w:rPr>
          <w:color w:val="000000" w:themeColor="text1"/>
          <w:lang w:val="uk-UA"/>
        </w:rPr>
        <w:t xml:space="preserve"> </w:t>
      </w:r>
    </w:p>
    <w:p w:rsidR="001D739D" w:rsidRPr="0075584D" w:rsidRDefault="00F11FDE" w:rsidP="00B96CDF">
      <w:pPr>
        <w:keepNext/>
        <w:widowControl w:val="0"/>
        <w:spacing w:after="120"/>
        <w:jc w:val="both"/>
        <w:rPr>
          <w:color w:val="000000" w:themeColor="text1"/>
          <w:lang w:val="uk-UA" w:eastAsia="uk-UA"/>
        </w:rPr>
      </w:pPr>
      <w:r w:rsidRPr="00D36396">
        <w:rPr>
          <w:color w:val="000000" w:themeColor="text1"/>
          <w:lang w:val="uk-UA"/>
        </w:rPr>
        <w:t>економіки облдержадміністрації</w:t>
      </w:r>
      <w:r w:rsidRPr="00D36396">
        <w:rPr>
          <w:color w:val="000000" w:themeColor="text1"/>
          <w:lang w:val="uk-UA"/>
        </w:rPr>
        <w:tab/>
      </w:r>
      <w:r w:rsidRPr="00D36396">
        <w:rPr>
          <w:color w:val="000000" w:themeColor="text1"/>
          <w:lang w:val="uk-UA"/>
        </w:rPr>
        <w:tab/>
      </w:r>
      <w:r w:rsidRPr="00D36396">
        <w:rPr>
          <w:color w:val="000000" w:themeColor="text1"/>
          <w:lang w:val="uk-UA"/>
        </w:rPr>
        <w:tab/>
      </w:r>
      <w:r w:rsidRPr="00D36396">
        <w:rPr>
          <w:color w:val="000000" w:themeColor="text1"/>
          <w:lang w:val="uk-UA"/>
        </w:rPr>
        <w:tab/>
      </w:r>
      <w:r w:rsidR="00892D17" w:rsidRPr="00D36396">
        <w:rPr>
          <w:color w:val="000000" w:themeColor="text1"/>
          <w:lang w:val="uk-UA"/>
        </w:rPr>
        <w:t xml:space="preserve">                               </w:t>
      </w:r>
      <w:r w:rsidR="00263F5B" w:rsidRPr="00D36396">
        <w:rPr>
          <w:color w:val="000000" w:themeColor="text1"/>
          <w:lang w:val="uk-UA"/>
        </w:rPr>
        <w:t>О.М.Іваненко</w:t>
      </w:r>
    </w:p>
    <w:sectPr w:rsidR="001D739D" w:rsidRPr="0075584D" w:rsidSect="00F67B65">
      <w:headerReference w:type="even" r:id="rId27"/>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C0" w:rsidRDefault="00B273C0">
      <w:r>
        <w:separator/>
      </w:r>
    </w:p>
  </w:endnote>
  <w:endnote w:type="continuationSeparator" w:id="0">
    <w:p w:rsidR="00B273C0" w:rsidRDefault="00B273C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C0" w:rsidRDefault="00B273C0">
      <w:r>
        <w:separator/>
      </w:r>
    </w:p>
  </w:footnote>
  <w:footnote w:type="continuationSeparator" w:id="0">
    <w:p w:rsidR="00B273C0" w:rsidRDefault="00B2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DF" w:rsidRDefault="00E26581" w:rsidP="00935760">
    <w:pPr>
      <w:pStyle w:val="aa"/>
      <w:framePr w:wrap="around" w:vAnchor="text" w:hAnchor="margin" w:xAlign="center" w:y="1"/>
      <w:rPr>
        <w:rStyle w:val="ab"/>
      </w:rPr>
    </w:pPr>
    <w:r>
      <w:rPr>
        <w:rStyle w:val="ab"/>
      </w:rPr>
      <w:fldChar w:fldCharType="begin"/>
    </w:r>
    <w:r w:rsidR="00B96CDF">
      <w:rPr>
        <w:rStyle w:val="ab"/>
      </w:rPr>
      <w:instrText xml:space="preserve">PAGE  </w:instrText>
    </w:r>
    <w:r>
      <w:rPr>
        <w:rStyle w:val="ab"/>
      </w:rPr>
      <w:fldChar w:fldCharType="end"/>
    </w:r>
  </w:p>
  <w:p w:rsidR="00B96CDF" w:rsidRDefault="00B96CD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DF" w:rsidRPr="001008FD" w:rsidRDefault="00E26581" w:rsidP="00935760">
    <w:pPr>
      <w:pStyle w:val="aa"/>
      <w:framePr w:wrap="around" w:vAnchor="text" w:hAnchor="margin" w:xAlign="center" w:y="1"/>
      <w:rPr>
        <w:rStyle w:val="ab"/>
        <w:sz w:val="22"/>
        <w:szCs w:val="22"/>
      </w:rPr>
    </w:pPr>
    <w:r w:rsidRPr="001008FD">
      <w:rPr>
        <w:rStyle w:val="ab"/>
        <w:sz w:val="22"/>
        <w:szCs w:val="22"/>
      </w:rPr>
      <w:fldChar w:fldCharType="begin"/>
    </w:r>
    <w:r w:rsidR="00B96CDF" w:rsidRPr="001008FD">
      <w:rPr>
        <w:rStyle w:val="ab"/>
        <w:sz w:val="22"/>
        <w:szCs w:val="22"/>
      </w:rPr>
      <w:instrText xml:space="preserve">PAGE  </w:instrText>
    </w:r>
    <w:r w:rsidRPr="001008FD">
      <w:rPr>
        <w:rStyle w:val="ab"/>
        <w:sz w:val="22"/>
        <w:szCs w:val="22"/>
      </w:rPr>
      <w:fldChar w:fldCharType="separate"/>
    </w:r>
    <w:r w:rsidR="00AB28AA">
      <w:rPr>
        <w:rStyle w:val="ab"/>
        <w:noProof/>
        <w:sz w:val="22"/>
        <w:szCs w:val="22"/>
      </w:rPr>
      <w:t>31</w:t>
    </w:r>
    <w:r w:rsidRPr="001008FD">
      <w:rPr>
        <w:rStyle w:val="ab"/>
        <w:sz w:val="22"/>
        <w:szCs w:val="22"/>
      </w:rPr>
      <w:fldChar w:fldCharType="end"/>
    </w:r>
  </w:p>
  <w:p w:rsidR="00B96CDF" w:rsidRDefault="00B96C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CC4"/>
    <w:multiLevelType w:val="hybridMultilevel"/>
    <w:tmpl w:val="A1BC404E"/>
    <w:lvl w:ilvl="0" w:tplc="73702C8C">
      <w:start w:val="1"/>
      <w:numFmt w:val="bullet"/>
      <w:lvlText w:val="-"/>
      <w:lvlJc w:val="left"/>
      <w:pPr>
        <w:tabs>
          <w:tab w:val="num" w:pos="1200"/>
        </w:tabs>
        <w:ind w:left="1200" w:hanging="360"/>
      </w:pPr>
      <w:rPr>
        <w:rFonts w:ascii="Verdana" w:hAnsi="Verdan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04B4D7C"/>
    <w:multiLevelType w:val="hybridMultilevel"/>
    <w:tmpl w:val="8BB62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C552CBD"/>
    <w:multiLevelType w:val="singleLevel"/>
    <w:tmpl w:val="17C08516"/>
    <w:lvl w:ilvl="0">
      <w:start w:val="807"/>
      <w:numFmt w:val="bullet"/>
      <w:lvlText w:val="-"/>
      <w:lvlJc w:val="left"/>
      <w:pPr>
        <w:tabs>
          <w:tab w:val="num" w:pos="1068"/>
        </w:tabs>
        <w:ind w:left="1068" w:hanging="360"/>
      </w:pPr>
      <w:rPr>
        <w:rFonts w:ascii="Times New Roman" w:hAnsi="Times New Roman" w:hint="default"/>
      </w:rPr>
    </w:lvl>
  </w:abstractNum>
  <w:abstractNum w:abstractNumId="3">
    <w:nsid w:val="53122C8E"/>
    <w:multiLevelType w:val="hybridMultilevel"/>
    <w:tmpl w:val="F8903470"/>
    <w:lvl w:ilvl="0" w:tplc="7376EB20">
      <w:start w:val="23"/>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61361F4"/>
    <w:multiLevelType w:val="hybridMultilevel"/>
    <w:tmpl w:val="0FDE1814"/>
    <w:lvl w:ilvl="0" w:tplc="7376EB20">
      <w:start w:val="2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6AC40E5"/>
    <w:multiLevelType w:val="hybridMultilevel"/>
    <w:tmpl w:val="E95020BC"/>
    <w:lvl w:ilvl="0" w:tplc="DAD824D8">
      <w:numFmt w:val="bullet"/>
      <w:lvlText w:val="-"/>
      <w:lvlJc w:val="left"/>
      <w:pPr>
        <w:tabs>
          <w:tab w:val="num" w:pos="1080"/>
        </w:tabs>
        <w:ind w:left="1080" w:hanging="360"/>
      </w:pPr>
      <w:rPr>
        <w:rFonts w:ascii="Courier New" w:eastAsia="Times New Roman" w:hAnsi="Courier New" w:cs="Courier New" w:hint="default"/>
        <w:sz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DD15839"/>
    <w:multiLevelType w:val="hybridMultilevel"/>
    <w:tmpl w:val="9A0412F4"/>
    <w:lvl w:ilvl="0" w:tplc="73702C8C">
      <w:start w:val="1"/>
      <w:numFmt w:val="bullet"/>
      <w:lvlText w:val="-"/>
      <w:lvlJc w:val="left"/>
      <w:pPr>
        <w:tabs>
          <w:tab w:val="num" w:pos="1260"/>
        </w:tabs>
        <w:ind w:left="12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661BC9"/>
    <w:multiLevelType w:val="hybridMultilevel"/>
    <w:tmpl w:val="39CA4E16"/>
    <w:lvl w:ilvl="0" w:tplc="B16644D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8AA6E4E"/>
    <w:multiLevelType w:val="hybridMultilevel"/>
    <w:tmpl w:val="C734BA1E"/>
    <w:lvl w:ilvl="0" w:tplc="F876561A">
      <w:start w:val="1"/>
      <w:numFmt w:val="bullet"/>
      <w:lvlText w:val="-"/>
      <w:lvlJc w:val="left"/>
      <w:pPr>
        <w:tabs>
          <w:tab w:val="num" w:pos="1080"/>
        </w:tabs>
        <w:ind w:left="1080" w:hanging="360"/>
      </w:pPr>
      <w:rPr>
        <w:rFonts w:ascii="MV Boli" w:hAnsi="MV Bol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FB04C1F"/>
    <w:multiLevelType w:val="multilevel"/>
    <w:tmpl w:val="8BB628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8"/>
  </w:num>
  <w:num w:numId="6">
    <w:abstractNumId w:val="0"/>
  </w:num>
  <w:num w:numId="7">
    <w:abstractNumId w:val="4"/>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9"/>
  <w:drawingGridHorizontalSpacing w:val="120"/>
  <w:displayHorizontalDrawingGridEvery w:val="2"/>
  <w:displayVerticalDrawingGridEvery w:val="2"/>
  <w:characterSpacingControl w:val="doNotCompress"/>
  <w:hdrShapeDefaults>
    <o:shapedefaults v:ext="edit" spidmax="26626">
      <o:colormenu v:ext="edit" fillcolor="none" strokecolor="none"/>
    </o:shapedefaults>
  </w:hdrShapeDefaults>
  <w:footnotePr>
    <w:footnote w:id="-1"/>
    <w:footnote w:id="0"/>
  </w:footnotePr>
  <w:endnotePr>
    <w:endnote w:id="-1"/>
    <w:endnote w:id="0"/>
  </w:endnotePr>
  <w:compat/>
  <w:rsids>
    <w:rsidRoot w:val="009C4AA8"/>
    <w:rsid w:val="00000BBE"/>
    <w:rsid w:val="00001EE5"/>
    <w:rsid w:val="00002268"/>
    <w:rsid w:val="00002998"/>
    <w:rsid w:val="00003942"/>
    <w:rsid w:val="00003AAA"/>
    <w:rsid w:val="00003B07"/>
    <w:rsid w:val="00004B08"/>
    <w:rsid w:val="000073E5"/>
    <w:rsid w:val="0000761B"/>
    <w:rsid w:val="0001021B"/>
    <w:rsid w:val="0001108B"/>
    <w:rsid w:val="000116CB"/>
    <w:rsid w:val="000120BF"/>
    <w:rsid w:val="00013B37"/>
    <w:rsid w:val="00014175"/>
    <w:rsid w:val="00014798"/>
    <w:rsid w:val="000151CA"/>
    <w:rsid w:val="00017390"/>
    <w:rsid w:val="00020190"/>
    <w:rsid w:val="0002144A"/>
    <w:rsid w:val="000214AB"/>
    <w:rsid w:val="00021EB4"/>
    <w:rsid w:val="00023167"/>
    <w:rsid w:val="0002424B"/>
    <w:rsid w:val="00024346"/>
    <w:rsid w:val="0002448C"/>
    <w:rsid w:val="00024D9E"/>
    <w:rsid w:val="00024DE0"/>
    <w:rsid w:val="00025018"/>
    <w:rsid w:val="00025BC9"/>
    <w:rsid w:val="000263CE"/>
    <w:rsid w:val="00026CF9"/>
    <w:rsid w:val="00027D47"/>
    <w:rsid w:val="00027FFB"/>
    <w:rsid w:val="0003049C"/>
    <w:rsid w:val="000308D0"/>
    <w:rsid w:val="00031709"/>
    <w:rsid w:val="00032186"/>
    <w:rsid w:val="0003507F"/>
    <w:rsid w:val="00036241"/>
    <w:rsid w:val="00037C84"/>
    <w:rsid w:val="00037F29"/>
    <w:rsid w:val="00042EB2"/>
    <w:rsid w:val="00045187"/>
    <w:rsid w:val="00045AC7"/>
    <w:rsid w:val="00046553"/>
    <w:rsid w:val="00046DE0"/>
    <w:rsid w:val="00046F25"/>
    <w:rsid w:val="00047E8F"/>
    <w:rsid w:val="00047F7C"/>
    <w:rsid w:val="00050833"/>
    <w:rsid w:val="00050D9A"/>
    <w:rsid w:val="000513DC"/>
    <w:rsid w:val="000565A9"/>
    <w:rsid w:val="00056944"/>
    <w:rsid w:val="00056C6A"/>
    <w:rsid w:val="00056EB8"/>
    <w:rsid w:val="00057593"/>
    <w:rsid w:val="000610C2"/>
    <w:rsid w:val="0006123A"/>
    <w:rsid w:val="00063327"/>
    <w:rsid w:val="000655C5"/>
    <w:rsid w:val="00065C0E"/>
    <w:rsid w:val="000663D1"/>
    <w:rsid w:val="00066FBA"/>
    <w:rsid w:val="000675E2"/>
    <w:rsid w:val="00070009"/>
    <w:rsid w:val="00070A73"/>
    <w:rsid w:val="000712B7"/>
    <w:rsid w:val="00071634"/>
    <w:rsid w:val="0007186E"/>
    <w:rsid w:val="00071E1B"/>
    <w:rsid w:val="000725AB"/>
    <w:rsid w:val="00072AF2"/>
    <w:rsid w:val="00074BFF"/>
    <w:rsid w:val="000753BD"/>
    <w:rsid w:val="00076A42"/>
    <w:rsid w:val="00076BB7"/>
    <w:rsid w:val="00077F1F"/>
    <w:rsid w:val="0008010B"/>
    <w:rsid w:val="00081677"/>
    <w:rsid w:val="00081C99"/>
    <w:rsid w:val="000833CE"/>
    <w:rsid w:val="00083D2E"/>
    <w:rsid w:val="0008573F"/>
    <w:rsid w:val="00085E09"/>
    <w:rsid w:val="00086365"/>
    <w:rsid w:val="00087A13"/>
    <w:rsid w:val="000920AB"/>
    <w:rsid w:val="00092D11"/>
    <w:rsid w:val="00093408"/>
    <w:rsid w:val="00095D8D"/>
    <w:rsid w:val="00096365"/>
    <w:rsid w:val="000967EA"/>
    <w:rsid w:val="00096BF6"/>
    <w:rsid w:val="00096C9A"/>
    <w:rsid w:val="00096F9F"/>
    <w:rsid w:val="0009742D"/>
    <w:rsid w:val="000A0B0D"/>
    <w:rsid w:val="000A0ECE"/>
    <w:rsid w:val="000A1D34"/>
    <w:rsid w:val="000A22FF"/>
    <w:rsid w:val="000A2928"/>
    <w:rsid w:val="000A3168"/>
    <w:rsid w:val="000A3D63"/>
    <w:rsid w:val="000A4456"/>
    <w:rsid w:val="000A5023"/>
    <w:rsid w:val="000A5827"/>
    <w:rsid w:val="000A5D06"/>
    <w:rsid w:val="000A7B71"/>
    <w:rsid w:val="000B05C3"/>
    <w:rsid w:val="000B0C27"/>
    <w:rsid w:val="000B0DF8"/>
    <w:rsid w:val="000B21E3"/>
    <w:rsid w:val="000B2596"/>
    <w:rsid w:val="000B3129"/>
    <w:rsid w:val="000B5CC1"/>
    <w:rsid w:val="000B7038"/>
    <w:rsid w:val="000C1C73"/>
    <w:rsid w:val="000C3442"/>
    <w:rsid w:val="000C34ED"/>
    <w:rsid w:val="000C4786"/>
    <w:rsid w:val="000C621F"/>
    <w:rsid w:val="000C63D2"/>
    <w:rsid w:val="000C650B"/>
    <w:rsid w:val="000C6604"/>
    <w:rsid w:val="000D1FDA"/>
    <w:rsid w:val="000D2A37"/>
    <w:rsid w:val="000D2DE7"/>
    <w:rsid w:val="000D3A29"/>
    <w:rsid w:val="000D3EEA"/>
    <w:rsid w:val="000D42EA"/>
    <w:rsid w:val="000D4D6B"/>
    <w:rsid w:val="000D5031"/>
    <w:rsid w:val="000E0729"/>
    <w:rsid w:val="000E0F85"/>
    <w:rsid w:val="000E183A"/>
    <w:rsid w:val="000E24E4"/>
    <w:rsid w:val="000E2B73"/>
    <w:rsid w:val="000E3B2C"/>
    <w:rsid w:val="000E3E17"/>
    <w:rsid w:val="000E4E79"/>
    <w:rsid w:val="000E5ED4"/>
    <w:rsid w:val="000E6BC3"/>
    <w:rsid w:val="000E798D"/>
    <w:rsid w:val="000F1700"/>
    <w:rsid w:val="000F1A9A"/>
    <w:rsid w:val="000F240B"/>
    <w:rsid w:val="000F2B3C"/>
    <w:rsid w:val="000F3049"/>
    <w:rsid w:val="000F4D0B"/>
    <w:rsid w:val="000F5331"/>
    <w:rsid w:val="000F629F"/>
    <w:rsid w:val="000F6A34"/>
    <w:rsid w:val="00100540"/>
    <w:rsid w:val="001008FD"/>
    <w:rsid w:val="00100C1D"/>
    <w:rsid w:val="00101D34"/>
    <w:rsid w:val="00104180"/>
    <w:rsid w:val="00106DFF"/>
    <w:rsid w:val="00107138"/>
    <w:rsid w:val="001106F5"/>
    <w:rsid w:val="00110AE2"/>
    <w:rsid w:val="00111801"/>
    <w:rsid w:val="00111D81"/>
    <w:rsid w:val="00112429"/>
    <w:rsid w:val="00113BB3"/>
    <w:rsid w:val="00113C9F"/>
    <w:rsid w:val="00114B51"/>
    <w:rsid w:val="00114BA5"/>
    <w:rsid w:val="00114D47"/>
    <w:rsid w:val="00114DC7"/>
    <w:rsid w:val="00115BBF"/>
    <w:rsid w:val="00116336"/>
    <w:rsid w:val="00116AF1"/>
    <w:rsid w:val="00117F6A"/>
    <w:rsid w:val="00121A95"/>
    <w:rsid w:val="0012262D"/>
    <w:rsid w:val="00122A7A"/>
    <w:rsid w:val="00123F1E"/>
    <w:rsid w:val="0012431B"/>
    <w:rsid w:val="00125054"/>
    <w:rsid w:val="00126E3C"/>
    <w:rsid w:val="001304EA"/>
    <w:rsid w:val="0013093F"/>
    <w:rsid w:val="00130ADC"/>
    <w:rsid w:val="00132291"/>
    <w:rsid w:val="00134C89"/>
    <w:rsid w:val="00135482"/>
    <w:rsid w:val="00135658"/>
    <w:rsid w:val="001365EA"/>
    <w:rsid w:val="001368AE"/>
    <w:rsid w:val="00137037"/>
    <w:rsid w:val="00137738"/>
    <w:rsid w:val="00142D40"/>
    <w:rsid w:val="00143AA9"/>
    <w:rsid w:val="00143BA9"/>
    <w:rsid w:val="00145B96"/>
    <w:rsid w:val="00146247"/>
    <w:rsid w:val="0014782E"/>
    <w:rsid w:val="001479C4"/>
    <w:rsid w:val="00147C2D"/>
    <w:rsid w:val="001501E4"/>
    <w:rsid w:val="0015031E"/>
    <w:rsid w:val="00150341"/>
    <w:rsid w:val="0015078D"/>
    <w:rsid w:val="00150F0C"/>
    <w:rsid w:val="00152169"/>
    <w:rsid w:val="00152465"/>
    <w:rsid w:val="0015363D"/>
    <w:rsid w:val="00153DB0"/>
    <w:rsid w:val="00154353"/>
    <w:rsid w:val="001551A1"/>
    <w:rsid w:val="001555FB"/>
    <w:rsid w:val="0015681D"/>
    <w:rsid w:val="00156C83"/>
    <w:rsid w:val="00157082"/>
    <w:rsid w:val="001579A3"/>
    <w:rsid w:val="00157FEB"/>
    <w:rsid w:val="0016104D"/>
    <w:rsid w:val="00162334"/>
    <w:rsid w:val="001632BB"/>
    <w:rsid w:val="001642FD"/>
    <w:rsid w:val="00164C0A"/>
    <w:rsid w:val="00166C9E"/>
    <w:rsid w:val="00167392"/>
    <w:rsid w:val="00171996"/>
    <w:rsid w:val="00175032"/>
    <w:rsid w:val="00175B57"/>
    <w:rsid w:val="00177108"/>
    <w:rsid w:val="00177E90"/>
    <w:rsid w:val="0018043C"/>
    <w:rsid w:val="0018193F"/>
    <w:rsid w:val="00181E86"/>
    <w:rsid w:val="00182123"/>
    <w:rsid w:val="00185BC3"/>
    <w:rsid w:val="001926EB"/>
    <w:rsid w:val="00192F3F"/>
    <w:rsid w:val="00193D4F"/>
    <w:rsid w:val="00195187"/>
    <w:rsid w:val="0019650D"/>
    <w:rsid w:val="001966BE"/>
    <w:rsid w:val="001A2662"/>
    <w:rsid w:val="001A2E00"/>
    <w:rsid w:val="001A33F6"/>
    <w:rsid w:val="001A3CF0"/>
    <w:rsid w:val="001A5988"/>
    <w:rsid w:val="001A6CAC"/>
    <w:rsid w:val="001A72E2"/>
    <w:rsid w:val="001B02F8"/>
    <w:rsid w:val="001B255B"/>
    <w:rsid w:val="001B2CA7"/>
    <w:rsid w:val="001B431B"/>
    <w:rsid w:val="001B5317"/>
    <w:rsid w:val="001B6394"/>
    <w:rsid w:val="001B68C5"/>
    <w:rsid w:val="001C0234"/>
    <w:rsid w:val="001C209C"/>
    <w:rsid w:val="001C2FBC"/>
    <w:rsid w:val="001C5E9C"/>
    <w:rsid w:val="001C606E"/>
    <w:rsid w:val="001C67ED"/>
    <w:rsid w:val="001C692F"/>
    <w:rsid w:val="001C7E2D"/>
    <w:rsid w:val="001D056E"/>
    <w:rsid w:val="001D1929"/>
    <w:rsid w:val="001D4782"/>
    <w:rsid w:val="001D58BE"/>
    <w:rsid w:val="001D6024"/>
    <w:rsid w:val="001D622F"/>
    <w:rsid w:val="001D646A"/>
    <w:rsid w:val="001D6671"/>
    <w:rsid w:val="001D739D"/>
    <w:rsid w:val="001D78A0"/>
    <w:rsid w:val="001D790A"/>
    <w:rsid w:val="001E004B"/>
    <w:rsid w:val="001E17D8"/>
    <w:rsid w:val="001E217D"/>
    <w:rsid w:val="001E21B8"/>
    <w:rsid w:val="001E3BFF"/>
    <w:rsid w:val="001E3D91"/>
    <w:rsid w:val="001E61E6"/>
    <w:rsid w:val="001E6BF6"/>
    <w:rsid w:val="001F0100"/>
    <w:rsid w:val="001F0C2A"/>
    <w:rsid w:val="001F11FB"/>
    <w:rsid w:val="001F1A29"/>
    <w:rsid w:val="001F21DF"/>
    <w:rsid w:val="001F2441"/>
    <w:rsid w:val="001F2D6C"/>
    <w:rsid w:val="001F3745"/>
    <w:rsid w:val="001F4035"/>
    <w:rsid w:val="001F4E2B"/>
    <w:rsid w:val="001F5352"/>
    <w:rsid w:val="001F63FD"/>
    <w:rsid w:val="001F7D80"/>
    <w:rsid w:val="001F7EE0"/>
    <w:rsid w:val="002014F5"/>
    <w:rsid w:val="00201B3C"/>
    <w:rsid w:val="0020351B"/>
    <w:rsid w:val="00204AC4"/>
    <w:rsid w:val="00207619"/>
    <w:rsid w:val="002079F6"/>
    <w:rsid w:val="00210EF1"/>
    <w:rsid w:val="00211BDA"/>
    <w:rsid w:val="002136B7"/>
    <w:rsid w:val="002138F3"/>
    <w:rsid w:val="002157DF"/>
    <w:rsid w:val="00215D38"/>
    <w:rsid w:val="002161EC"/>
    <w:rsid w:val="00216267"/>
    <w:rsid w:val="0021675A"/>
    <w:rsid w:val="002169F1"/>
    <w:rsid w:val="00217705"/>
    <w:rsid w:val="00220B31"/>
    <w:rsid w:val="00222582"/>
    <w:rsid w:val="002238CD"/>
    <w:rsid w:val="00224D90"/>
    <w:rsid w:val="00225723"/>
    <w:rsid w:val="00225DCA"/>
    <w:rsid w:val="00225F1B"/>
    <w:rsid w:val="002264F2"/>
    <w:rsid w:val="002266CB"/>
    <w:rsid w:val="00226A04"/>
    <w:rsid w:val="00231411"/>
    <w:rsid w:val="00231DF4"/>
    <w:rsid w:val="00235EFE"/>
    <w:rsid w:val="002360AA"/>
    <w:rsid w:val="00236CCD"/>
    <w:rsid w:val="00236DE0"/>
    <w:rsid w:val="00236F70"/>
    <w:rsid w:val="002374E9"/>
    <w:rsid w:val="00237A03"/>
    <w:rsid w:val="00240250"/>
    <w:rsid w:val="002403A6"/>
    <w:rsid w:val="002418B5"/>
    <w:rsid w:val="0024226F"/>
    <w:rsid w:val="0024404C"/>
    <w:rsid w:val="0024421C"/>
    <w:rsid w:val="002466B8"/>
    <w:rsid w:val="002470F6"/>
    <w:rsid w:val="00247305"/>
    <w:rsid w:val="00247668"/>
    <w:rsid w:val="00247EA1"/>
    <w:rsid w:val="00251BE4"/>
    <w:rsid w:val="00251CE1"/>
    <w:rsid w:val="00251F3E"/>
    <w:rsid w:val="00251F62"/>
    <w:rsid w:val="0025380A"/>
    <w:rsid w:val="00255814"/>
    <w:rsid w:val="00255BD3"/>
    <w:rsid w:val="0025671C"/>
    <w:rsid w:val="002574F8"/>
    <w:rsid w:val="0025753C"/>
    <w:rsid w:val="002575A2"/>
    <w:rsid w:val="00257B33"/>
    <w:rsid w:val="00257DAB"/>
    <w:rsid w:val="00260060"/>
    <w:rsid w:val="00260E4D"/>
    <w:rsid w:val="002610BF"/>
    <w:rsid w:val="00261150"/>
    <w:rsid w:val="00263F5B"/>
    <w:rsid w:val="00264805"/>
    <w:rsid w:val="00266FC8"/>
    <w:rsid w:val="002679F4"/>
    <w:rsid w:val="00270EA8"/>
    <w:rsid w:val="00272821"/>
    <w:rsid w:val="0027341F"/>
    <w:rsid w:val="00273B8E"/>
    <w:rsid w:val="00273EB3"/>
    <w:rsid w:val="00274D6A"/>
    <w:rsid w:val="00275D69"/>
    <w:rsid w:val="00275E3A"/>
    <w:rsid w:val="00276442"/>
    <w:rsid w:val="002809EE"/>
    <w:rsid w:val="002812A3"/>
    <w:rsid w:val="00281FF5"/>
    <w:rsid w:val="00284593"/>
    <w:rsid w:val="0028501C"/>
    <w:rsid w:val="002854FE"/>
    <w:rsid w:val="002867E2"/>
    <w:rsid w:val="00286886"/>
    <w:rsid w:val="00286F41"/>
    <w:rsid w:val="00290438"/>
    <w:rsid w:val="00290DEC"/>
    <w:rsid w:val="0029178D"/>
    <w:rsid w:val="00291C43"/>
    <w:rsid w:val="00293BD8"/>
    <w:rsid w:val="00293FED"/>
    <w:rsid w:val="002943E2"/>
    <w:rsid w:val="00294F6F"/>
    <w:rsid w:val="002A0B82"/>
    <w:rsid w:val="002A14A7"/>
    <w:rsid w:val="002A2281"/>
    <w:rsid w:val="002A24F8"/>
    <w:rsid w:val="002A7AA1"/>
    <w:rsid w:val="002B00C9"/>
    <w:rsid w:val="002B0679"/>
    <w:rsid w:val="002B09B3"/>
    <w:rsid w:val="002B4BCA"/>
    <w:rsid w:val="002B4F12"/>
    <w:rsid w:val="002B602C"/>
    <w:rsid w:val="002B76C4"/>
    <w:rsid w:val="002B7852"/>
    <w:rsid w:val="002B7EE8"/>
    <w:rsid w:val="002C0941"/>
    <w:rsid w:val="002C1D5D"/>
    <w:rsid w:val="002C1FBA"/>
    <w:rsid w:val="002C2142"/>
    <w:rsid w:val="002C31AC"/>
    <w:rsid w:val="002C4B62"/>
    <w:rsid w:val="002C5C5A"/>
    <w:rsid w:val="002C6918"/>
    <w:rsid w:val="002C7378"/>
    <w:rsid w:val="002D0764"/>
    <w:rsid w:val="002D1F4F"/>
    <w:rsid w:val="002D266D"/>
    <w:rsid w:val="002D36D4"/>
    <w:rsid w:val="002D393D"/>
    <w:rsid w:val="002D4411"/>
    <w:rsid w:val="002D5E50"/>
    <w:rsid w:val="002D624B"/>
    <w:rsid w:val="002D640C"/>
    <w:rsid w:val="002E1523"/>
    <w:rsid w:val="002E251C"/>
    <w:rsid w:val="002E2815"/>
    <w:rsid w:val="002E2EDE"/>
    <w:rsid w:val="002E3272"/>
    <w:rsid w:val="002E4306"/>
    <w:rsid w:val="002E4979"/>
    <w:rsid w:val="002E5DC5"/>
    <w:rsid w:val="002E65F0"/>
    <w:rsid w:val="002F0188"/>
    <w:rsid w:val="002F187D"/>
    <w:rsid w:val="002F2707"/>
    <w:rsid w:val="002F29CC"/>
    <w:rsid w:val="002F33EC"/>
    <w:rsid w:val="002F3ECB"/>
    <w:rsid w:val="002F3F89"/>
    <w:rsid w:val="002F40B7"/>
    <w:rsid w:val="002F45EE"/>
    <w:rsid w:val="00300141"/>
    <w:rsid w:val="00300340"/>
    <w:rsid w:val="0030048F"/>
    <w:rsid w:val="00300DA2"/>
    <w:rsid w:val="00300DA6"/>
    <w:rsid w:val="003011E0"/>
    <w:rsid w:val="0030187F"/>
    <w:rsid w:val="003025DF"/>
    <w:rsid w:val="0030262F"/>
    <w:rsid w:val="0030316B"/>
    <w:rsid w:val="00303EC6"/>
    <w:rsid w:val="0030777A"/>
    <w:rsid w:val="00307A6D"/>
    <w:rsid w:val="0031122A"/>
    <w:rsid w:val="00311B1E"/>
    <w:rsid w:val="00311C0A"/>
    <w:rsid w:val="0031221E"/>
    <w:rsid w:val="003125F7"/>
    <w:rsid w:val="00312A1B"/>
    <w:rsid w:val="00312FD4"/>
    <w:rsid w:val="003138C1"/>
    <w:rsid w:val="00313960"/>
    <w:rsid w:val="00313A75"/>
    <w:rsid w:val="00313C97"/>
    <w:rsid w:val="00313FCD"/>
    <w:rsid w:val="003149F1"/>
    <w:rsid w:val="00314D14"/>
    <w:rsid w:val="00316325"/>
    <w:rsid w:val="00317415"/>
    <w:rsid w:val="00321012"/>
    <w:rsid w:val="00321E92"/>
    <w:rsid w:val="003226B8"/>
    <w:rsid w:val="00323413"/>
    <w:rsid w:val="0032424E"/>
    <w:rsid w:val="00324727"/>
    <w:rsid w:val="003258F2"/>
    <w:rsid w:val="00332A11"/>
    <w:rsid w:val="00332C3E"/>
    <w:rsid w:val="00332DEC"/>
    <w:rsid w:val="0033458B"/>
    <w:rsid w:val="00334BB7"/>
    <w:rsid w:val="003365C8"/>
    <w:rsid w:val="00336A6F"/>
    <w:rsid w:val="00336F6A"/>
    <w:rsid w:val="00336F8F"/>
    <w:rsid w:val="003374CA"/>
    <w:rsid w:val="0033770A"/>
    <w:rsid w:val="0033794D"/>
    <w:rsid w:val="00337E42"/>
    <w:rsid w:val="003402D2"/>
    <w:rsid w:val="00340591"/>
    <w:rsid w:val="00342CEB"/>
    <w:rsid w:val="00343D9A"/>
    <w:rsid w:val="003448EF"/>
    <w:rsid w:val="00345988"/>
    <w:rsid w:val="00345DE5"/>
    <w:rsid w:val="00346B61"/>
    <w:rsid w:val="00346CF3"/>
    <w:rsid w:val="00347509"/>
    <w:rsid w:val="00347F03"/>
    <w:rsid w:val="003511FF"/>
    <w:rsid w:val="00352E9C"/>
    <w:rsid w:val="0035393E"/>
    <w:rsid w:val="0035586B"/>
    <w:rsid w:val="00355E79"/>
    <w:rsid w:val="00356618"/>
    <w:rsid w:val="00361796"/>
    <w:rsid w:val="00361E19"/>
    <w:rsid w:val="00362289"/>
    <w:rsid w:val="003634D1"/>
    <w:rsid w:val="00363AFE"/>
    <w:rsid w:val="00364187"/>
    <w:rsid w:val="003706AD"/>
    <w:rsid w:val="00372712"/>
    <w:rsid w:val="00373F65"/>
    <w:rsid w:val="00374C17"/>
    <w:rsid w:val="00376242"/>
    <w:rsid w:val="00381A3E"/>
    <w:rsid w:val="00381AE1"/>
    <w:rsid w:val="0038380B"/>
    <w:rsid w:val="0038386C"/>
    <w:rsid w:val="003848EF"/>
    <w:rsid w:val="00384938"/>
    <w:rsid w:val="00385072"/>
    <w:rsid w:val="00385526"/>
    <w:rsid w:val="0038651E"/>
    <w:rsid w:val="003866B5"/>
    <w:rsid w:val="00386E12"/>
    <w:rsid w:val="00387B25"/>
    <w:rsid w:val="00390159"/>
    <w:rsid w:val="003914EA"/>
    <w:rsid w:val="00393346"/>
    <w:rsid w:val="00393558"/>
    <w:rsid w:val="003947F1"/>
    <w:rsid w:val="003953D7"/>
    <w:rsid w:val="003959B5"/>
    <w:rsid w:val="0039618F"/>
    <w:rsid w:val="0039777D"/>
    <w:rsid w:val="00397E75"/>
    <w:rsid w:val="003A2FB5"/>
    <w:rsid w:val="003A32B2"/>
    <w:rsid w:val="003A3471"/>
    <w:rsid w:val="003A4529"/>
    <w:rsid w:val="003A52FB"/>
    <w:rsid w:val="003A694A"/>
    <w:rsid w:val="003A6BE6"/>
    <w:rsid w:val="003B033E"/>
    <w:rsid w:val="003B053D"/>
    <w:rsid w:val="003B06D0"/>
    <w:rsid w:val="003B2585"/>
    <w:rsid w:val="003B2BC0"/>
    <w:rsid w:val="003B2CB8"/>
    <w:rsid w:val="003B3229"/>
    <w:rsid w:val="003B39D1"/>
    <w:rsid w:val="003B465A"/>
    <w:rsid w:val="003B541C"/>
    <w:rsid w:val="003B60A3"/>
    <w:rsid w:val="003B6961"/>
    <w:rsid w:val="003C1235"/>
    <w:rsid w:val="003C18E3"/>
    <w:rsid w:val="003C1FA9"/>
    <w:rsid w:val="003C2AAC"/>
    <w:rsid w:val="003C3D64"/>
    <w:rsid w:val="003C4460"/>
    <w:rsid w:val="003C49C1"/>
    <w:rsid w:val="003C4AC9"/>
    <w:rsid w:val="003C57EB"/>
    <w:rsid w:val="003C5FDE"/>
    <w:rsid w:val="003C65F2"/>
    <w:rsid w:val="003C7F02"/>
    <w:rsid w:val="003D0189"/>
    <w:rsid w:val="003D0933"/>
    <w:rsid w:val="003D273B"/>
    <w:rsid w:val="003D2A16"/>
    <w:rsid w:val="003D2E9D"/>
    <w:rsid w:val="003D5224"/>
    <w:rsid w:val="003D52B2"/>
    <w:rsid w:val="003D5B8E"/>
    <w:rsid w:val="003D767C"/>
    <w:rsid w:val="003D7A5F"/>
    <w:rsid w:val="003D7DA5"/>
    <w:rsid w:val="003E1AE8"/>
    <w:rsid w:val="003E21F6"/>
    <w:rsid w:val="003E340C"/>
    <w:rsid w:val="003E37F3"/>
    <w:rsid w:val="003E6728"/>
    <w:rsid w:val="003E6AE6"/>
    <w:rsid w:val="003F01AA"/>
    <w:rsid w:val="003F0333"/>
    <w:rsid w:val="003F123D"/>
    <w:rsid w:val="003F1661"/>
    <w:rsid w:val="003F21B6"/>
    <w:rsid w:val="003F354D"/>
    <w:rsid w:val="003F4703"/>
    <w:rsid w:val="003F47BA"/>
    <w:rsid w:val="003F4D56"/>
    <w:rsid w:val="0040297A"/>
    <w:rsid w:val="004030FB"/>
    <w:rsid w:val="004036DF"/>
    <w:rsid w:val="00406B09"/>
    <w:rsid w:val="004072C1"/>
    <w:rsid w:val="00407E3C"/>
    <w:rsid w:val="00410A62"/>
    <w:rsid w:val="00411712"/>
    <w:rsid w:val="004129DF"/>
    <w:rsid w:val="00412BBD"/>
    <w:rsid w:val="00414111"/>
    <w:rsid w:val="004150C4"/>
    <w:rsid w:val="004151DB"/>
    <w:rsid w:val="00415ACD"/>
    <w:rsid w:val="00415CEE"/>
    <w:rsid w:val="00416FC9"/>
    <w:rsid w:val="00417C34"/>
    <w:rsid w:val="004202AE"/>
    <w:rsid w:val="00420739"/>
    <w:rsid w:val="00421C12"/>
    <w:rsid w:val="00422EB9"/>
    <w:rsid w:val="00423B14"/>
    <w:rsid w:val="004245BF"/>
    <w:rsid w:val="004246C9"/>
    <w:rsid w:val="00424AE2"/>
    <w:rsid w:val="00424C27"/>
    <w:rsid w:val="0042540F"/>
    <w:rsid w:val="00425C4D"/>
    <w:rsid w:val="0042697C"/>
    <w:rsid w:val="00427ABD"/>
    <w:rsid w:val="00427EF5"/>
    <w:rsid w:val="00430D6D"/>
    <w:rsid w:val="004321F1"/>
    <w:rsid w:val="00432C52"/>
    <w:rsid w:val="00432F00"/>
    <w:rsid w:val="004342F3"/>
    <w:rsid w:val="00434474"/>
    <w:rsid w:val="0043477F"/>
    <w:rsid w:val="004351A1"/>
    <w:rsid w:val="00435A70"/>
    <w:rsid w:val="00436893"/>
    <w:rsid w:val="00440981"/>
    <w:rsid w:val="004412F5"/>
    <w:rsid w:val="00442A43"/>
    <w:rsid w:val="00442D83"/>
    <w:rsid w:val="00442E69"/>
    <w:rsid w:val="00443B49"/>
    <w:rsid w:val="00444485"/>
    <w:rsid w:val="00444B03"/>
    <w:rsid w:val="004450A9"/>
    <w:rsid w:val="004451C5"/>
    <w:rsid w:val="00446912"/>
    <w:rsid w:val="00446C31"/>
    <w:rsid w:val="004471D0"/>
    <w:rsid w:val="00447A0A"/>
    <w:rsid w:val="00447DF2"/>
    <w:rsid w:val="004503E3"/>
    <w:rsid w:val="0045057C"/>
    <w:rsid w:val="00452283"/>
    <w:rsid w:val="004524DD"/>
    <w:rsid w:val="00452DAC"/>
    <w:rsid w:val="0045341D"/>
    <w:rsid w:val="00453523"/>
    <w:rsid w:val="0045371D"/>
    <w:rsid w:val="00454785"/>
    <w:rsid w:val="00456BF5"/>
    <w:rsid w:val="0045715E"/>
    <w:rsid w:val="004600A7"/>
    <w:rsid w:val="0046024F"/>
    <w:rsid w:val="00460346"/>
    <w:rsid w:val="004605E0"/>
    <w:rsid w:val="00460761"/>
    <w:rsid w:val="00461DBB"/>
    <w:rsid w:val="004627C8"/>
    <w:rsid w:val="004629D0"/>
    <w:rsid w:val="00462C3F"/>
    <w:rsid w:val="00463124"/>
    <w:rsid w:val="0046449B"/>
    <w:rsid w:val="0046459F"/>
    <w:rsid w:val="00466F97"/>
    <w:rsid w:val="0047142F"/>
    <w:rsid w:val="004727E1"/>
    <w:rsid w:val="00473050"/>
    <w:rsid w:val="004737BB"/>
    <w:rsid w:val="0047415F"/>
    <w:rsid w:val="00474689"/>
    <w:rsid w:val="00475507"/>
    <w:rsid w:val="00477695"/>
    <w:rsid w:val="00480EF0"/>
    <w:rsid w:val="00482116"/>
    <w:rsid w:val="00482A6A"/>
    <w:rsid w:val="00483B29"/>
    <w:rsid w:val="00483C89"/>
    <w:rsid w:val="00484A5E"/>
    <w:rsid w:val="00485090"/>
    <w:rsid w:val="004854C9"/>
    <w:rsid w:val="0048787A"/>
    <w:rsid w:val="00487DD7"/>
    <w:rsid w:val="00490174"/>
    <w:rsid w:val="004906A4"/>
    <w:rsid w:val="00490BDD"/>
    <w:rsid w:val="00491461"/>
    <w:rsid w:val="00493F0F"/>
    <w:rsid w:val="004950BE"/>
    <w:rsid w:val="00495BE5"/>
    <w:rsid w:val="00496CDB"/>
    <w:rsid w:val="00497B7C"/>
    <w:rsid w:val="004A0760"/>
    <w:rsid w:val="004A19FD"/>
    <w:rsid w:val="004A1F70"/>
    <w:rsid w:val="004A4B0A"/>
    <w:rsid w:val="004A4BED"/>
    <w:rsid w:val="004A666F"/>
    <w:rsid w:val="004B1881"/>
    <w:rsid w:val="004B1CDC"/>
    <w:rsid w:val="004B2385"/>
    <w:rsid w:val="004B25AF"/>
    <w:rsid w:val="004B27EB"/>
    <w:rsid w:val="004B32E8"/>
    <w:rsid w:val="004B37BD"/>
    <w:rsid w:val="004B37F4"/>
    <w:rsid w:val="004B3930"/>
    <w:rsid w:val="004B4700"/>
    <w:rsid w:val="004B4942"/>
    <w:rsid w:val="004B6197"/>
    <w:rsid w:val="004B6C43"/>
    <w:rsid w:val="004C0111"/>
    <w:rsid w:val="004C04BB"/>
    <w:rsid w:val="004C0809"/>
    <w:rsid w:val="004C08D3"/>
    <w:rsid w:val="004C1573"/>
    <w:rsid w:val="004C1F0E"/>
    <w:rsid w:val="004C29DC"/>
    <w:rsid w:val="004C2ADA"/>
    <w:rsid w:val="004C2E07"/>
    <w:rsid w:val="004C451D"/>
    <w:rsid w:val="004C568D"/>
    <w:rsid w:val="004C5F1E"/>
    <w:rsid w:val="004C7440"/>
    <w:rsid w:val="004C7BAE"/>
    <w:rsid w:val="004D0709"/>
    <w:rsid w:val="004D2423"/>
    <w:rsid w:val="004D289D"/>
    <w:rsid w:val="004D2D43"/>
    <w:rsid w:val="004D4E1B"/>
    <w:rsid w:val="004D5364"/>
    <w:rsid w:val="004D5ACA"/>
    <w:rsid w:val="004E05D5"/>
    <w:rsid w:val="004E1124"/>
    <w:rsid w:val="004E1EDB"/>
    <w:rsid w:val="004E3347"/>
    <w:rsid w:val="004E3E96"/>
    <w:rsid w:val="004E4C5F"/>
    <w:rsid w:val="004E6538"/>
    <w:rsid w:val="004E6C2E"/>
    <w:rsid w:val="004E789A"/>
    <w:rsid w:val="004E7C66"/>
    <w:rsid w:val="004F1DFA"/>
    <w:rsid w:val="004F45E3"/>
    <w:rsid w:val="004F4789"/>
    <w:rsid w:val="004F48EC"/>
    <w:rsid w:val="004F584F"/>
    <w:rsid w:val="004F5CEF"/>
    <w:rsid w:val="004F64A1"/>
    <w:rsid w:val="004F70B8"/>
    <w:rsid w:val="00500287"/>
    <w:rsid w:val="005023E1"/>
    <w:rsid w:val="005030E7"/>
    <w:rsid w:val="005036BD"/>
    <w:rsid w:val="00503B6C"/>
    <w:rsid w:val="005046B1"/>
    <w:rsid w:val="0050527F"/>
    <w:rsid w:val="005063CA"/>
    <w:rsid w:val="00512684"/>
    <w:rsid w:val="00512BDC"/>
    <w:rsid w:val="005133BE"/>
    <w:rsid w:val="00514537"/>
    <w:rsid w:val="00514976"/>
    <w:rsid w:val="00514C6C"/>
    <w:rsid w:val="00514D20"/>
    <w:rsid w:val="0051500A"/>
    <w:rsid w:val="0051709D"/>
    <w:rsid w:val="00517AE3"/>
    <w:rsid w:val="00517D56"/>
    <w:rsid w:val="005200FB"/>
    <w:rsid w:val="00521FF0"/>
    <w:rsid w:val="0052215D"/>
    <w:rsid w:val="00522785"/>
    <w:rsid w:val="00523B88"/>
    <w:rsid w:val="00524FB8"/>
    <w:rsid w:val="005276F6"/>
    <w:rsid w:val="0053163A"/>
    <w:rsid w:val="00531F99"/>
    <w:rsid w:val="005324D4"/>
    <w:rsid w:val="005335EB"/>
    <w:rsid w:val="0053392C"/>
    <w:rsid w:val="00534D3C"/>
    <w:rsid w:val="0053690B"/>
    <w:rsid w:val="00542377"/>
    <w:rsid w:val="00542D27"/>
    <w:rsid w:val="00543A70"/>
    <w:rsid w:val="005445E4"/>
    <w:rsid w:val="00544C47"/>
    <w:rsid w:val="00545A08"/>
    <w:rsid w:val="00546383"/>
    <w:rsid w:val="00550F44"/>
    <w:rsid w:val="00552EDB"/>
    <w:rsid w:val="005537FB"/>
    <w:rsid w:val="005538D9"/>
    <w:rsid w:val="00553CEC"/>
    <w:rsid w:val="005544E1"/>
    <w:rsid w:val="00554715"/>
    <w:rsid w:val="00554D3D"/>
    <w:rsid w:val="00555287"/>
    <w:rsid w:val="005552A3"/>
    <w:rsid w:val="00560FE9"/>
    <w:rsid w:val="0056162D"/>
    <w:rsid w:val="00562269"/>
    <w:rsid w:val="005625DA"/>
    <w:rsid w:val="00562753"/>
    <w:rsid w:val="005629D8"/>
    <w:rsid w:val="005645A0"/>
    <w:rsid w:val="005663CF"/>
    <w:rsid w:val="00567939"/>
    <w:rsid w:val="00570182"/>
    <w:rsid w:val="00570D84"/>
    <w:rsid w:val="005717FD"/>
    <w:rsid w:val="00571E05"/>
    <w:rsid w:val="005725A0"/>
    <w:rsid w:val="00573450"/>
    <w:rsid w:val="005740D2"/>
    <w:rsid w:val="005741C9"/>
    <w:rsid w:val="005744E6"/>
    <w:rsid w:val="00574F85"/>
    <w:rsid w:val="00575AB6"/>
    <w:rsid w:val="00577A72"/>
    <w:rsid w:val="00580888"/>
    <w:rsid w:val="00581F2F"/>
    <w:rsid w:val="00582C71"/>
    <w:rsid w:val="00582E1B"/>
    <w:rsid w:val="00582FB9"/>
    <w:rsid w:val="00585837"/>
    <w:rsid w:val="00587E1A"/>
    <w:rsid w:val="00590134"/>
    <w:rsid w:val="005904F4"/>
    <w:rsid w:val="00590AA1"/>
    <w:rsid w:val="00590D09"/>
    <w:rsid w:val="00591FB6"/>
    <w:rsid w:val="0059399B"/>
    <w:rsid w:val="00593E0F"/>
    <w:rsid w:val="0059464A"/>
    <w:rsid w:val="0059531C"/>
    <w:rsid w:val="005958FE"/>
    <w:rsid w:val="00596FF6"/>
    <w:rsid w:val="00597919"/>
    <w:rsid w:val="005A0A78"/>
    <w:rsid w:val="005A0F3E"/>
    <w:rsid w:val="005A12AD"/>
    <w:rsid w:val="005A2B95"/>
    <w:rsid w:val="005A36D8"/>
    <w:rsid w:val="005B0B96"/>
    <w:rsid w:val="005B17CF"/>
    <w:rsid w:val="005B33E2"/>
    <w:rsid w:val="005B35F4"/>
    <w:rsid w:val="005B4079"/>
    <w:rsid w:val="005B436F"/>
    <w:rsid w:val="005B4EF1"/>
    <w:rsid w:val="005B55DA"/>
    <w:rsid w:val="005B5ADA"/>
    <w:rsid w:val="005B5C72"/>
    <w:rsid w:val="005B62A1"/>
    <w:rsid w:val="005B7F90"/>
    <w:rsid w:val="005C0298"/>
    <w:rsid w:val="005C15C1"/>
    <w:rsid w:val="005C2E46"/>
    <w:rsid w:val="005C39C1"/>
    <w:rsid w:val="005C4173"/>
    <w:rsid w:val="005C47D6"/>
    <w:rsid w:val="005C4D98"/>
    <w:rsid w:val="005C5883"/>
    <w:rsid w:val="005C59E3"/>
    <w:rsid w:val="005C5C5D"/>
    <w:rsid w:val="005C7E16"/>
    <w:rsid w:val="005D0A1F"/>
    <w:rsid w:val="005D0BB2"/>
    <w:rsid w:val="005D3CC7"/>
    <w:rsid w:val="005D4D59"/>
    <w:rsid w:val="005D6053"/>
    <w:rsid w:val="005D6A9E"/>
    <w:rsid w:val="005D724F"/>
    <w:rsid w:val="005E04EF"/>
    <w:rsid w:val="005E0E4D"/>
    <w:rsid w:val="005E19AC"/>
    <w:rsid w:val="005E2BFE"/>
    <w:rsid w:val="005E31CB"/>
    <w:rsid w:val="005E368F"/>
    <w:rsid w:val="005E571B"/>
    <w:rsid w:val="005E5E21"/>
    <w:rsid w:val="005E6969"/>
    <w:rsid w:val="005E6E70"/>
    <w:rsid w:val="005F000B"/>
    <w:rsid w:val="005F04BB"/>
    <w:rsid w:val="005F171E"/>
    <w:rsid w:val="005F2405"/>
    <w:rsid w:val="005F303E"/>
    <w:rsid w:val="005F315D"/>
    <w:rsid w:val="005F5B11"/>
    <w:rsid w:val="0060049F"/>
    <w:rsid w:val="006007BA"/>
    <w:rsid w:val="00600AE6"/>
    <w:rsid w:val="00600EAC"/>
    <w:rsid w:val="0060102C"/>
    <w:rsid w:val="00602ADB"/>
    <w:rsid w:val="0060409B"/>
    <w:rsid w:val="006052D7"/>
    <w:rsid w:val="00605A3D"/>
    <w:rsid w:val="00607BAF"/>
    <w:rsid w:val="00607ECB"/>
    <w:rsid w:val="0061012F"/>
    <w:rsid w:val="00610F07"/>
    <w:rsid w:val="006118CB"/>
    <w:rsid w:val="00611C39"/>
    <w:rsid w:val="0061237A"/>
    <w:rsid w:val="0061359C"/>
    <w:rsid w:val="006135BD"/>
    <w:rsid w:val="00613727"/>
    <w:rsid w:val="00613A26"/>
    <w:rsid w:val="00614476"/>
    <w:rsid w:val="006146F7"/>
    <w:rsid w:val="00614C33"/>
    <w:rsid w:val="00615240"/>
    <w:rsid w:val="00616778"/>
    <w:rsid w:val="00617DCB"/>
    <w:rsid w:val="006200AD"/>
    <w:rsid w:val="006206A3"/>
    <w:rsid w:val="00620E15"/>
    <w:rsid w:val="00621B44"/>
    <w:rsid w:val="00622A82"/>
    <w:rsid w:val="00623742"/>
    <w:rsid w:val="006237A3"/>
    <w:rsid w:val="00623CBC"/>
    <w:rsid w:val="0062426E"/>
    <w:rsid w:val="0062625E"/>
    <w:rsid w:val="006265DD"/>
    <w:rsid w:val="00627E03"/>
    <w:rsid w:val="0063066E"/>
    <w:rsid w:val="00630DFF"/>
    <w:rsid w:val="00631EAC"/>
    <w:rsid w:val="006337E1"/>
    <w:rsid w:val="00635172"/>
    <w:rsid w:val="006354F4"/>
    <w:rsid w:val="00635D9D"/>
    <w:rsid w:val="00640487"/>
    <w:rsid w:val="00640A33"/>
    <w:rsid w:val="00641084"/>
    <w:rsid w:val="006418B2"/>
    <w:rsid w:val="00642444"/>
    <w:rsid w:val="00644B04"/>
    <w:rsid w:val="00646B62"/>
    <w:rsid w:val="00646B9E"/>
    <w:rsid w:val="006506E6"/>
    <w:rsid w:val="0065076F"/>
    <w:rsid w:val="006511E7"/>
    <w:rsid w:val="00651275"/>
    <w:rsid w:val="00652584"/>
    <w:rsid w:val="006562CB"/>
    <w:rsid w:val="006563D0"/>
    <w:rsid w:val="00656FBC"/>
    <w:rsid w:val="006608EA"/>
    <w:rsid w:val="00660FD9"/>
    <w:rsid w:val="00662665"/>
    <w:rsid w:val="00662702"/>
    <w:rsid w:val="00662E0D"/>
    <w:rsid w:val="0066448F"/>
    <w:rsid w:val="00666E22"/>
    <w:rsid w:val="0066734D"/>
    <w:rsid w:val="0066783C"/>
    <w:rsid w:val="00670B19"/>
    <w:rsid w:val="006743F6"/>
    <w:rsid w:val="00674B0C"/>
    <w:rsid w:val="00676605"/>
    <w:rsid w:val="00677B4B"/>
    <w:rsid w:val="006802AA"/>
    <w:rsid w:val="00680332"/>
    <w:rsid w:val="00680C8C"/>
    <w:rsid w:val="00681681"/>
    <w:rsid w:val="006836E1"/>
    <w:rsid w:val="006847C3"/>
    <w:rsid w:val="00684DA0"/>
    <w:rsid w:val="00685BB5"/>
    <w:rsid w:val="006926F8"/>
    <w:rsid w:val="00692BFA"/>
    <w:rsid w:val="00694837"/>
    <w:rsid w:val="00694991"/>
    <w:rsid w:val="00694CF8"/>
    <w:rsid w:val="0069581B"/>
    <w:rsid w:val="006959E3"/>
    <w:rsid w:val="00695D7D"/>
    <w:rsid w:val="00697295"/>
    <w:rsid w:val="006973BD"/>
    <w:rsid w:val="00697A92"/>
    <w:rsid w:val="006A0AD8"/>
    <w:rsid w:val="006A17A6"/>
    <w:rsid w:val="006A2CEA"/>
    <w:rsid w:val="006A42CE"/>
    <w:rsid w:val="006A470A"/>
    <w:rsid w:val="006A589B"/>
    <w:rsid w:val="006A66AE"/>
    <w:rsid w:val="006A6722"/>
    <w:rsid w:val="006A682A"/>
    <w:rsid w:val="006A7F7C"/>
    <w:rsid w:val="006B0F9D"/>
    <w:rsid w:val="006B1017"/>
    <w:rsid w:val="006B11F4"/>
    <w:rsid w:val="006B19BB"/>
    <w:rsid w:val="006B3E23"/>
    <w:rsid w:val="006B549A"/>
    <w:rsid w:val="006B55EC"/>
    <w:rsid w:val="006B5C43"/>
    <w:rsid w:val="006B7923"/>
    <w:rsid w:val="006C0808"/>
    <w:rsid w:val="006C3C9F"/>
    <w:rsid w:val="006C4C62"/>
    <w:rsid w:val="006C4C92"/>
    <w:rsid w:val="006C55E3"/>
    <w:rsid w:val="006D0976"/>
    <w:rsid w:val="006D0D6F"/>
    <w:rsid w:val="006D2333"/>
    <w:rsid w:val="006D25E8"/>
    <w:rsid w:val="006D26FF"/>
    <w:rsid w:val="006D4FC4"/>
    <w:rsid w:val="006D6384"/>
    <w:rsid w:val="006E0AF7"/>
    <w:rsid w:val="006E1C79"/>
    <w:rsid w:val="006E2137"/>
    <w:rsid w:val="006E2C72"/>
    <w:rsid w:val="006E3F78"/>
    <w:rsid w:val="006E6168"/>
    <w:rsid w:val="006E6447"/>
    <w:rsid w:val="006E754F"/>
    <w:rsid w:val="006E7C38"/>
    <w:rsid w:val="006F2B2D"/>
    <w:rsid w:val="006F766A"/>
    <w:rsid w:val="007000D2"/>
    <w:rsid w:val="007013CA"/>
    <w:rsid w:val="00701A19"/>
    <w:rsid w:val="0070201E"/>
    <w:rsid w:val="00702AB5"/>
    <w:rsid w:val="0070320D"/>
    <w:rsid w:val="00703B72"/>
    <w:rsid w:val="00703F05"/>
    <w:rsid w:val="00704838"/>
    <w:rsid w:val="00704963"/>
    <w:rsid w:val="00705BF2"/>
    <w:rsid w:val="00705EE6"/>
    <w:rsid w:val="00710706"/>
    <w:rsid w:val="00710CFA"/>
    <w:rsid w:val="00710F7B"/>
    <w:rsid w:val="00711636"/>
    <w:rsid w:val="007126ED"/>
    <w:rsid w:val="007137BE"/>
    <w:rsid w:val="00713FC7"/>
    <w:rsid w:val="00714A74"/>
    <w:rsid w:val="00714E0B"/>
    <w:rsid w:val="007163F4"/>
    <w:rsid w:val="00717412"/>
    <w:rsid w:val="00721139"/>
    <w:rsid w:val="0072157E"/>
    <w:rsid w:val="00721FAD"/>
    <w:rsid w:val="0072240D"/>
    <w:rsid w:val="0072291B"/>
    <w:rsid w:val="007240E1"/>
    <w:rsid w:val="00726B47"/>
    <w:rsid w:val="0072799F"/>
    <w:rsid w:val="00727B17"/>
    <w:rsid w:val="00727F74"/>
    <w:rsid w:val="0073036E"/>
    <w:rsid w:val="00730AED"/>
    <w:rsid w:val="00732E1F"/>
    <w:rsid w:val="00733521"/>
    <w:rsid w:val="007358CB"/>
    <w:rsid w:val="00740BE9"/>
    <w:rsid w:val="00741136"/>
    <w:rsid w:val="00741C89"/>
    <w:rsid w:val="00742B27"/>
    <w:rsid w:val="00744AE3"/>
    <w:rsid w:val="007458DB"/>
    <w:rsid w:val="00746558"/>
    <w:rsid w:val="00747B0E"/>
    <w:rsid w:val="00747D07"/>
    <w:rsid w:val="007500C0"/>
    <w:rsid w:val="00750416"/>
    <w:rsid w:val="0075047A"/>
    <w:rsid w:val="007504D9"/>
    <w:rsid w:val="0075077A"/>
    <w:rsid w:val="00750862"/>
    <w:rsid w:val="0075200D"/>
    <w:rsid w:val="007520C8"/>
    <w:rsid w:val="007529F3"/>
    <w:rsid w:val="00752CF0"/>
    <w:rsid w:val="00752ED6"/>
    <w:rsid w:val="00754A4C"/>
    <w:rsid w:val="0075563A"/>
    <w:rsid w:val="0075584D"/>
    <w:rsid w:val="007571F6"/>
    <w:rsid w:val="00760391"/>
    <w:rsid w:val="00760F5C"/>
    <w:rsid w:val="00761AEE"/>
    <w:rsid w:val="0076210B"/>
    <w:rsid w:val="007625C4"/>
    <w:rsid w:val="0076366E"/>
    <w:rsid w:val="00765608"/>
    <w:rsid w:val="0076567E"/>
    <w:rsid w:val="00765DDC"/>
    <w:rsid w:val="0076641D"/>
    <w:rsid w:val="00770D01"/>
    <w:rsid w:val="00771518"/>
    <w:rsid w:val="0077161A"/>
    <w:rsid w:val="00771F38"/>
    <w:rsid w:val="0077234A"/>
    <w:rsid w:val="007735EE"/>
    <w:rsid w:val="00773C20"/>
    <w:rsid w:val="007741AD"/>
    <w:rsid w:val="00774CC3"/>
    <w:rsid w:val="00776A22"/>
    <w:rsid w:val="00777550"/>
    <w:rsid w:val="007800AB"/>
    <w:rsid w:val="00780FA2"/>
    <w:rsid w:val="00781785"/>
    <w:rsid w:val="00781854"/>
    <w:rsid w:val="00782058"/>
    <w:rsid w:val="00784545"/>
    <w:rsid w:val="00784F04"/>
    <w:rsid w:val="00785667"/>
    <w:rsid w:val="00786479"/>
    <w:rsid w:val="00786E78"/>
    <w:rsid w:val="007879EE"/>
    <w:rsid w:val="00787F96"/>
    <w:rsid w:val="00790A19"/>
    <w:rsid w:val="00790B2F"/>
    <w:rsid w:val="00791D52"/>
    <w:rsid w:val="007920DE"/>
    <w:rsid w:val="00792602"/>
    <w:rsid w:val="00792650"/>
    <w:rsid w:val="00794622"/>
    <w:rsid w:val="00796737"/>
    <w:rsid w:val="00796C64"/>
    <w:rsid w:val="0079707B"/>
    <w:rsid w:val="007A0617"/>
    <w:rsid w:val="007A1B3E"/>
    <w:rsid w:val="007A3D4F"/>
    <w:rsid w:val="007A4C9A"/>
    <w:rsid w:val="007A6708"/>
    <w:rsid w:val="007B048E"/>
    <w:rsid w:val="007B4EB6"/>
    <w:rsid w:val="007B6A2B"/>
    <w:rsid w:val="007B6D42"/>
    <w:rsid w:val="007B7B76"/>
    <w:rsid w:val="007C294B"/>
    <w:rsid w:val="007C3001"/>
    <w:rsid w:val="007C38DB"/>
    <w:rsid w:val="007C4DC9"/>
    <w:rsid w:val="007C5EAB"/>
    <w:rsid w:val="007C66C7"/>
    <w:rsid w:val="007C6BE6"/>
    <w:rsid w:val="007C7A0A"/>
    <w:rsid w:val="007D0951"/>
    <w:rsid w:val="007D17DA"/>
    <w:rsid w:val="007D211F"/>
    <w:rsid w:val="007D3309"/>
    <w:rsid w:val="007D42CF"/>
    <w:rsid w:val="007D4C2F"/>
    <w:rsid w:val="007D5163"/>
    <w:rsid w:val="007E0A83"/>
    <w:rsid w:val="007E18CA"/>
    <w:rsid w:val="007E2789"/>
    <w:rsid w:val="007E3952"/>
    <w:rsid w:val="007E4327"/>
    <w:rsid w:val="007E4D35"/>
    <w:rsid w:val="007E5B35"/>
    <w:rsid w:val="007E7ABB"/>
    <w:rsid w:val="007F0BCE"/>
    <w:rsid w:val="007F1A68"/>
    <w:rsid w:val="007F1D74"/>
    <w:rsid w:val="007F22F3"/>
    <w:rsid w:val="007F2750"/>
    <w:rsid w:val="007F3451"/>
    <w:rsid w:val="007F3A1C"/>
    <w:rsid w:val="007F5F40"/>
    <w:rsid w:val="007F7A8C"/>
    <w:rsid w:val="00800AF8"/>
    <w:rsid w:val="0080112C"/>
    <w:rsid w:val="00802B09"/>
    <w:rsid w:val="008039F6"/>
    <w:rsid w:val="008045FC"/>
    <w:rsid w:val="00805665"/>
    <w:rsid w:val="008060E3"/>
    <w:rsid w:val="008070D4"/>
    <w:rsid w:val="008075AA"/>
    <w:rsid w:val="00810F16"/>
    <w:rsid w:val="008114F6"/>
    <w:rsid w:val="00811793"/>
    <w:rsid w:val="00812D60"/>
    <w:rsid w:val="00813ADB"/>
    <w:rsid w:val="00814B69"/>
    <w:rsid w:val="00815F35"/>
    <w:rsid w:val="00816A92"/>
    <w:rsid w:val="00817068"/>
    <w:rsid w:val="00817937"/>
    <w:rsid w:val="008207F9"/>
    <w:rsid w:val="00820D18"/>
    <w:rsid w:val="00821A5A"/>
    <w:rsid w:val="008229DD"/>
    <w:rsid w:val="00822BD5"/>
    <w:rsid w:val="00822CF4"/>
    <w:rsid w:val="00824788"/>
    <w:rsid w:val="008274EE"/>
    <w:rsid w:val="00830B26"/>
    <w:rsid w:val="008342E7"/>
    <w:rsid w:val="008352C9"/>
    <w:rsid w:val="00836C9E"/>
    <w:rsid w:val="008405F6"/>
    <w:rsid w:val="0084060E"/>
    <w:rsid w:val="0084168F"/>
    <w:rsid w:val="00843713"/>
    <w:rsid w:val="0084516B"/>
    <w:rsid w:val="00846F9D"/>
    <w:rsid w:val="00847948"/>
    <w:rsid w:val="0085057F"/>
    <w:rsid w:val="00851FAB"/>
    <w:rsid w:val="00852862"/>
    <w:rsid w:val="00853B0D"/>
    <w:rsid w:val="00854D02"/>
    <w:rsid w:val="00860725"/>
    <w:rsid w:val="0086109A"/>
    <w:rsid w:val="0086160C"/>
    <w:rsid w:val="00861B8F"/>
    <w:rsid w:val="00863BD7"/>
    <w:rsid w:val="0086401E"/>
    <w:rsid w:val="00864071"/>
    <w:rsid w:val="008656C6"/>
    <w:rsid w:val="00867E2A"/>
    <w:rsid w:val="00870366"/>
    <w:rsid w:val="0087175D"/>
    <w:rsid w:val="00871AD3"/>
    <w:rsid w:val="00872BFF"/>
    <w:rsid w:val="0087609A"/>
    <w:rsid w:val="00876D10"/>
    <w:rsid w:val="00880B62"/>
    <w:rsid w:val="00880E36"/>
    <w:rsid w:val="00882C99"/>
    <w:rsid w:val="00883A9D"/>
    <w:rsid w:val="0088432D"/>
    <w:rsid w:val="008867DA"/>
    <w:rsid w:val="0088692D"/>
    <w:rsid w:val="008869AB"/>
    <w:rsid w:val="00887260"/>
    <w:rsid w:val="00887E28"/>
    <w:rsid w:val="008928EA"/>
    <w:rsid w:val="00892B60"/>
    <w:rsid w:val="00892D17"/>
    <w:rsid w:val="00893DE3"/>
    <w:rsid w:val="00894004"/>
    <w:rsid w:val="0089470E"/>
    <w:rsid w:val="00894A4F"/>
    <w:rsid w:val="00894B92"/>
    <w:rsid w:val="008953D6"/>
    <w:rsid w:val="008954D6"/>
    <w:rsid w:val="0089575C"/>
    <w:rsid w:val="00896F63"/>
    <w:rsid w:val="00897A66"/>
    <w:rsid w:val="00897B15"/>
    <w:rsid w:val="008A2185"/>
    <w:rsid w:val="008A3745"/>
    <w:rsid w:val="008A45A6"/>
    <w:rsid w:val="008A48DA"/>
    <w:rsid w:val="008A49FB"/>
    <w:rsid w:val="008A4EEA"/>
    <w:rsid w:val="008A5D2F"/>
    <w:rsid w:val="008A6C3F"/>
    <w:rsid w:val="008A711F"/>
    <w:rsid w:val="008A7565"/>
    <w:rsid w:val="008B019A"/>
    <w:rsid w:val="008B0B0B"/>
    <w:rsid w:val="008B13BE"/>
    <w:rsid w:val="008B230E"/>
    <w:rsid w:val="008B27BD"/>
    <w:rsid w:val="008B3AC1"/>
    <w:rsid w:val="008B56C6"/>
    <w:rsid w:val="008B63EC"/>
    <w:rsid w:val="008B6707"/>
    <w:rsid w:val="008B75CE"/>
    <w:rsid w:val="008C0259"/>
    <w:rsid w:val="008C0351"/>
    <w:rsid w:val="008C05EE"/>
    <w:rsid w:val="008C15B8"/>
    <w:rsid w:val="008C3278"/>
    <w:rsid w:val="008C4409"/>
    <w:rsid w:val="008C49F3"/>
    <w:rsid w:val="008C4AF6"/>
    <w:rsid w:val="008C54CC"/>
    <w:rsid w:val="008C6379"/>
    <w:rsid w:val="008C6E54"/>
    <w:rsid w:val="008D1BDD"/>
    <w:rsid w:val="008D2873"/>
    <w:rsid w:val="008D2FD0"/>
    <w:rsid w:val="008D3D83"/>
    <w:rsid w:val="008D534B"/>
    <w:rsid w:val="008D5BBD"/>
    <w:rsid w:val="008D603B"/>
    <w:rsid w:val="008D6056"/>
    <w:rsid w:val="008E09B3"/>
    <w:rsid w:val="008E1AC1"/>
    <w:rsid w:val="008E1EEA"/>
    <w:rsid w:val="008E37B7"/>
    <w:rsid w:val="008E3AC8"/>
    <w:rsid w:val="008E42BF"/>
    <w:rsid w:val="008E47B6"/>
    <w:rsid w:val="008E660E"/>
    <w:rsid w:val="008E6A92"/>
    <w:rsid w:val="008E75CF"/>
    <w:rsid w:val="008F0173"/>
    <w:rsid w:val="008F02C8"/>
    <w:rsid w:val="008F0FF0"/>
    <w:rsid w:val="008F17A4"/>
    <w:rsid w:val="008F31C2"/>
    <w:rsid w:val="008F3A56"/>
    <w:rsid w:val="008F4590"/>
    <w:rsid w:val="008F48A7"/>
    <w:rsid w:val="008F4C1D"/>
    <w:rsid w:val="008F588C"/>
    <w:rsid w:val="008F5F6F"/>
    <w:rsid w:val="008F7175"/>
    <w:rsid w:val="00900378"/>
    <w:rsid w:val="00900F20"/>
    <w:rsid w:val="009037A2"/>
    <w:rsid w:val="00903C8D"/>
    <w:rsid w:val="0090742C"/>
    <w:rsid w:val="00912C17"/>
    <w:rsid w:val="00912F18"/>
    <w:rsid w:val="009137F0"/>
    <w:rsid w:val="009146E1"/>
    <w:rsid w:val="00914DDA"/>
    <w:rsid w:val="00914F53"/>
    <w:rsid w:val="009151AD"/>
    <w:rsid w:val="00915DC2"/>
    <w:rsid w:val="00916063"/>
    <w:rsid w:val="009165A3"/>
    <w:rsid w:val="009167AB"/>
    <w:rsid w:val="009175D2"/>
    <w:rsid w:val="00920B79"/>
    <w:rsid w:val="009232DC"/>
    <w:rsid w:val="0092378D"/>
    <w:rsid w:val="00924784"/>
    <w:rsid w:val="009249F4"/>
    <w:rsid w:val="00925D2A"/>
    <w:rsid w:val="00926054"/>
    <w:rsid w:val="0092628B"/>
    <w:rsid w:val="00926A96"/>
    <w:rsid w:val="00926AB7"/>
    <w:rsid w:val="0092794F"/>
    <w:rsid w:val="00931AC9"/>
    <w:rsid w:val="00931DF8"/>
    <w:rsid w:val="00931F14"/>
    <w:rsid w:val="00933C3D"/>
    <w:rsid w:val="00933EA3"/>
    <w:rsid w:val="0093573A"/>
    <w:rsid w:val="00935760"/>
    <w:rsid w:val="0093634A"/>
    <w:rsid w:val="00936A4B"/>
    <w:rsid w:val="00937BF2"/>
    <w:rsid w:val="00940849"/>
    <w:rsid w:val="00941A8B"/>
    <w:rsid w:val="00941A92"/>
    <w:rsid w:val="00941EF7"/>
    <w:rsid w:val="00941FFC"/>
    <w:rsid w:val="00943434"/>
    <w:rsid w:val="00943BDE"/>
    <w:rsid w:val="009444AE"/>
    <w:rsid w:val="00945082"/>
    <w:rsid w:val="009451B4"/>
    <w:rsid w:val="00945F38"/>
    <w:rsid w:val="00945F41"/>
    <w:rsid w:val="00946665"/>
    <w:rsid w:val="00946DAB"/>
    <w:rsid w:val="00947662"/>
    <w:rsid w:val="009501AE"/>
    <w:rsid w:val="00950614"/>
    <w:rsid w:val="00951CA4"/>
    <w:rsid w:val="00952272"/>
    <w:rsid w:val="00952E4D"/>
    <w:rsid w:val="00953DA1"/>
    <w:rsid w:val="009543E0"/>
    <w:rsid w:val="0095447C"/>
    <w:rsid w:val="00955C7B"/>
    <w:rsid w:val="00956A2B"/>
    <w:rsid w:val="00956E13"/>
    <w:rsid w:val="00957EFF"/>
    <w:rsid w:val="0096226E"/>
    <w:rsid w:val="009639A9"/>
    <w:rsid w:val="00965453"/>
    <w:rsid w:val="00965783"/>
    <w:rsid w:val="009678F9"/>
    <w:rsid w:val="00970149"/>
    <w:rsid w:val="00971265"/>
    <w:rsid w:val="009739F1"/>
    <w:rsid w:val="00973A76"/>
    <w:rsid w:val="00973F5F"/>
    <w:rsid w:val="0097412A"/>
    <w:rsid w:val="00974340"/>
    <w:rsid w:val="00974C90"/>
    <w:rsid w:val="00977125"/>
    <w:rsid w:val="009771CD"/>
    <w:rsid w:val="00981226"/>
    <w:rsid w:val="00981886"/>
    <w:rsid w:val="009833C8"/>
    <w:rsid w:val="009842B0"/>
    <w:rsid w:val="009859ED"/>
    <w:rsid w:val="00986426"/>
    <w:rsid w:val="009866FB"/>
    <w:rsid w:val="009900B8"/>
    <w:rsid w:val="009913D4"/>
    <w:rsid w:val="00991F51"/>
    <w:rsid w:val="009928F4"/>
    <w:rsid w:val="00992CF4"/>
    <w:rsid w:val="00992E60"/>
    <w:rsid w:val="009932E2"/>
    <w:rsid w:val="00993BE6"/>
    <w:rsid w:val="00993CFA"/>
    <w:rsid w:val="009A121F"/>
    <w:rsid w:val="009A251E"/>
    <w:rsid w:val="009A27EC"/>
    <w:rsid w:val="009A2960"/>
    <w:rsid w:val="009A2D3F"/>
    <w:rsid w:val="009A4786"/>
    <w:rsid w:val="009A481F"/>
    <w:rsid w:val="009A4D2D"/>
    <w:rsid w:val="009A504F"/>
    <w:rsid w:val="009A56B5"/>
    <w:rsid w:val="009A648A"/>
    <w:rsid w:val="009B0622"/>
    <w:rsid w:val="009B1813"/>
    <w:rsid w:val="009B19E7"/>
    <w:rsid w:val="009B242B"/>
    <w:rsid w:val="009B4CD8"/>
    <w:rsid w:val="009B53F8"/>
    <w:rsid w:val="009B5AC6"/>
    <w:rsid w:val="009B5D2F"/>
    <w:rsid w:val="009B6DCB"/>
    <w:rsid w:val="009B6EA3"/>
    <w:rsid w:val="009B70AC"/>
    <w:rsid w:val="009C1510"/>
    <w:rsid w:val="009C19D1"/>
    <w:rsid w:val="009C2631"/>
    <w:rsid w:val="009C4836"/>
    <w:rsid w:val="009C4AA8"/>
    <w:rsid w:val="009C61DF"/>
    <w:rsid w:val="009C73B1"/>
    <w:rsid w:val="009C7A6D"/>
    <w:rsid w:val="009D0DDE"/>
    <w:rsid w:val="009D12BB"/>
    <w:rsid w:val="009D3164"/>
    <w:rsid w:val="009D3BED"/>
    <w:rsid w:val="009D4EA6"/>
    <w:rsid w:val="009D5FAD"/>
    <w:rsid w:val="009D6EA9"/>
    <w:rsid w:val="009D6FE8"/>
    <w:rsid w:val="009D730B"/>
    <w:rsid w:val="009D7945"/>
    <w:rsid w:val="009E0C19"/>
    <w:rsid w:val="009E131C"/>
    <w:rsid w:val="009E13EA"/>
    <w:rsid w:val="009E1802"/>
    <w:rsid w:val="009E19FD"/>
    <w:rsid w:val="009E289A"/>
    <w:rsid w:val="009E2B78"/>
    <w:rsid w:val="009E33D9"/>
    <w:rsid w:val="009E35B4"/>
    <w:rsid w:val="009E547E"/>
    <w:rsid w:val="009F03C2"/>
    <w:rsid w:val="009F0C6E"/>
    <w:rsid w:val="009F13AA"/>
    <w:rsid w:val="009F2D45"/>
    <w:rsid w:val="009F3E37"/>
    <w:rsid w:val="009F3F2A"/>
    <w:rsid w:val="009F4FC7"/>
    <w:rsid w:val="009F504F"/>
    <w:rsid w:val="009F5414"/>
    <w:rsid w:val="009F635D"/>
    <w:rsid w:val="009F67D1"/>
    <w:rsid w:val="009F74BE"/>
    <w:rsid w:val="009F78C5"/>
    <w:rsid w:val="00A005DE"/>
    <w:rsid w:val="00A01838"/>
    <w:rsid w:val="00A019BF"/>
    <w:rsid w:val="00A01B52"/>
    <w:rsid w:val="00A01C76"/>
    <w:rsid w:val="00A03A09"/>
    <w:rsid w:val="00A03DC9"/>
    <w:rsid w:val="00A0444D"/>
    <w:rsid w:val="00A05670"/>
    <w:rsid w:val="00A05A28"/>
    <w:rsid w:val="00A062D4"/>
    <w:rsid w:val="00A07D7F"/>
    <w:rsid w:val="00A07F02"/>
    <w:rsid w:val="00A1213D"/>
    <w:rsid w:val="00A1251A"/>
    <w:rsid w:val="00A13AAA"/>
    <w:rsid w:val="00A13CF2"/>
    <w:rsid w:val="00A14358"/>
    <w:rsid w:val="00A14617"/>
    <w:rsid w:val="00A14EC6"/>
    <w:rsid w:val="00A16CAA"/>
    <w:rsid w:val="00A2038D"/>
    <w:rsid w:val="00A205B5"/>
    <w:rsid w:val="00A2372D"/>
    <w:rsid w:val="00A24DC1"/>
    <w:rsid w:val="00A25105"/>
    <w:rsid w:val="00A2561A"/>
    <w:rsid w:val="00A26793"/>
    <w:rsid w:val="00A3064E"/>
    <w:rsid w:val="00A30B66"/>
    <w:rsid w:val="00A32368"/>
    <w:rsid w:val="00A333CA"/>
    <w:rsid w:val="00A34D5A"/>
    <w:rsid w:val="00A35C76"/>
    <w:rsid w:val="00A363BC"/>
    <w:rsid w:val="00A3682A"/>
    <w:rsid w:val="00A37F64"/>
    <w:rsid w:val="00A41C6C"/>
    <w:rsid w:val="00A41CF6"/>
    <w:rsid w:val="00A452C1"/>
    <w:rsid w:val="00A45EA2"/>
    <w:rsid w:val="00A45FC6"/>
    <w:rsid w:val="00A4675C"/>
    <w:rsid w:val="00A467AB"/>
    <w:rsid w:val="00A46B8B"/>
    <w:rsid w:val="00A51174"/>
    <w:rsid w:val="00A5125B"/>
    <w:rsid w:val="00A54F85"/>
    <w:rsid w:val="00A55362"/>
    <w:rsid w:val="00A56BA3"/>
    <w:rsid w:val="00A5718D"/>
    <w:rsid w:val="00A5759D"/>
    <w:rsid w:val="00A57E4F"/>
    <w:rsid w:val="00A61942"/>
    <w:rsid w:val="00A6446C"/>
    <w:rsid w:val="00A651F0"/>
    <w:rsid w:val="00A67FD8"/>
    <w:rsid w:val="00A70280"/>
    <w:rsid w:val="00A704A9"/>
    <w:rsid w:val="00A70E1F"/>
    <w:rsid w:val="00A71286"/>
    <w:rsid w:val="00A71353"/>
    <w:rsid w:val="00A71A04"/>
    <w:rsid w:val="00A727B4"/>
    <w:rsid w:val="00A72B6A"/>
    <w:rsid w:val="00A72FE3"/>
    <w:rsid w:val="00A72FF7"/>
    <w:rsid w:val="00A7324D"/>
    <w:rsid w:val="00A7332A"/>
    <w:rsid w:val="00A744A3"/>
    <w:rsid w:val="00A75B4B"/>
    <w:rsid w:val="00A75E6F"/>
    <w:rsid w:val="00A77DFF"/>
    <w:rsid w:val="00A77EC9"/>
    <w:rsid w:val="00A80C10"/>
    <w:rsid w:val="00A82787"/>
    <w:rsid w:val="00A82D7F"/>
    <w:rsid w:val="00A82E37"/>
    <w:rsid w:val="00A83D73"/>
    <w:rsid w:val="00A84749"/>
    <w:rsid w:val="00A86BBC"/>
    <w:rsid w:val="00A870AC"/>
    <w:rsid w:val="00A8744C"/>
    <w:rsid w:val="00A87648"/>
    <w:rsid w:val="00A87CCE"/>
    <w:rsid w:val="00A90194"/>
    <w:rsid w:val="00A90BBD"/>
    <w:rsid w:val="00A91166"/>
    <w:rsid w:val="00A91A00"/>
    <w:rsid w:val="00A91C5F"/>
    <w:rsid w:val="00A9213A"/>
    <w:rsid w:val="00A92E1B"/>
    <w:rsid w:val="00A942A9"/>
    <w:rsid w:val="00A944AD"/>
    <w:rsid w:val="00A94A46"/>
    <w:rsid w:val="00A94B0C"/>
    <w:rsid w:val="00A9560C"/>
    <w:rsid w:val="00A95848"/>
    <w:rsid w:val="00A97638"/>
    <w:rsid w:val="00AA08C3"/>
    <w:rsid w:val="00AA1C94"/>
    <w:rsid w:val="00AA1D6A"/>
    <w:rsid w:val="00AA338E"/>
    <w:rsid w:val="00AA3CC7"/>
    <w:rsid w:val="00AA4EED"/>
    <w:rsid w:val="00AA54BC"/>
    <w:rsid w:val="00AA5EA9"/>
    <w:rsid w:val="00AA68D7"/>
    <w:rsid w:val="00AA7A33"/>
    <w:rsid w:val="00AB1D84"/>
    <w:rsid w:val="00AB2048"/>
    <w:rsid w:val="00AB28AA"/>
    <w:rsid w:val="00AB2A21"/>
    <w:rsid w:val="00AB33CA"/>
    <w:rsid w:val="00AB35EC"/>
    <w:rsid w:val="00AB4413"/>
    <w:rsid w:val="00AC0076"/>
    <w:rsid w:val="00AC354C"/>
    <w:rsid w:val="00AC39AF"/>
    <w:rsid w:val="00AC4DC9"/>
    <w:rsid w:val="00AC60AB"/>
    <w:rsid w:val="00AC6331"/>
    <w:rsid w:val="00AC695C"/>
    <w:rsid w:val="00AD07C2"/>
    <w:rsid w:val="00AD09EB"/>
    <w:rsid w:val="00AD12A3"/>
    <w:rsid w:val="00AD17D6"/>
    <w:rsid w:val="00AD218D"/>
    <w:rsid w:val="00AD23B8"/>
    <w:rsid w:val="00AD4979"/>
    <w:rsid w:val="00AD5C75"/>
    <w:rsid w:val="00AE0EEF"/>
    <w:rsid w:val="00AE1FD1"/>
    <w:rsid w:val="00AE3554"/>
    <w:rsid w:val="00AE3D21"/>
    <w:rsid w:val="00AE489A"/>
    <w:rsid w:val="00AE5190"/>
    <w:rsid w:val="00AE7157"/>
    <w:rsid w:val="00AF083E"/>
    <w:rsid w:val="00AF0ABE"/>
    <w:rsid w:val="00AF2938"/>
    <w:rsid w:val="00AF2D75"/>
    <w:rsid w:val="00AF466D"/>
    <w:rsid w:val="00AF4715"/>
    <w:rsid w:val="00AF789A"/>
    <w:rsid w:val="00B00AA8"/>
    <w:rsid w:val="00B01D5F"/>
    <w:rsid w:val="00B022E4"/>
    <w:rsid w:val="00B02D69"/>
    <w:rsid w:val="00B04B8B"/>
    <w:rsid w:val="00B055DF"/>
    <w:rsid w:val="00B0656F"/>
    <w:rsid w:val="00B06A9F"/>
    <w:rsid w:val="00B07401"/>
    <w:rsid w:val="00B1306F"/>
    <w:rsid w:val="00B1336E"/>
    <w:rsid w:val="00B135EC"/>
    <w:rsid w:val="00B147D9"/>
    <w:rsid w:val="00B159B3"/>
    <w:rsid w:val="00B164F8"/>
    <w:rsid w:val="00B1711E"/>
    <w:rsid w:val="00B17F54"/>
    <w:rsid w:val="00B218C9"/>
    <w:rsid w:val="00B22044"/>
    <w:rsid w:val="00B2672B"/>
    <w:rsid w:val="00B268D9"/>
    <w:rsid w:val="00B272FC"/>
    <w:rsid w:val="00B273C0"/>
    <w:rsid w:val="00B27855"/>
    <w:rsid w:val="00B27925"/>
    <w:rsid w:val="00B300CA"/>
    <w:rsid w:val="00B30F0B"/>
    <w:rsid w:val="00B313CA"/>
    <w:rsid w:val="00B33AA1"/>
    <w:rsid w:val="00B33B33"/>
    <w:rsid w:val="00B34493"/>
    <w:rsid w:val="00B34C7D"/>
    <w:rsid w:val="00B34E03"/>
    <w:rsid w:val="00B3774C"/>
    <w:rsid w:val="00B42387"/>
    <w:rsid w:val="00B43729"/>
    <w:rsid w:val="00B44CC4"/>
    <w:rsid w:val="00B45EF4"/>
    <w:rsid w:val="00B46285"/>
    <w:rsid w:val="00B46FF9"/>
    <w:rsid w:val="00B50600"/>
    <w:rsid w:val="00B51367"/>
    <w:rsid w:val="00B5187A"/>
    <w:rsid w:val="00B51D46"/>
    <w:rsid w:val="00B5526F"/>
    <w:rsid w:val="00B56074"/>
    <w:rsid w:val="00B56241"/>
    <w:rsid w:val="00B56271"/>
    <w:rsid w:val="00B569E1"/>
    <w:rsid w:val="00B56F75"/>
    <w:rsid w:val="00B579D9"/>
    <w:rsid w:val="00B57E35"/>
    <w:rsid w:val="00B60940"/>
    <w:rsid w:val="00B61D91"/>
    <w:rsid w:val="00B62ACE"/>
    <w:rsid w:val="00B62CDD"/>
    <w:rsid w:val="00B62CDE"/>
    <w:rsid w:val="00B63BED"/>
    <w:rsid w:val="00B63CCF"/>
    <w:rsid w:val="00B65499"/>
    <w:rsid w:val="00B667EF"/>
    <w:rsid w:val="00B7204D"/>
    <w:rsid w:val="00B72AFE"/>
    <w:rsid w:val="00B72D73"/>
    <w:rsid w:val="00B744C9"/>
    <w:rsid w:val="00B75507"/>
    <w:rsid w:val="00B75C9D"/>
    <w:rsid w:val="00B809A1"/>
    <w:rsid w:val="00B816BB"/>
    <w:rsid w:val="00B82116"/>
    <w:rsid w:val="00B8226C"/>
    <w:rsid w:val="00B82E54"/>
    <w:rsid w:val="00B82FFC"/>
    <w:rsid w:val="00B840DE"/>
    <w:rsid w:val="00B845BE"/>
    <w:rsid w:val="00B84675"/>
    <w:rsid w:val="00B848EC"/>
    <w:rsid w:val="00B863DD"/>
    <w:rsid w:val="00B8722E"/>
    <w:rsid w:val="00B876A7"/>
    <w:rsid w:val="00B91E48"/>
    <w:rsid w:val="00B93315"/>
    <w:rsid w:val="00B9403F"/>
    <w:rsid w:val="00B95CFF"/>
    <w:rsid w:val="00B96108"/>
    <w:rsid w:val="00B96CDF"/>
    <w:rsid w:val="00BA0781"/>
    <w:rsid w:val="00BA1518"/>
    <w:rsid w:val="00BA1D2A"/>
    <w:rsid w:val="00BA2B7C"/>
    <w:rsid w:val="00BA4ABD"/>
    <w:rsid w:val="00BA51A2"/>
    <w:rsid w:val="00BA5EFE"/>
    <w:rsid w:val="00BA6B19"/>
    <w:rsid w:val="00BA7D28"/>
    <w:rsid w:val="00BB0792"/>
    <w:rsid w:val="00BB1459"/>
    <w:rsid w:val="00BB5B19"/>
    <w:rsid w:val="00BB6049"/>
    <w:rsid w:val="00BB6E37"/>
    <w:rsid w:val="00BB72EB"/>
    <w:rsid w:val="00BB74F6"/>
    <w:rsid w:val="00BC1CE7"/>
    <w:rsid w:val="00BC26E0"/>
    <w:rsid w:val="00BC2729"/>
    <w:rsid w:val="00BC288A"/>
    <w:rsid w:val="00BC5008"/>
    <w:rsid w:val="00BC6848"/>
    <w:rsid w:val="00BC7905"/>
    <w:rsid w:val="00BC7C93"/>
    <w:rsid w:val="00BD1B8C"/>
    <w:rsid w:val="00BD2602"/>
    <w:rsid w:val="00BD2683"/>
    <w:rsid w:val="00BD27AE"/>
    <w:rsid w:val="00BD499E"/>
    <w:rsid w:val="00BD4AFA"/>
    <w:rsid w:val="00BD4C92"/>
    <w:rsid w:val="00BD5031"/>
    <w:rsid w:val="00BD5857"/>
    <w:rsid w:val="00BD67AC"/>
    <w:rsid w:val="00BE2D54"/>
    <w:rsid w:val="00BE2FC5"/>
    <w:rsid w:val="00BE2FF3"/>
    <w:rsid w:val="00BE337F"/>
    <w:rsid w:val="00BE47D7"/>
    <w:rsid w:val="00BE48EF"/>
    <w:rsid w:val="00BE5730"/>
    <w:rsid w:val="00BE5C64"/>
    <w:rsid w:val="00BE5CBA"/>
    <w:rsid w:val="00BE5ECC"/>
    <w:rsid w:val="00BE758E"/>
    <w:rsid w:val="00BE766D"/>
    <w:rsid w:val="00BE78AC"/>
    <w:rsid w:val="00BF0A40"/>
    <w:rsid w:val="00BF0D14"/>
    <w:rsid w:val="00BF470A"/>
    <w:rsid w:val="00BF545B"/>
    <w:rsid w:val="00BF55C9"/>
    <w:rsid w:val="00BF622B"/>
    <w:rsid w:val="00BF7714"/>
    <w:rsid w:val="00C00239"/>
    <w:rsid w:val="00C02370"/>
    <w:rsid w:val="00C025B6"/>
    <w:rsid w:val="00C0542D"/>
    <w:rsid w:val="00C06274"/>
    <w:rsid w:val="00C07B46"/>
    <w:rsid w:val="00C07FF0"/>
    <w:rsid w:val="00C1169A"/>
    <w:rsid w:val="00C11EC2"/>
    <w:rsid w:val="00C1207C"/>
    <w:rsid w:val="00C13322"/>
    <w:rsid w:val="00C13AE3"/>
    <w:rsid w:val="00C140BF"/>
    <w:rsid w:val="00C141EE"/>
    <w:rsid w:val="00C149BA"/>
    <w:rsid w:val="00C15490"/>
    <w:rsid w:val="00C16288"/>
    <w:rsid w:val="00C167B1"/>
    <w:rsid w:val="00C168A8"/>
    <w:rsid w:val="00C20524"/>
    <w:rsid w:val="00C205E2"/>
    <w:rsid w:val="00C21CE7"/>
    <w:rsid w:val="00C23700"/>
    <w:rsid w:val="00C240A9"/>
    <w:rsid w:val="00C243B4"/>
    <w:rsid w:val="00C2479F"/>
    <w:rsid w:val="00C24923"/>
    <w:rsid w:val="00C25156"/>
    <w:rsid w:val="00C25E15"/>
    <w:rsid w:val="00C272A8"/>
    <w:rsid w:val="00C2781F"/>
    <w:rsid w:val="00C301DF"/>
    <w:rsid w:val="00C30D9E"/>
    <w:rsid w:val="00C31057"/>
    <w:rsid w:val="00C325D8"/>
    <w:rsid w:val="00C34A22"/>
    <w:rsid w:val="00C34BDD"/>
    <w:rsid w:val="00C355D1"/>
    <w:rsid w:val="00C36ACE"/>
    <w:rsid w:val="00C36B34"/>
    <w:rsid w:val="00C378C7"/>
    <w:rsid w:val="00C37A1C"/>
    <w:rsid w:val="00C40765"/>
    <w:rsid w:val="00C40920"/>
    <w:rsid w:val="00C44D5A"/>
    <w:rsid w:val="00C46B10"/>
    <w:rsid w:val="00C4720F"/>
    <w:rsid w:val="00C474A4"/>
    <w:rsid w:val="00C50C60"/>
    <w:rsid w:val="00C5117E"/>
    <w:rsid w:val="00C52F74"/>
    <w:rsid w:val="00C53579"/>
    <w:rsid w:val="00C556D4"/>
    <w:rsid w:val="00C55757"/>
    <w:rsid w:val="00C55E62"/>
    <w:rsid w:val="00C55F0E"/>
    <w:rsid w:val="00C56F64"/>
    <w:rsid w:val="00C60EC6"/>
    <w:rsid w:val="00C614F3"/>
    <w:rsid w:val="00C61C12"/>
    <w:rsid w:val="00C6228A"/>
    <w:rsid w:val="00C657A9"/>
    <w:rsid w:val="00C667B0"/>
    <w:rsid w:val="00C70604"/>
    <w:rsid w:val="00C70AEF"/>
    <w:rsid w:val="00C71E0E"/>
    <w:rsid w:val="00C72C37"/>
    <w:rsid w:val="00C747E1"/>
    <w:rsid w:val="00C7481D"/>
    <w:rsid w:val="00C7525D"/>
    <w:rsid w:val="00C75A75"/>
    <w:rsid w:val="00C75E9D"/>
    <w:rsid w:val="00C77076"/>
    <w:rsid w:val="00C80120"/>
    <w:rsid w:val="00C82576"/>
    <w:rsid w:val="00C84718"/>
    <w:rsid w:val="00C86040"/>
    <w:rsid w:val="00C8786C"/>
    <w:rsid w:val="00C87B6A"/>
    <w:rsid w:val="00C90525"/>
    <w:rsid w:val="00C91530"/>
    <w:rsid w:val="00C9165C"/>
    <w:rsid w:val="00C919A8"/>
    <w:rsid w:val="00C91F7F"/>
    <w:rsid w:val="00C9320A"/>
    <w:rsid w:val="00C94153"/>
    <w:rsid w:val="00C94B35"/>
    <w:rsid w:val="00C9716A"/>
    <w:rsid w:val="00C97CA7"/>
    <w:rsid w:val="00CA081F"/>
    <w:rsid w:val="00CA3DBA"/>
    <w:rsid w:val="00CA41D1"/>
    <w:rsid w:val="00CA4214"/>
    <w:rsid w:val="00CB059F"/>
    <w:rsid w:val="00CB16E1"/>
    <w:rsid w:val="00CB18F9"/>
    <w:rsid w:val="00CB1E81"/>
    <w:rsid w:val="00CB2584"/>
    <w:rsid w:val="00CB449C"/>
    <w:rsid w:val="00CB548A"/>
    <w:rsid w:val="00CB5642"/>
    <w:rsid w:val="00CB5D5A"/>
    <w:rsid w:val="00CB7ADF"/>
    <w:rsid w:val="00CB7BCB"/>
    <w:rsid w:val="00CC1A1D"/>
    <w:rsid w:val="00CC1AB9"/>
    <w:rsid w:val="00CC1C5F"/>
    <w:rsid w:val="00CC203E"/>
    <w:rsid w:val="00CC2354"/>
    <w:rsid w:val="00CC3441"/>
    <w:rsid w:val="00CC45DE"/>
    <w:rsid w:val="00CC4D81"/>
    <w:rsid w:val="00CC578E"/>
    <w:rsid w:val="00CC5AB3"/>
    <w:rsid w:val="00CC6D69"/>
    <w:rsid w:val="00CC7563"/>
    <w:rsid w:val="00CC7B79"/>
    <w:rsid w:val="00CD107B"/>
    <w:rsid w:val="00CD163E"/>
    <w:rsid w:val="00CD4E82"/>
    <w:rsid w:val="00CD50C5"/>
    <w:rsid w:val="00CD52D7"/>
    <w:rsid w:val="00CD6E72"/>
    <w:rsid w:val="00CD7F02"/>
    <w:rsid w:val="00CE09DB"/>
    <w:rsid w:val="00CE1D57"/>
    <w:rsid w:val="00CE28D3"/>
    <w:rsid w:val="00CE2B95"/>
    <w:rsid w:val="00CE3502"/>
    <w:rsid w:val="00CE5A18"/>
    <w:rsid w:val="00CE5B08"/>
    <w:rsid w:val="00CE5D6A"/>
    <w:rsid w:val="00CE6798"/>
    <w:rsid w:val="00CE769A"/>
    <w:rsid w:val="00CF1A62"/>
    <w:rsid w:val="00CF1D94"/>
    <w:rsid w:val="00CF3E0E"/>
    <w:rsid w:val="00CF5208"/>
    <w:rsid w:val="00CF6DAD"/>
    <w:rsid w:val="00CF7D59"/>
    <w:rsid w:val="00D0276B"/>
    <w:rsid w:val="00D03AA3"/>
    <w:rsid w:val="00D0468A"/>
    <w:rsid w:val="00D04D41"/>
    <w:rsid w:val="00D06D04"/>
    <w:rsid w:val="00D108CF"/>
    <w:rsid w:val="00D10A7C"/>
    <w:rsid w:val="00D148CC"/>
    <w:rsid w:val="00D15651"/>
    <w:rsid w:val="00D16646"/>
    <w:rsid w:val="00D1678F"/>
    <w:rsid w:val="00D16FAB"/>
    <w:rsid w:val="00D17044"/>
    <w:rsid w:val="00D1747D"/>
    <w:rsid w:val="00D2027D"/>
    <w:rsid w:val="00D23B2D"/>
    <w:rsid w:val="00D23E3E"/>
    <w:rsid w:val="00D242FB"/>
    <w:rsid w:val="00D27FB6"/>
    <w:rsid w:val="00D30042"/>
    <w:rsid w:val="00D3128C"/>
    <w:rsid w:val="00D31BE5"/>
    <w:rsid w:val="00D31E83"/>
    <w:rsid w:val="00D326AC"/>
    <w:rsid w:val="00D332B3"/>
    <w:rsid w:val="00D338BB"/>
    <w:rsid w:val="00D35F60"/>
    <w:rsid w:val="00D36396"/>
    <w:rsid w:val="00D37EA7"/>
    <w:rsid w:val="00D40318"/>
    <w:rsid w:val="00D408D3"/>
    <w:rsid w:val="00D40988"/>
    <w:rsid w:val="00D41922"/>
    <w:rsid w:val="00D42DE7"/>
    <w:rsid w:val="00D436E0"/>
    <w:rsid w:val="00D43A3A"/>
    <w:rsid w:val="00D446A4"/>
    <w:rsid w:val="00D45423"/>
    <w:rsid w:val="00D51B87"/>
    <w:rsid w:val="00D51DD8"/>
    <w:rsid w:val="00D53128"/>
    <w:rsid w:val="00D54B47"/>
    <w:rsid w:val="00D55473"/>
    <w:rsid w:val="00D55ABA"/>
    <w:rsid w:val="00D55E83"/>
    <w:rsid w:val="00D56E97"/>
    <w:rsid w:val="00D5707A"/>
    <w:rsid w:val="00D57D19"/>
    <w:rsid w:val="00D57D4E"/>
    <w:rsid w:val="00D60C9B"/>
    <w:rsid w:val="00D60F4C"/>
    <w:rsid w:val="00D6267A"/>
    <w:rsid w:val="00D6322F"/>
    <w:rsid w:val="00D63E55"/>
    <w:rsid w:val="00D64F02"/>
    <w:rsid w:val="00D661C2"/>
    <w:rsid w:val="00D67129"/>
    <w:rsid w:val="00D67137"/>
    <w:rsid w:val="00D7332A"/>
    <w:rsid w:val="00D73661"/>
    <w:rsid w:val="00D73CE7"/>
    <w:rsid w:val="00D7526A"/>
    <w:rsid w:val="00D76B68"/>
    <w:rsid w:val="00D77138"/>
    <w:rsid w:val="00D7742F"/>
    <w:rsid w:val="00D80338"/>
    <w:rsid w:val="00D804E7"/>
    <w:rsid w:val="00D814B5"/>
    <w:rsid w:val="00D8224E"/>
    <w:rsid w:val="00D82A2D"/>
    <w:rsid w:val="00D8319A"/>
    <w:rsid w:val="00D83C64"/>
    <w:rsid w:val="00D848E2"/>
    <w:rsid w:val="00D84961"/>
    <w:rsid w:val="00D84C8A"/>
    <w:rsid w:val="00D85724"/>
    <w:rsid w:val="00D85EB3"/>
    <w:rsid w:val="00D90F97"/>
    <w:rsid w:val="00D91301"/>
    <w:rsid w:val="00D91803"/>
    <w:rsid w:val="00D921EC"/>
    <w:rsid w:val="00D9280F"/>
    <w:rsid w:val="00D930A3"/>
    <w:rsid w:val="00D940D0"/>
    <w:rsid w:val="00D94F53"/>
    <w:rsid w:val="00D9586B"/>
    <w:rsid w:val="00D95C6B"/>
    <w:rsid w:val="00D967E1"/>
    <w:rsid w:val="00D96C02"/>
    <w:rsid w:val="00D9787A"/>
    <w:rsid w:val="00DA1607"/>
    <w:rsid w:val="00DA28EE"/>
    <w:rsid w:val="00DA3430"/>
    <w:rsid w:val="00DA4102"/>
    <w:rsid w:val="00DA5A5F"/>
    <w:rsid w:val="00DB00D9"/>
    <w:rsid w:val="00DB22D2"/>
    <w:rsid w:val="00DB4644"/>
    <w:rsid w:val="00DB472B"/>
    <w:rsid w:val="00DB5C42"/>
    <w:rsid w:val="00DB7E9C"/>
    <w:rsid w:val="00DC0525"/>
    <w:rsid w:val="00DC0671"/>
    <w:rsid w:val="00DC11D8"/>
    <w:rsid w:val="00DC184F"/>
    <w:rsid w:val="00DC3AFE"/>
    <w:rsid w:val="00DC4B60"/>
    <w:rsid w:val="00DC4CC0"/>
    <w:rsid w:val="00DC55B1"/>
    <w:rsid w:val="00DC5D9C"/>
    <w:rsid w:val="00DD178C"/>
    <w:rsid w:val="00DD1A6D"/>
    <w:rsid w:val="00DD1B77"/>
    <w:rsid w:val="00DD3EB0"/>
    <w:rsid w:val="00DD50BE"/>
    <w:rsid w:val="00DD58B0"/>
    <w:rsid w:val="00DD7D5A"/>
    <w:rsid w:val="00DE0A96"/>
    <w:rsid w:val="00DE237F"/>
    <w:rsid w:val="00DE2553"/>
    <w:rsid w:val="00DE2658"/>
    <w:rsid w:val="00DE2C65"/>
    <w:rsid w:val="00DE3AFE"/>
    <w:rsid w:val="00DE4B69"/>
    <w:rsid w:val="00DE75B9"/>
    <w:rsid w:val="00DF095B"/>
    <w:rsid w:val="00DF1E8D"/>
    <w:rsid w:val="00DF1EA6"/>
    <w:rsid w:val="00DF2667"/>
    <w:rsid w:val="00DF4F2F"/>
    <w:rsid w:val="00DF561E"/>
    <w:rsid w:val="00DF664B"/>
    <w:rsid w:val="00DF6FA1"/>
    <w:rsid w:val="00DF7178"/>
    <w:rsid w:val="00DF7C5E"/>
    <w:rsid w:val="00DF7D61"/>
    <w:rsid w:val="00E00443"/>
    <w:rsid w:val="00E0054C"/>
    <w:rsid w:val="00E0061D"/>
    <w:rsid w:val="00E018B3"/>
    <w:rsid w:val="00E0295C"/>
    <w:rsid w:val="00E0315B"/>
    <w:rsid w:val="00E040BB"/>
    <w:rsid w:val="00E06F7D"/>
    <w:rsid w:val="00E10473"/>
    <w:rsid w:val="00E10B65"/>
    <w:rsid w:val="00E11398"/>
    <w:rsid w:val="00E1156C"/>
    <w:rsid w:val="00E11D32"/>
    <w:rsid w:val="00E13F7D"/>
    <w:rsid w:val="00E14865"/>
    <w:rsid w:val="00E15100"/>
    <w:rsid w:val="00E15F95"/>
    <w:rsid w:val="00E174A5"/>
    <w:rsid w:val="00E22938"/>
    <w:rsid w:val="00E22A05"/>
    <w:rsid w:val="00E22CF7"/>
    <w:rsid w:val="00E23A67"/>
    <w:rsid w:val="00E23AB7"/>
    <w:rsid w:val="00E2410E"/>
    <w:rsid w:val="00E252FC"/>
    <w:rsid w:val="00E258CE"/>
    <w:rsid w:val="00E26581"/>
    <w:rsid w:val="00E27D8F"/>
    <w:rsid w:val="00E31BFB"/>
    <w:rsid w:val="00E33589"/>
    <w:rsid w:val="00E33840"/>
    <w:rsid w:val="00E33C36"/>
    <w:rsid w:val="00E362DD"/>
    <w:rsid w:val="00E37196"/>
    <w:rsid w:val="00E40EA8"/>
    <w:rsid w:val="00E41640"/>
    <w:rsid w:val="00E45E64"/>
    <w:rsid w:val="00E46352"/>
    <w:rsid w:val="00E46ACC"/>
    <w:rsid w:val="00E46CBE"/>
    <w:rsid w:val="00E46D47"/>
    <w:rsid w:val="00E47A6B"/>
    <w:rsid w:val="00E47DD7"/>
    <w:rsid w:val="00E5212C"/>
    <w:rsid w:val="00E5308E"/>
    <w:rsid w:val="00E541C2"/>
    <w:rsid w:val="00E54B5B"/>
    <w:rsid w:val="00E554AD"/>
    <w:rsid w:val="00E5550A"/>
    <w:rsid w:val="00E558D8"/>
    <w:rsid w:val="00E57B16"/>
    <w:rsid w:val="00E60468"/>
    <w:rsid w:val="00E60C2B"/>
    <w:rsid w:val="00E60C77"/>
    <w:rsid w:val="00E60DDB"/>
    <w:rsid w:val="00E615A5"/>
    <w:rsid w:val="00E61AD7"/>
    <w:rsid w:val="00E62835"/>
    <w:rsid w:val="00E62CB0"/>
    <w:rsid w:val="00E63151"/>
    <w:rsid w:val="00E63F53"/>
    <w:rsid w:val="00E64101"/>
    <w:rsid w:val="00E6585D"/>
    <w:rsid w:val="00E65BBB"/>
    <w:rsid w:val="00E668B5"/>
    <w:rsid w:val="00E67E33"/>
    <w:rsid w:val="00E70216"/>
    <w:rsid w:val="00E70B58"/>
    <w:rsid w:val="00E714C2"/>
    <w:rsid w:val="00E71931"/>
    <w:rsid w:val="00E71AC3"/>
    <w:rsid w:val="00E71D89"/>
    <w:rsid w:val="00E720D7"/>
    <w:rsid w:val="00E726C7"/>
    <w:rsid w:val="00E72942"/>
    <w:rsid w:val="00E73F42"/>
    <w:rsid w:val="00E7482E"/>
    <w:rsid w:val="00E76ABC"/>
    <w:rsid w:val="00E76F27"/>
    <w:rsid w:val="00E811F1"/>
    <w:rsid w:val="00E81AF3"/>
    <w:rsid w:val="00E827A0"/>
    <w:rsid w:val="00E83BE9"/>
    <w:rsid w:val="00E83C1A"/>
    <w:rsid w:val="00E844B2"/>
    <w:rsid w:val="00E84FAE"/>
    <w:rsid w:val="00E85093"/>
    <w:rsid w:val="00E864AF"/>
    <w:rsid w:val="00E86AF1"/>
    <w:rsid w:val="00E86FBE"/>
    <w:rsid w:val="00E87546"/>
    <w:rsid w:val="00E90DF6"/>
    <w:rsid w:val="00E95616"/>
    <w:rsid w:val="00E9637A"/>
    <w:rsid w:val="00E96B52"/>
    <w:rsid w:val="00E96B6B"/>
    <w:rsid w:val="00E96F7E"/>
    <w:rsid w:val="00EA06DD"/>
    <w:rsid w:val="00EA30E7"/>
    <w:rsid w:val="00EA4363"/>
    <w:rsid w:val="00EA460D"/>
    <w:rsid w:val="00EA4CE6"/>
    <w:rsid w:val="00EA4D3D"/>
    <w:rsid w:val="00EA53B9"/>
    <w:rsid w:val="00EA7F6A"/>
    <w:rsid w:val="00EB0086"/>
    <w:rsid w:val="00EB0286"/>
    <w:rsid w:val="00EB101E"/>
    <w:rsid w:val="00EB1099"/>
    <w:rsid w:val="00EB38D5"/>
    <w:rsid w:val="00EB523B"/>
    <w:rsid w:val="00EB6BC7"/>
    <w:rsid w:val="00EB7917"/>
    <w:rsid w:val="00EB7A87"/>
    <w:rsid w:val="00EC1FB6"/>
    <w:rsid w:val="00EC22E1"/>
    <w:rsid w:val="00EC4150"/>
    <w:rsid w:val="00EC50C5"/>
    <w:rsid w:val="00EC5A1A"/>
    <w:rsid w:val="00EC5B4F"/>
    <w:rsid w:val="00EC5C97"/>
    <w:rsid w:val="00EC7205"/>
    <w:rsid w:val="00EC7235"/>
    <w:rsid w:val="00EC7BBB"/>
    <w:rsid w:val="00ED0A57"/>
    <w:rsid w:val="00ED0E42"/>
    <w:rsid w:val="00ED1C65"/>
    <w:rsid w:val="00ED3890"/>
    <w:rsid w:val="00ED4436"/>
    <w:rsid w:val="00ED5ACF"/>
    <w:rsid w:val="00ED5E69"/>
    <w:rsid w:val="00ED6C3E"/>
    <w:rsid w:val="00ED7BC4"/>
    <w:rsid w:val="00EE054A"/>
    <w:rsid w:val="00EE15FE"/>
    <w:rsid w:val="00EE2825"/>
    <w:rsid w:val="00EE2929"/>
    <w:rsid w:val="00EE402A"/>
    <w:rsid w:val="00EE465F"/>
    <w:rsid w:val="00EE4A09"/>
    <w:rsid w:val="00EE5680"/>
    <w:rsid w:val="00EE5FF0"/>
    <w:rsid w:val="00EE6967"/>
    <w:rsid w:val="00EE704D"/>
    <w:rsid w:val="00EE70ED"/>
    <w:rsid w:val="00EF0902"/>
    <w:rsid w:val="00EF15EA"/>
    <w:rsid w:val="00EF1C29"/>
    <w:rsid w:val="00EF381A"/>
    <w:rsid w:val="00EF4037"/>
    <w:rsid w:val="00EF443E"/>
    <w:rsid w:val="00EF6821"/>
    <w:rsid w:val="00EF76F2"/>
    <w:rsid w:val="00F0001F"/>
    <w:rsid w:val="00F00901"/>
    <w:rsid w:val="00F009B0"/>
    <w:rsid w:val="00F0347C"/>
    <w:rsid w:val="00F03BB8"/>
    <w:rsid w:val="00F04B14"/>
    <w:rsid w:val="00F06537"/>
    <w:rsid w:val="00F06F7A"/>
    <w:rsid w:val="00F07773"/>
    <w:rsid w:val="00F0780A"/>
    <w:rsid w:val="00F10E18"/>
    <w:rsid w:val="00F11024"/>
    <w:rsid w:val="00F11FDE"/>
    <w:rsid w:val="00F126FE"/>
    <w:rsid w:val="00F14F31"/>
    <w:rsid w:val="00F1562E"/>
    <w:rsid w:val="00F15AE0"/>
    <w:rsid w:val="00F1601A"/>
    <w:rsid w:val="00F203CE"/>
    <w:rsid w:val="00F2251E"/>
    <w:rsid w:val="00F234DD"/>
    <w:rsid w:val="00F2359D"/>
    <w:rsid w:val="00F24F03"/>
    <w:rsid w:val="00F259BC"/>
    <w:rsid w:val="00F268DF"/>
    <w:rsid w:val="00F26F25"/>
    <w:rsid w:val="00F27419"/>
    <w:rsid w:val="00F275EE"/>
    <w:rsid w:val="00F27E62"/>
    <w:rsid w:val="00F30453"/>
    <w:rsid w:val="00F30BF4"/>
    <w:rsid w:val="00F30ED0"/>
    <w:rsid w:val="00F3115E"/>
    <w:rsid w:val="00F3398E"/>
    <w:rsid w:val="00F34CFC"/>
    <w:rsid w:val="00F350F3"/>
    <w:rsid w:val="00F36782"/>
    <w:rsid w:val="00F3698A"/>
    <w:rsid w:val="00F375B7"/>
    <w:rsid w:val="00F37DD6"/>
    <w:rsid w:val="00F40F32"/>
    <w:rsid w:val="00F41B23"/>
    <w:rsid w:val="00F424FF"/>
    <w:rsid w:val="00F42ADE"/>
    <w:rsid w:val="00F431D6"/>
    <w:rsid w:val="00F44250"/>
    <w:rsid w:val="00F44491"/>
    <w:rsid w:val="00F46465"/>
    <w:rsid w:val="00F465D0"/>
    <w:rsid w:val="00F50208"/>
    <w:rsid w:val="00F537A7"/>
    <w:rsid w:val="00F545F7"/>
    <w:rsid w:val="00F5461E"/>
    <w:rsid w:val="00F55DE3"/>
    <w:rsid w:val="00F57DEA"/>
    <w:rsid w:val="00F6172B"/>
    <w:rsid w:val="00F622C6"/>
    <w:rsid w:val="00F6243B"/>
    <w:rsid w:val="00F625D5"/>
    <w:rsid w:val="00F645E1"/>
    <w:rsid w:val="00F654EF"/>
    <w:rsid w:val="00F677D3"/>
    <w:rsid w:val="00F67B65"/>
    <w:rsid w:val="00F70B8B"/>
    <w:rsid w:val="00F71673"/>
    <w:rsid w:val="00F73466"/>
    <w:rsid w:val="00F7378B"/>
    <w:rsid w:val="00F74A58"/>
    <w:rsid w:val="00F818E2"/>
    <w:rsid w:val="00F81D2F"/>
    <w:rsid w:val="00F847D1"/>
    <w:rsid w:val="00F84E2B"/>
    <w:rsid w:val="00F86964"/>
    <w:rsid w:val="00F87270"/>
    <w:rsid w:val="00F874B9"/>
    <w:rsid w:val="00F9156E"/>
    <w:rsid w:val="00F92299"/>
    <w:rsid w:val="00F92BD4"/>
    <w:rsid w:val="00F94FD0"/>
    <w:rsid w:val="00F9544D"/>
    <w:rsid w:val="00F96E2F"/>
    <w:rsid w:val="00F97B5E"/>
    <w:rsid w:val="00FA0818"/>
    <w:rsid w:val="00FA0A46"/>
    <w:rsid w:val="00FA1C87"/>
    <w:rsid w:val="00FA1D5B"/>
    <w:rsid w:val="00FA206B"/>
    <w:rsid w:val="00FA2DD3"/>
    <w:rsid w:val="00FA3068"/>
    <w:rsid w:val="00FA30FC"/>
    <w:rsid w:val="00FA3BB4"/>
    <w:rsid w:val="00FA4E42"/>
    <w:rsid w:val="00FA4F36"/>
    <w:rsid w:val="00FA5981"/>
    <w:rsid w:val="00FA632C"/>
    <w:rsid w:val="00FB0446"/>
    <w:rsid w:val="00FB0E01"/>
    <w:rsid w:val="00FB4011"/>
    <w:rsid w:val="00FB4391"/>
    <w:rsid w:val="00FC2292"/>
    <w:rsid w:val="00FC3EE2"/>
    <w:rsid w:val="00FC58ED"/>
    <w:rsid w:val="00FC5CBB"/>
    <w:rsid w:val="00FD0177"/>
    <w:rsid w:val="00FD126E"/>
    <w:rsid w:val="00FD1B39"/>
    <w:rsid w:val="00FD1D56"/>
    <w:rsid w:val="00FD2022"/>
    <w:rsid w:val="00FD25C5"/>
    <w:rsid w:val="00FD396D"/>
    <w:rsid w:val="00FD423E"/>
    <w:rsid w:val="00FD505E"/>
    <w:rsid w:val="00FD54B5"/>
    <w:rsid w:val="00FD753F"/>
    <w:rsid w:val="00FD76DC"/>
    <w:rsid w:val="00FE09D7"/>
    <w:rsid w:val="00FE23F4"/>
    <w:rsid w:val="00FE2490"/>
    <w:rsid w:val="00FE346A"/>
    <w:rsid w:val="00FE35F3"/>
    <w:rsid w:val="00FE3987"/>
    <w:rsid w:val="00FE41C6"/>
    <w:rsid w:val="00FE46AC"/>
    <w:rsid w:val="00FE46F7"/>
    <w:rsid w:val="00FE50BB"/>
    <w:rsid w:val="00FE6937"/>
    <w:rsid w:val="00FF0A56"/>
    <w:rsid w:val="00FF1964"/>
    <w:rsid w:val="00FF2939"/>
    <w:rsid w:val="00FF3092"/>
    <w:rsid w:val="00FF480F"/>
    <w:rsid w:val="00FF5F45"/>
    <w:rsid w:val="00FF64CA"/>
    <w:rsid w:val="00FF7E40"/>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AA8"/>
    <w:rPr>
      <w:sz w:val="24"/>
      <w:szCs w:val="24"/>
    </w:rPr>
  </w:style>
  <w:style w:type="paragraph" w:styleId="1">
    <w:name w:val="heading 1"/>
    <w:basedOn w:val="a"/>
    <w:next w:val="a"/>
    <w:qFormat/>
    <w:rsid w:val="00025018"/>
    <w:pPr>
      <w:keepNext/>
      <w:spacing w:before="240" w:after="60"/>
      <w:outlineLvl w:val="0"/>
    </w:pPr>
    <w:rPr>
      <w:rFonts w:ascii="Arial" w:hAnsi="Arial" w:cs="Arial"/>
      <w:b/>
      <w:bCs/>
      <w:kern w:val="32"/>
      <w:sz w:val="32"/>
      <w:szCs w:val="32"/>
    </w:rPr>
  </w:style>
  <w:style w:type="paragraph" w:styleId="2">
    <w:name w:val="heading 2"/>
    <w:basedOn w:val="a"/>
    <w:next w:val="a"/>
    <w:qFormat/>
    <w:rsid w:val="00025018"/>
    <w:pPr>
      <w:keepNext/>
      <w:spacing w:before="240" w:after="60"/>
      <w:outlineLvl w:val="1"/>
    </w:pPr>
    <w:rPr>
      <w:rFonts w:ascii="Arial" w:hAnsi="Arial" w:cs="Arial"/>
      <w:b/>
      <w:bCs/>
      <w:i/>
      <w:iCs/>
      <w:sz w:val="28"/>
      <w:szCs w:val="28"/>
    </w:rPr>
  </w:style>
  <w:style w:type="paragraph" w:styleId="3">
    <w:name w:val="heading 3"/>
    <w:basedOn w:val="a"/>
    <w:next w:val="a"/>
    <w:qFormat/>
    <w:rsid w:val="00025018"/>
    <w:pPr>
      <w:keepNext/>
      <w:spacing w:after="120"/>
      <w:ind w:left="5670"/>
      <w:jc w:val="both"/>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w:basedOn w:val="a"/>
    <w:rsid w:val="009C4AA8"/>
    <w:rPr>
      <w:rFonts w:ascii="Verdana" w:hAnsi="Verdana" w:cs="Verdana"/>
      <w:sz w:val="20"/>
      <w:szCs w:val="20"/>
      <w:lang w:val="en-US" w:eastAsia="en-US"/>
    </w:rPr>
  </w:style>
  <w:style w:type="paragraph" w:styleId="a3">
    <w:name w:val="Title"/>
    <w:basedOn w:val="a"/>
    <w:qFormat/>
    <w:rsid w:val="009C4AA8"/>
    <w:pPr>
      <w:jc w:val="center"/>
    </w:pPr>
    <w:rPr>
      <w:b/>
      <w:sz w:val="26"/>
      <w:szCs w:val="20"/>
    </w:rPr>
  </w:style>
  <w:style w:type="paragraph" w:styleId="a4">
    <w:name w:val="Body Text Indent"/>
    <w:aliases w:val="Подпись к рис.,Ïîäïèñü ê ðèñ."/>
    <w:basedOn w:val="a"/>
    <w:rsid w:val="00945F38"/>
    <w:pPr>
      <w:spacing w:line="360" w:lineRule="auto"/>
      <w:ind w:right="84" w:firstLine="851"/>
      <w:jc w:val="both"/>
    </w:pPr>
    <w:rPr>
      <w:sz w:val="28"/>
      <w:szCs w:val="20"/>
      <w:lang w:val="uk-UA"/>
    </w:rPr>
  </w:style>
  <w:style w:type="paragraph" w:styleId="20">
    <w:name w:val="Body Text Indent 2"/>
    <w:basedOn w:val="a"/>
    <w:rsid w:val="00945F38"/>
    <w:pPr>
      <w:snapToGrid w:val="0"/>
      <w:ind w:firstLine="720"/>
      <w:jc w:val="both"/>
    </w:pPr>
    <w:rPr>
      <w:color w:val="000000"/>
      <w:sz w:val="28"/>
      <w:szCs w:val="28"/>
      <w:lang w:val="uk-UA"/>
    </w:rPr>
  </w:style>
  <w:style w:type="paragraph" w:styleId="31">
    <w:name w:val="Body Text Indent 3"/>
    <w:basedOn w:val="a"/>
    <w:rsid w:val="002B0679"/>
    <w:pPr>
      <w:spacing w:after="120"/>
      <w:ind w:left="283"/>
    </w:pPr>
    <w:rPr>
      <w:sz w:val="16"/>
      <w:szCs w:val="16"/>
    </w:rPr>
  </w:style>
  <w:style w:type="paragraph" w:customStyle="1" w:styleId="a5">
    <w:name w:val="Знак"/>
    <w:basedOn w:val="a"/>
    <w:rsid w:val="00C556D4"/>
    <w:rPr>
      <w:rFonts w:ascii="Verdana" w:hAnsi="Verdana" w:cs="Verdana"/>
      <w:sz w:val="20"/>
      <w:szCs w:val="20"/>
      <w:lang w:val="en-US" w:eastAsia="en-US"/>
    </w:rPr>
  </w:style>
  <w:style w:type="paragraph" w:styleId="a6">
    <w:name w:val="Body Text"/>
    <w:basedOn w:val="a"/>
    <w:link w:val="a7"/>
    <w:rsid w:val="007F3451"/>
    <w:pPr>
      <w:spacing w:after="120"/>
    </w:pPr>
  </w:style>
  <w:style w:type="paragraph" w:customStyle="1" w:styleId="a8">
    <w:name w:val="Знак"/>
    <w:basedOn w:val="a"/>
    <w:rsid w:val="00F275EE"/>
    <w:rPr>
      <w:rFonts w:ascii="Verdana" w:hAnsi="Verdana" w:cs="Verdana"/>
      <w:sz w:val="20"/>
      <w:szCs w:val="20"/>
      <w:lang w:val="en-US" w:eastAsia="en-US"/>
    </w:rPr>
  </w:style>
  <w:style w:type="paragraph" w:customStyle="1" w:styleId="21">
    <w:name w:val="Основной текст 21"/>
    <w:basedOn w:val="a"/>
    <w:rsid w:val="00AB1D84"/>
    <w:pPr>
      <w:spacing w:after="120"/>
      <w:ind w:firstLine="709"/>
      <w:jc w:val="both"/>
    </w:pPr>
    <w:rPr>
      <w:szCs w:val="20"/>
      <w:lang w:val="uk-UA"/>
    </w:rPr>
  </w:style>
  <w:style w:type="paragraph" w:customStyle="1" w:styleId="10">
    <w:name w:val="Знак1"/>
    <w:basedOn w:val="a"/>
    <w:rsid w:val="00AA68D7"/>
    <w:rPr>
      <w:rFonts w:ascii="Verdana" w:hAnsi="Verdana" w:cs="Verdana"/>
      <w:sz w:val="20"/>
      <w:szCs w:val="20"/>
      <w:lang w:val="en-US" w:eastAsia="en-US"/>
    </w:rPr>
  </w:style>
  <w:style w:type="paragraph" w:styleId="a9">
    <w:name w:val="Normal (Web)"/>
    <w:aliases w:val="Обычный (Web)"/>
    <w:basedOn w:val="a"/>
    <w:rsid w:val="00AA68D7"/>
    <w:pPr>
      <w:spacing w:before="100" w:beforeAutospacing="1" w:after="100" w:afterAutospacing="1"/>
    </w:pPr>
  </w:style>
  <w:style w:type="paragraph" w:customStyle="1" w:styleId="11">
    <w:name w:val="Знак1 Знак Знак Знак"/>
    <w:basedOn w:val="a"/>
    <w:rsid w:val="00147C2D"/>
    <w:rPr>
      <w:rFonts w:ascii="Verdana" w:hAnsi="Verdana" w:cs="Verdana"/>
      <w:sz w:val="20"/>
      <w:szCs w:val="20"/>
      <w:lang w:val="en-US" w:eastAsia="en-US"/>
    </w:rPr>
  </w:style>
  <w:style w:type="paragraph" w:styleId="aa">
    <w:name w:val="header"/>
    <w:basedOn w:val="a"/>
    <w:rsid w:val="009F0C6E"/>
    <w:pPr>
      <w:tabs>
        <w:tab w:val="center" w:pos="4677"/>
        <w:tab w:val="right" w:pos="9355"/>
      </w:tabs>
    </w:pPr>
  </w:style>
  <w:style w:type="character" w:styleId="ab">
    <w:name w:val="page number"/>
    <w:basedOn w:val="a0"/>
    <w:rsid w:val="009F0C6E"/>
  </w:style>
  <w:style w:type="paragraph" w:styleId="22">
    <w:name w:val="Body Text 2"/>
    <w:basedOn w:val="a"/>
    <w:link w:val="23"/>
    <w:rsid w:val="00025018"/>
    <w:pPr>
      <w:spacing w:after="120" w:line="480" w:lineRule="auto"/>
    </w:pPr>
  </w:style>
  <w:style w:type="character" w:customStyle="1" w:styleId="FontStyle12">
    <w:name w:val="Font Style12"/>
    <w:basedOn w:val="a0"/>
    <w:rsid w:val="00025018"/>
    <w:rPr>
      <w:rFonts w:ascii="Times New Roman" w:hAnsi="Times New Roman" w:cs="Times New Roman"/>
      <w:sz w:val="26"/>
      <w:szCs w:val="26"/>
    </w:rPr>
  </w:style>
  <w:style w:type="paragraph" w:customStyle="1" w:styleId="Style3">
    <w:name w:val="Style3"/>
    <w:basedOn w:val="a"/>
    <w:rsid w:val="00025018"/>
    <w:pPr>
      <w:widowControl w:val="0"/>
      <w:autoSpaceDE w:val="0"/>
      <w:autoSpaceDN w:val="0"/>
      <w:adjustRightInd w:val="0"/>
      <w:spacing w:line="438" w:lineRule="exact"/>
      <w:ind w:firstLine="725"/>
      <w:jc w:val="both"/>
    </w:pPr>
  </w:style>
  <w:style w:type="paragraph" w:styleId="ac">
    <w:name w:val="Plain Text"/>
    <w:basedOn w:val="a"/>
    <w:rsid w:val="00025018"/>
    <w:pPr>
      <w:ind w:firstLine="720"/>
      <w:jc w:val="both"/>
    </w:pPr>
    <w:rPr>
      <w:rFonts w:ascii="Courier New" w:hAnsi="Courier New"/>
      <w:snapToGrid w:val="0"/>
      <w:sz w:val="20"/>
      <w:szCs w:val="20"/>
      <w:lang w:val="uk-UA"/>
    </w:rPr>
  </w:style>
  <w:style w:type="paragraph" w:styleId="24">
    <w:name w:val="List 2"/>
    <w:basedOn w:val="a"/>
    <w:rsid w:val="00025018"/>
    <w:pPr>
      <w:ind w:left="566" w:hanging="283"/>
    </w:pPr>
    <w:rPr>
      <w:color w:val="000000"/>
      <w:sz w:val="28"/>
      <w:szCs w:val="20"/>
    </w:rPr>
  </w:style>
  <w:style w:type="paragraph" w:customStyle="1" w:styleId="12">
    <w:name w:val="Обычный1"/>
    <w:rsid w:val="00025018"/>
    <w:rPr>
      <w:sz w:val="24"/>
    </w:rPr>
  </w:style>
  <w:style w:type="table" w:styleId="ad">
    <w:name w:val="Table Grid"/>
    <w:basedOn w:val="a1"/>
    <w:rsid w:val="00157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rsid w:val="004C5F1E"/>
    <w:rPr>
      <w:rFonts w:ascii="Verdana" w:hAnsi="Verdana" w:cs="Verdana"/>
      <w:sz w:val="20"/>
      <w:szCs w:val="20"/>
      <w:lang w:val="en-US" w:eastAsia="en-US"/>
    </w:rPr>
  </w:style>
  <w:style w:type="paragraph" w:customStyle="1" w:styleId="ae">
    <w:name w:val="Знак Знак"/>
    <w:basedOn w:val="a"/>
    <w:rsid w:val="001551A1"/>
    <w:rPr>
      <w:rFonts w:ascii="Verdana" w:hAnsi="Verdana" w:cs="Verdana"/>
      <w:sz w:val="20"/>
      <w:szCs w:val="20"/>
      <w:lang w:val="en-US" w:eastAsia="en-US"/>
    </w:rPr>
  </w:style>
  <w:style w:type="paragraph" w:customStyle="1" w:styleId="32">
    <w:name w:val="Знак3"/>
    <w:basedOn w:val="a"/>
    <w:rsid w:val="00323413"/>
    <w:rPr>
      <w:rFonts w:ascii="Verdana" w:hAnsi="Verdana" w:cs="Verdana"/>
      <w:sz w:val="20"/>
      <w:szCs w:val="20"/>
      <w:lang w:val="en-US" w:eastAsia="en-US"/>
    </w:rPr>
  </w:style>
  <w:style w:type="character" w:customStyle="1" w:styleId="longtext">
    <w:name w:val="long_text"/>
    <w:basedOn w:val="a0"/>
    <w:rsid w:val="00323413"/>
  </w:style>
  <w:style w:type="paragraph" w:styleId="af">
    <w:name w:val="footer"/>
    <w:basedOn w:val="a"/>
    <w:rsid w:val="00AD23B8"/>
    <w:pPr>
      <w:tabs>
        <w:tab w:val="center" w:pos="4677"/>
        <w:tab w:val="right" w:pos="9355"/>
      </w:tabs>
    </w:pPr>
  </w:style>
  <w:style w:type="paragraph" w:styleId="af0">
    <w:name w:val="Balloon Text"/>
    <w:basedOn w:val="a"/>
    <w:semiHidden/>
    <w:rsid w:val="00116336"/>
    <w:rPr>
      <w:rFonts w:ascii="Tahoma" w:hAnsi="Tahoma" w:cs="Tahoma"/>
      <w:sz w:val="16"/>
      <w:szCs w:val="16"/>
    </w:rPr>
  </w:style>
  <w:style w:type="character" w:customStyle="1" w:styleId="paragraph">
    <w:name w:val="paragraph"/>
    <w:basedOn w:val="a0"/>
    <w:rsid w:val="00A1213D"/>
  </w:style>
  <w:style w:type="character" w:customStyle="1" w:styleId="23">
    <w:name w:val="Основной текст 2 Знак"/>
    <w:link w:val="22"/>
    <w:semiHidden/>
    <w:rsid w:val="007A0617"/>
    <w:rPr>
      <w:sz w:val="24"/>
      <w:szCs w:val="24"/>
      <w:lang w:val="ru-RU" w:eastAsia="ru-RU" w:bidi="ar-SA"/>
    </w:rPr>
  </w:style>
  <w:style w:type="character" w:customStyle="1" w:styleId="apple-style-span">
    <w:name w:val="apple-style-span"/>
    <w:basedOn w:val="a0"/>
    <w:rsid w:val="00F42ADE"/>
  </w:style>
  <w:style w:type="character" w:customStyle="1" w:styleId="apple-converted-space">
    <w:name w:val="apple-converted-space"/>
    <w:basedOn w:val="a0"/>
    <w:rsid w:val="00F42ADE"/>
  </w:style>
  <w:style w:type="paragraph" w:customStyle="1" w:styleId="af1">
    <w:name w:val="Знак Знак"/>
    <w:basedOn w:val="a"/>
    <w:rsid w:val="00F42ADE"/>
    <w:rPr>
      <w:rFonts w:ascii="Verdana" w:hAnsi="Verdana" w:cs="Verdana"/>
      <w:sz w:val="20"/>
      <w:szCs w:val="20"/>
      <w:lang w:val="en-US" w:eastAsia="en-US"/>
    </w:rPr>
  </w:style>
  <w:style w:type="paragraph" w:customStyle="1" w:styleId="af2">
    <w:name w:val="Знак Знак Знак Знак Знак Знак Знак"/>
    <w:basedOn w:val="a"/>
    <w:rsid w:val="00B06A9F"/>
    <w:rPr>
      <w:rFonts w:ascii="Verdana" w:hAnsi="Verdana" w:cs="Verdana"/>
      <w:sz w:val="20"/>
      <w:szCs w:val="20"/>
      <w:lang w:val="en-US" w:eastAsia="en-US"/>
    </w:rPr>
  </w:style>
  <w:style w:type="paragraph" w:customStyle="1" w:styleId="Style4">
    <w:name w:val="Style4"/>
    <w:basedOn w:val="a"/>
    <w:rsid w:val="00386E12"/>
    <w:pPr>
      <w:widowControl w:val="0"/>
      <w:autoSpaceDE w:val="0"/>
      <w:autoSpaceDN w:val="0"/>
      <w:adjustRightInd w:val="0"/>
      <w:spacing w:line="366" w:lineRule="exact"/>
      <w:ind w:firstLine="701"/>
      <w:jc w:val="both"/>
    </w:pPr>
    <w:rPr>
      <w:rFonts w:ascii="Century Gothic" w:hAnsi="Century Gothic"/>
    </w:rPr>
  </w:style>
  <w:style w:type="character" w:customStyle="1" w:styleId="hps">
    <w:name w:val="hps"/>
    <w:basedOn w:val="a0"/>
    <w:rsid w:val="00914F53"/>
  </w:style>
  <w:style w:type="character" w:customStyle="1" w:styleId="atn">
    <w:name w:val="atn"/>
    <w:rsid w:val="00914F53"/>
  </w:style>
  <w:style w:type="paragraph" w:customStyle="1" w:styleId="210">
    <w:name w:val="Основной текст 21"/>
    <w:basedOn w:val="a"/>
    <w:rsid w:val="00914F53"/>
    <w:pPr>
      <w:spacing w:after="120"/>
      <w:ind w:firstLine="709"/>
      <w:jc w:val="both"/>
    </w:pPr>
    <w:rPr>
      <w:szCs w:val="20"/>
      <w:lang w:val="uk-UA"/>
    </w:rPr>
  </w:style>
  <w:style w:type="paragraph" w:customStyle="1" w:styleId="220">
    <w:name w:val="Основной текст 22"/>
    <w:basedOn w:val="a"/>
    <w:rsid w:val="00914F53"/>
    <w:pPr>
      <w:spacing w:after="120"/>
      <w:ind w:firstLine="709"/>
      <w:jc w:val="both"/>
    </w:pPr>
    <w:rPr>
      <w:szCs w:val="20"/>
      <w:lang w:val="uk-UA"/>
    </w:rPr>
  </w:style>
  <w:style w:type="character" w:customStyle="1" w:styleId="a7">
    <w:name w:val="Основной текст Знак"/>
    <w:basedOn w:val="a0"/>
    <w:link w:val="a6"/>
    <w:rsid w:val="00BE48EF"/>
    <w:rPr>
      <w:sz w:val="24"/>
      <w:szCs w:val="24"/>
      <w:lang w:val="ru-RU" w:eastAsia="ru-RU" w:bidi="ar-SA"/>
    </w:rPr>
  </w:style>
  <w:style w:type="paragraph" w:customStyle="1" w:styleId="13">
    <w:name w:val="Абзац списка1"/>
    <w:basedOn w:val="a"/>
    <w:rsid w:val="009E33D9"/>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599223968">
      <w:bodyDiv w:val="1"/>
      <w:marLeft w:val="0"/>
      <w:marRight w:val="0"/>
      <w:marTop w:val="0"/>
      <w:marBottom w:val="0"/>
      <w:divBdr>
        <w:top w:val="none" w:sz="0" w:space="0" w:color="auto"/>
        <w:left w:val="none" w:sz="0" w:space="0" w:color="auto"/>
        <w:bottom w:val="none" w:sz="0" w:space="0" w:color="auto"/>
        <w:right w:val="none" w:sz="0" w:space="0" w:color="auto"/>
      </w:divBdr>
    </w:div>
    <w:div w:id="1507355951">
      <w:bodyDiv w:val="1"/>
      <w:marLeft w:val="0"/>
      <w:marRight w:val="0"/>
      <w:marTop w:val="0"/>
      <w:marBottom w:val="0"/>
      <w:divBdr>
        <w:top w:val="none" w:sz="0" w:space="0" w:color="auto"/>
        <w:left w:val="none" w:sz="0" w:space="0" w:color="auto"/>
        <w:bottom w:val="none" w:sz="0" w:space="0" w:color="auto"/>
        <w:right w:val="none" w:sz="0" w:space="0" w:color="auto"/>
      </w:divBdr>
    </w:div>
    <w:div w:id="16193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2.xlsx"/><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6771653543307159E-2"/>
          <c:y val="0"/>
          <c:w val="0.97165354330708664"/>
          <c:h val="0.70954356846473032"/>
        </c:manualLayout>
      </c:layout>
      <c:lineChart>
        <c:grouping val="standard"/>
        <c:ser>
          <c:idx val="0"/>
          <c:order val="0"/>
          <c:tx>
            <c:strRef>
              <c:f>Дані!$A$29</c:f>
              <c:strCache>
                <c:ptCount val="1"/>
                <c:pt idx="0">
                  <c:v>2011</c:v>
                </c:pt>
              </c:strCache>
            </c:strRef>
          </c:tx>
          <c:spPr>
            <a:ln w="3175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4.2864031171361491E-2"/>
                  <c:y val="3.9574973572857608E-2"/>
                </c:manualLayout>
              </c:layout>
              <c:dLblPos val="r"/>
              <c:showVal val="1"/>
            </c:dLbl>
            <c:dLbl>
              <c:idx val="1"/>
              <c:layout>
                <c:manualLayout>
                  <c:x val="-4.8244662716129455E-2"/>
                  <c:y val="4.5467009592996883E-2"/>
                </c:manualLayout>
              </c:layout>
              <c:dLblPos val="r"/>
              <c:showVal val="1"/>
            </c:dLbl>
            <c:dLbl>
              <c:idx val="2"/>
              <c:layout>
                <c:manualLayout>
                  <c:x val="-4.1026706713207274E-2"/>
                  <c:y val="4.2171006216041494E-2"/>
                </c:manualLayout>
              </c:layout>
              <c:dLblPos val="r"/>
              <c:showVal val="1"/>
            </c:dLbl>
            <c:dLbl>
              <c:idx val="3"/>
              <c:layout>
                <c:manualLayout>
                  <c:x val="-3.5383716210730928E-2"/>
                  <c:y val="5.1418419602484326E-2"/>
                </c:manualLayout>
              </c:layout>
              <c:dLblPos val="r"/>
              <c:showVal val="1"/>
            </c:dLbl>
            <c:dLbl>
              <c:idx val="4"/>
              <c:layout>
                <c:manualLayout>
                  <c:x val="-3.6039938306680466E-2"/>
                  <c:y val="5.1513285422456423E-2"/>
                </c:manualLayout>
              </c:layout>
              <c:dLblPos val="r"/>
              <c:showVal val="1"/>
            </c:dLbl>
            <c:dLbl>
              <c:idx val="5"/>
              <c:layout>
                <c:manualLayout>
                  <c:x val="-3.512119490218344E-2"/>
                  <c:y val="4.9201432075845854E-2"/>
                </c:manualLayout>
              </c:layout>
              <c:dLblPos val="r"/>
              <c:showVal val="1"/>
            </c:dLbl>
            <c:dLbl>
              <c:idx val="6"/>
              <c:layout>
                <c:manualLayout>
                  <c:x val="-3.4202613848527089E-2"/>
                  <c:y val="4.5052054482484623E-2"/>
                </c:manualLayout>
              </c:layout>
              <c:dLblPos val="r"/>
              <c:showVal val="1"/>
            </c:dLbl>
            <c:dLbl>
              <c:idx val="7"/>
              <c:layout>
                <c:manualLayout>
                  <c:x val="-3.4858835944475766E-2"/>
                  <c:y val="4.3024798595790156E-2"/>
                </c:manualLayout>
              </c:layout>
              <c:dLblPos val="r"/>
              <c:showVal val="1"/>
            </c:dLbl>
            <c:dLbl>
              <c:idx val="8"/>
              <c:layout>
                <c:manualLayout>
                  <c:x val="-3.8664501988797666E-2"/>
                  <c:y val="4.1471871808956083E-2"/>
                </c:manualLayout>
              </c:layout>
              <c:dLblPos val="r"/>
              <c:showVal val="1"/>
            </c:dLbl>
            <c:dLbl>
              <c:idx val="9"/>
              <c:layout>
                <c:manualLayout>
                  <c:x val="-3.4596314635928001E-2"/>
                  <c:y val="4.5905428698890229E-2"/>
                </c:manualLayout>
              </c:layout>
              <c:dLblPos val="r"/>
              <c:showVal val="1"/>
            </c:dLbl>
            <c:dLbl>
              <c:idx val="10"/>
              <c:layout>
                <c:manualLayout>
                  <c:x val="-3.3677733582270802E-2"/>
                  <c:y val="4.4067904452140351E-2"/>
                </c:manualLayout>
              </c:layout>
              <c:dLblPos val="r"/>
              <c:showVal val="1"/>
            </c:dLbl>
            <c:dLbl>
              <c:idx val="11"/>
              <c:layout>
                <c:manualLayout>
                  <c:x val="-1.1648672781883215E-3"/>
                  <c:y val="4.2799575125222124E-2"/>
                </c:manualLayout>
              </c:layout>
              <c:dLblPos val="r"/>
              <c:showVal val="1"/>
            </c:dLbl>
            <c:spPr>
              <a:noFill/>
              <a:ln w="25407">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Дані!$B$28:$M$28</c:f>
              <c:strCache>
                <c:ptCount val="12"/>
                <c:pt idx="0">
                  <c:v>січень</c:v>
                </c:pt>
                <c:pt idx="1">
                  <c:v>лютий</c:v>
                </c:pt>
                <c:pt idx="2">
                  <c:v>березень</c:v>
                </c:pt>
                <c:pt idx="3">
                  <c:v>квітень</c:v>
                </c:pt>
                <c:pt idx="4">
                  <c:v> травень</c:v>
                </c:pt>
                <c:pt idx="5">
                  <c:v>червень</c:v>
                </c:pt>
                <c:pt idx="6">
                  <c:v>липень</c:v>
                </c:pt>
                <c:pt idx="7">
                  <c:v>серпень</c:v>
                </c:pt>
                <c:pt idx="8">
                  <c:v>вересень</c:v>
                </c:pt>
                <c:pt idx="9">
                  <c:v> жовтень</c:v>
                </c:pt>
                <c:pt idx="10">
                  <c:v>листопад</c:v>
                </c:pt>
                <c:pt idx="11">
                  <c:v>грудень</c:v>
                </c:pt>
              </c:strCache>
            </c:strRef>
          </c:cat>
          <c:val>
            <c:numRef>
              <c:f>Дані!$B$29:$M$29</c:f>
              <c:numCache>
                <c:formatCode>General</c:formatCode>
                <c:ptCount val="12"/>
                <c:pt idx="0">
                  <c:v>120.4</c:v>
                </c:pt>
                <c:pt idx="1">
                  <c:v>121.1</c:v>
                </c:pt>
                <c:pt idx="2">
                  <c:v>119.3</c:v>
                </c:pt>
                <c:pt idx="3">
                  <c:v>117.3</c:v>
                </c:pt>
                <c:pt idx="4">
                  <c:v>117.1</c:v>
                </c:pt>
                <c:pt idx="5">
                  <c:v>117.6</c:v>
                </c:pt>
                <c:pt idx="6">
                  <c:v>117.6</c:v>
                </c:pt>
                <c:pt idx="7">
                  <c:v>117.5</c:v>
                </c:pt>
                <c:pt idx="8">
                  <c:v>116.4</c:v>
                </c:pt>
                <c:pt idx="9">
                  <c:v>115.8</c:v>
                </c:pt>
                <c:pt idx="10">
                  <c:v>115.3</c:v>
                </c:pt>
                <c:pt idx="11">
                  <c:v>113.6</c:v>
                </c:pt>
              </c:numCache>
            </c:numRef>
          </c:val>
        </c:ser>
        <c:ser>
          <c:idx val="1"/>
          <c:order val="1"/>
          <c:tx>
            <c:strRef>
              <c:f>Дані!$A$30</c:f>
              <c:strCache>
                <c:ptCount val="1"/>
                <c:pt idx="0">
                  <c:v>2012</c:v>
                </c:pt>
              </c:strCache>
            </c:strRef>
          </c:tx>
          <c:spPr>
            <a:ln w="38100">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4.7588440620180278E-2"/>
                  <c:y val="-7.7354671277545001E-2"/>
                </c:manualLayout>
              </c:layout>
              <c:dLblPos val="r"/>
              <c:showVal val="1"/>
            </c:dLbl>
            <c:dLbl>
              <c:idx val="1"/>
              <c:layout>
                <c:manualLayout>
                  <c:x val="-4.3520253267310495E-2"/>
                  <c:y val="-6.9530245190683182E-2"/>
                </c:manualLayout>
              </c:layout>
              <c:dLblPos val="r"/>
              <c:showVal val="1"/>
            </c:dLbl>
            <c:dLbl>
              <c:idx val="2"/>
              <c:layout>
                <c:manualLayout>
                  <c:x val="-3.4727494114782008E-2"/>
                  <c:y val="-7.5612012850766894E-2"/>
                </c:manualLayout>
              </c:layout>
              <c:dLblPos val="r"/>
              <c:showVal val="1"/>
            </c:dLbl>
            <c:dLbl>
              <c:idx val="3"/>
              <c:layout>
                <c:manualLayout>
                  <c:x val="-4.3257731958762702E-2"/>
                  <c:y val="-7.3489891144099984E-2"/>
                </c:manualLayout>
              </c:layout>
              <c:dLblPos val="r"/>
              <c:showVal val="1"/>
            </c:dLbl>
            <c:dLbl>
              <c:idx val="4"/>
              <c:layout>
                <c:manualLayout>
                  <c:x val="-4.3913954054711997E-2"/>
                  <c:y val="-7.12729036174614E-2"/>
                </c:manualLayout>
              </c:layout>
              <c:dLblPos val="r"/>
              <c:showVal val="1"/>
            </c:dLbl>
            <c:dLbl>
              <c:idx val="5"/>
              <c:layout>
                <c:manualLayout>
                  <c:x val="-3.5121194902183413E-2"/>
                  <c:y val="-6.4527075217573823E-2"/>
                </c:manualLayout>
              </c:layout>
              <c:dLblPos val="r"/>
              <c:showVal val="1"/>
            </c:dLbl>
            <c:spPr>
              <a:noFill/>
              <a:ln w="25407">
                <a:noFill/>
              </a:ln>
            </c:spPr>
            <c:txPr>
              <a:bodyPr/>
              <a:lstStyle/>
              <a:p>
                <a:pPr>
                  <a:defRPr sz="1000" b="1" i="1" u="none" strike="noStrike" baseline="0">
                    <a:solidFill>
                      <a:srgbClr val="000000"/>
                    </a:solidFill>
                    <a:latin typeface="Times New Roman"/>
                    <a:ea typeface="Times New Roman"/>
                    <a:cs typeface="Times New Roman"/>
                  </a:defRPr>
                </a:pPr>
                <a:endParaRPr lang="ru-RU"/>
              </a:p>
            </c:txPr>
            <c:showVal val="1"/>
          </c:dLbls>
          <c:cat>
            <c:strRef>
              <c:f>Дані!$B$28:$M$28</c:f>
              <c:strCache>
                <c:ptCount val="12"/>
                <c:pt idx="0">
                  <c:v>січень</c:v>
                </c:pt>
                <c:pt idx="1">
                  <c:v>лютий</c:v>
                </c:pt>
                <c:pt idx="2">
                  <c:v>березень</c:v>
                </c:pt>
                <c:pt idx="3">
                  <c:v>квітень</c:v>
                </c:pt>
                <c:pt idx="4">
                  <c:v> травень</c:v>
                </c:pt>
                <c:pt idx="5">
                  <c:v>червень</c:v>
                </c:pt>
                <c:pt idx="6">
                  <c:v>липень</c:v>
                </c:pt>
                <c:pt idx="7">
                  <c:v>серпень</c:v>
                </c:pt>
                <c:pt idx="8">
                  <c:v>вересень</c:v>
                </c:pt>
                <c:pt idx="9">
                  <c:v> жовтень</c:v>
                </c:pt>
                <c:pt idx="10">
                  <c:v>листопад</c:v>
                </c:pt>
                <c:pt idx="11">
                  <c:v>грудень</c:v>
                </c:pt>
              </c:strCache>
            </c:strRef>
          </c:cat>
          <c:val>
            <c:numRef>
              <c:f>Дані!$B$30:$M$30</c:f>
              <c:numCache>
                <c:formatCode>General</c:formatCode>
                <c:ptCount val="12"/>
                <c:pt idx="0">
                  <c:v>100.1</c:v>
                </c:pt>
                <c:pt idx="1">
                  <c:v>101.1</c:v>
                </c:pt>
                <c:pt idx="2">
                  <c:v>100.8</c:v>
                </c:pt>
                <c:pt idx="3">
                  <c:v>100.7</c:v>
                </c:pt>
                <c:pt idx="4">
                  <c:v>100.4</c:v>
                </c:pt>
                <c:pt idx="5">
                  <c:v>99.3</c:v>
                </c:pt>
              </c:numCache>
            </c:numRef>
          </c:val>
        </c:ser>
        <c:dLbls>
          <c:showVal val="1"/>
        </c:dLbls>
        <c:marker val="1"/>
        <c:axId val="35847552"/>
        <c:axId val="75261056"/>
      </c:lineChart>
      <c:catAx>
        <c:axId val="35847552"/>
        <c:scaling>
          <c:orientation val="minMax"/>
        </c:scaling>
        <c:axPos val="b"/>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75261056"/>
        <c:crossesAt val="90"/>
        <c:auto val="1"/>
        <c:lblAlgn val="ctr"/>
        <c:lblOffset val="100"/>
        <c:tickLblSkip val="1"/>
        <c:tickMarkSkip val="1"/>
      </c:catAx>
      <c:valAx>
        <c:axId val="75261056"/>
        <c:scaling>
          <c:orientation val="minMax"/>
          <c:max val="125"/>
          <c:min val="90"/>
        </c:scaling>
        <c:axPos val="l"/>
        <c:numFmt formatCode="General" sourceLinked="1"/>
        <c:tickLblPos val="none"/>
        <c:spPr>
          <a:ln w="9528">
            <a:noFill/>
          </a:ln>
        </c:spPr>
        <c:crossAx val="35847552"/>
        <c:crosses val="autoZero"/>
        <c:crossBetween val="between"/>
      </c:valAx>
      <c:spPr>
        <a:noFill/>
        <a:ln w="25407">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6.4566929133858628E-2"/>
          <c:y val="0.85477178423236511"/>
          <c:w val="0.89448818897637616"/>
          <c:h val="0.1037344398340249"/>
        </c:manualLayout>
      </c:layout>
      <c:spPr>
        <a:solidFill>
          <a:srgbClr val="FFFFFF"/>
        </a:solidFill>
        <a:ln w="25407">
          <a:noFill/>
        </a:ln>
      </c:spPr>
      <c:txPr>
        <a:bodyPr/>
        <a:lstStyle/>
        <a:p>
          <a:pPr>
            <a:defRPr sz="1000" b="0" i="1"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40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9383561643835614E-2"/>
          <c:y val="6.9306930693069424E-2"/>
          <c:w val="0.92123287671232856"/>
          <c:h val="0.78217821782178265"/>
        </c:manualLayout>
      </c:layout>
      <c:lineChart>
        <c:grouping val="standard"/>
        <c:ser>
          <c:idx val="1"/>
          <c:order val="0"/>
          <c:tx>
            <c:strRef>
              <c:f>Sheet1!$A$2</c:f>
              <c:strCache>
                <c:ptCount val="1"/>
                <c:pt idx="0">
                  <c:v>2011 рік</c:v>
                </c:pt>
              </c:strCache>
            </c:strRef>
          </c:tx>
          <c:spPr>
            <a:ln w="38100">
              <a:solidFill>
                <a:srgbClr val="000080"/>
              </a:solidFill>
              <a:prstDash val="solid"/>
            </a:ln>
          </c:spPr>
          <c:marker>
            <c:symbol val="square"/>
            <c:size val="5"/>
            <c:spPr>
              <a:solidFill>
                <a:srgbClr val="CCFFFF"/>
              </a:solidFill>
              <a:ln>
                <a:solidFill>
                  <a:srgbClr val="0000FF"/>
                </a:solidFill>
                <a:prstDash val="solid"/>
              </a:ln>
            </c:spPr>
          </c:marker>
          <c:dLbls>
            <c:dLbl>
              <c:idx val="0"/>
              <c:layout>
                <c:manualLayout>
                  <c:x val="-1.1384170540180313E-2"/>
                  <c:y val="-6.6429995161837965E-2"/>
                </c:manualLayout>
              </c:layout>
              <c:dLblPos val="r"/>
              <c:showVal val="1"/>
            </c:dLbl>
            <c:dLbl>
              <c:idx val="1"/>
              <c:layout>
                <c:manualLayout>
                  <c:x val="-2.4321368182773737E-2"/>
                  <c:y val="8.0435116932372666E-2"/>
                </c:manualLayout>
              </c:layout>
              <c:tx>
                <c:rich>
                  <a:bodyPr/>
                  <a:lstStyle/>
                  <a:p>
                    <a:r>
                      <a:rPr lang="ru-RU"/>
                      <a:t>99,9</a:t>
                    </a:r>
                  </a:p>
                </c:rich>
              </c:tx>
              <c:dLblPos val="r"/>
            </c:dLbl>
            <c:dLbl>
              <c:idx val="2"/>
              <c:layout>
                <c:manualLayout>
                  <c:x val="-5.2669524729476572E-2"/>
                  <c:y val="-8.7768641315215015E-2"/>
                </c:manualLayout>
              </c:layout>
              <c:dLblPos val="r"/>
              <c:showVal val="1"/>
            </c:dLbl>
            <c:dLbl>
              <c:idx val="3"/>
              <c:layout>
                <c:manualLayout>
                  <c:x val="-5.7045078536453485E-2"/>
                  <c:y val="-8.6627914970404007E-2"/>
                </c:manualLayout>
              </c:layout>
              <c:tx>
                <c:rich>
                  <a:bodyPr/>
                  <a:lstStyle/>
                  <a:p>
                    <a:r>
                      <a:rPr lang="ru-RU"/>
                      <a:t>142,6</a:t>
                    </a:r>
                  </a:p>
                </c:rich>
              </c:tx>
              <c:dLblPos val="r"/>
            </c:dLbl>
            <c:dLbl>
              <c:idx val="4"/>
              <c:layout>
                <c:manualLayout>
                  <c:x val="-3.9160358370827694E-2"/>
                  <c:y val="-9.2879510606740129E-2"/>
                </c:manualLayout>
              </c:layout>
              <c:tx>
                <c:rich>
                  <a:bodyPr/>
                  <a:lstStyle/>
                  <a:p>
                    <a:r>
                      <a:rPr lang="ru-RU"/>
                      <a:t>150,4</a:t>
                    </a:r>
                  </a:p>
                </c:rich>
              </c:tx>
              <c:dLblPos val="r"/>
            </c:dLbl>
            <c:dLbl>
              <c:idx val="5"/>
              <c:layout>
                <c:manualLayout>
                  <c:x val="-3.8398925876434425E-2"/>
                  <c:y val="-8.0338228705379225E-2"/>
                </c:manualLayout>
              </c:layout>
              <c:tx>
                <c:rich>
                  <a:bodyPr/>
                  <a:lstStyle/>
                  <a:p>
                    <a:r>
                      <a:rPr lang="ru-RU"/>
                      <a:t>157,4</a:t>
                    </a:r>
                  </a:p>
                </c:rich>
              </c:tx>
              <c:dLblPos val="r"/>
            </c:dLbl>
            <c:dLbl>
              <c:idx val="6"/>
              <c:layout>
                <c:manualLayout>
                  <c:x val="-3.7637670147464691E-2"/>
                  <c:y val="-9.5331251101183581E-2"/>
                </c:manualLayout>
              </c:layout>
              <c:tx>
                <c:rich>
                  <a:bodyPr/>
                  <a:lstStyle/>
                  <a:p>
                    <a:r>
                      <a:rPr lang="ru-RU"/>
                      <a:t>151,4</a:t>
                    </a:r>
                  </a:p>
                </c:rich>
              </c:tx>
              <c:dLblPos val="r"/>
            </c:dLbl>
            <c:dLbl>
              <c:idx val="7"/>
              <c:layout>
                <c:manualLayout>
                  <c:x val="-3.3451580118824605E-2"/>
                  <c:y val="-9.1672438141144966E-2"/>
                </c:manualLayout>
              </c:layout>
              <c:tx>
                <c:rich>
                  <a:bodyPr/>
                  <a:lstStyle/>
                  <a:p>
                    <a:r>
                      <a:rPr lang="ru-RU"/>
                      <a:t>138,6</a:t>
                    </a:r>
                  </a:p>
                </c:rich>
              </c:tx>
              <c:dLblPos val="r"/>
            </c:dLbl>
            <c:dLbl>
              <c:idx val="8"/>
              <c:layout>
                <c:manualLayout>
                  <c:x val="-3.4402476391555269E-2"/>
                  <c:y val="-9.0540843547877753E-2"/>
                </c:manualLayout>
              </c:layout>
              <c:tx>
                <c:rich>
                  <a:bodyPr/>
                  <a:lstStyle/>
                  <a:p>
                    <a:r>
                      <a:rPr lang="ru-RU"/>
                      <a:t>134,1</a:t>
                    </a:r>
                  </a:p>
                </c:rich>
              </c:tx>
              <c:dLblPos val="r"/>
            </c:dLbl>
            <c:dLbl>
              <c:idx val="9"/>
              <c:layout>
                <c:manualLayout>
                  <c:x val="-3.7065701431408866E-2"/>
                  <c:y val="-8.1337912868336193E-2"/>
                </c:manualLayout>
              </c:layout>
              <c:tx>
                <c:rich>
                  <a:bodyPr/>
                  <a:lstStyle/>
                  <a:p>
                    <a:r>
                      <a:rPr lang="ru-RU"/>
                      <a:t>136,0</a:t>
                    </a:r>
                  </a:p>
                </c:rich>
              </c:tx>
              <c:dLblPos val="r"/>
            </c:dLbl>
            <c:dLbl>
              <c:idx val="10"/>
              <c:layout>
                <c:manualLayout>
                  <c:x val="-3.8016597704139225E-2"/>
                  <c:y val="-8.9437712766318511E-2"/>
                </c:manualLayout>
              </c:layout>
              <c:tx>
                <c:rich>
                  <a:bodyPr/>
                  <a:lstStyle/>
                  <a:p>
                    <a:r>
                      <a:rPr lang="ru-RU"/>
                      <a:t>138,9</a:t>
                    </a:r>
                  </a:p>
                </c:rich>
              </c:tx>
              <c:dLblPos val="r"/>
            </c:dLbl>
            <c:dLbl>
              <c:idx val="11"/>
              <c:layout>
                <c:manualLayout>
                  <c:x val="6.2408031281326634E-4"/>
                  <c:y val="-8.7033481397928381E-2"/>
                </c:manualLayout>
              </c:layout>
              <c:tx>
                <c:rich>
                  <a:bodyPr/>
                  <a:lstStyle/>
                  <a:p>
                    <a:r>
                      <a:rPr lang="ru-RU"/>
                      <a:t>135,9</a:t>
                    </a:r>
                  </a:p>
                </c:rich>
              </c:tx>
              <c:dLblPos val="r"/>
            </c:dLbl>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  січень</c:v>
                </c:pt>
                <c:pt idx="1">
                  <c:v>  лютий</c:v>
                </c:pt>
                <c:pt idx="2">
                  <c:v>березень</c:v>
                </c:pt>
                <c:pt idx="3">
                  <c:v>  квітень</c:v>
                </c:pt>
                <c:pt idx="4">
                  <c:v>травень</c:v>
                </c:pt>
                <c:pt idx="5">
                  <c:v>червень</c:v>
                </c:pt>
                <c:pt idx="6">
                  <c:v>липень </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formatCode="0.0">
                  <c:v>117.4</c:v>
                </c:pt>
                <c:pt idx="1">
                  <c:v>99.9</c:v>
                </c:pt>
                <c:pt idx="2" formatCode="0.0">
                  <c:v>115.2</c:v>
                </c:pt>
                <c:pt idx="3">
                  <c:v>142.6</c:v>
                </c:pt>
                <c:pt idx="4">
                  <c:v>150.4</c:v>
                </c:pt>
                <c:pt idx="5">
                  <c:v>157.4</c:v>
                </c:pt>
                <c:pt idx="6">
                  <c:v>151.4</c:v>
                </c:pt>
                <c:pt idx="7">
                  <c:v>138.6</c:v>
                </c:pt>
                <c:pt idx="8" formatCode="0.0">
                  <c:v>134.1</c:v>
                </c:pt>
                <c:pt idx="9" formatCode="0.0">
                  <c:v>136</c:v>
                </c:pt>
                <c:pt idx="10">
                  <c:v>138.9</c:v>
                </c:pt>
                <c:pt idx="11" formatCode="0.0">
                  <c:v>135.9</c:v>
                </c:pt>
              </c:numCache>
            </c:numRef>
          </c:val>
        </c:ser>
        <c:ser>
          <c:idx val="2"/>
          <c:order val="1"/>
          <c:tx>
            <c:strRef>
              <c:f>Sheet1!$A$3</c:f>
              <c:strCache>
                <c:ptCount val="1"/>
                <c:pt idx="0">
                  <c:v>2012 рік</c:v>
                </c:pt>
              </c:strCache>
            </c:strRef>
          </c:tx>
          <c:spPr>
            <a:ln w="38100">
              <a:solidFill>
                <a:srgbClr val="008000"/>
              </a:solidFill>
              <a:prstDash val="solid"/>
            </a:ln>
          </c:spPr>
          <c:marker>
            <c:symbol val="circle"/>
            <c:size val="5"/>
            <c:spPr>
              <a:solidFill>
                <a:srgbClr val="CCFFCC"/>
              </a:solidFill>
              <a:ln>
                <a:solidFill>
                  <a:srgbClr val="008000"/>
                </a:solidFill>
                <a:prstDash val="solid"/>
              </a:ln>
            </c:spPr>
          </c:marker>
          <c:dLbls>
            <c:dLbl>
              <c:idx val="0"/>
              <c:layout>
                <c:manualLayout>
                  <c:x val="-7.9595130059337028E-3"/>
                  <c:y val="2.6469639119600152E-2"/>
                </c:manualLayout>
              </c:layout>
              <c:tx>
                <c:rich>
                  <a:bodyPr/>
                  <a:lstStyle/>
                  <a:p>
                    <a:r>
                      <a:rPr lang="ru-RU"/>
                      <a:t>78,7</a:t>
                    </a:r>
                  </a:p>
                </c:rich>
              </c:tx>
              <c:dLblPos val="r"/>
            </c:dLbl>
            <c:dLbl>
              <c:idx val="1"/>
              <c:layout>
                <c:manualLayout>
                  <c:x val="-3.2883012018390223E-2"/>
                  <c:y val="-9.4133805452567526E-2"/>
                </c:manualLayout>
              </c:layout>
              <c:tx>
                <c:rich>
                  <a:bodyPr/>
                  <a:lstStyle/>
                  <a:p>
                    <a:r>
                      <a:rPr lang="ru-RU"/>
                      <a:t>107,7</a:t>
                    </a:r>
                  </a:p>
                </c:rich>
              </c:tx>
              <c:dLblPos val="r"/>
            </c:dLbl>
            <c:dLbl>
              <c:idx val="2"/>
              <c:layout>
                <c:manualLayout>
                  <c:x val="-3.0409250756873951E-2"/>
                  <c:y val="7.1231691187396584E-2"/>
                </c:manualLayout>
              </c:layout>
              <c:tx>
                <c:rich>
                  <a:bodyPr/>
                  <a:lstStyle/>
                  <a:p>
                    <a:r>
                      <a:rPr lang="ru-RU"/>
                      <a:t>98,0</a:t>
                    </a:r>
                  </a:p>
                </c:rich>
              </c:tx>
              <c:dLblPos val="r"/>
            </c:dLbl>
            <c:dLbl>
              <c:idx val="3"/>
              <c:layout>
                <c:manualLayout>
                  <c:x val="-3.4784804563850802E-2"/>
                  <c:y val="8.35089439085233E-2"/>
                </c:manualLayout>
              </c:layout>
              <c:dLblPos val="r"/>
              <c:showVal val="1"/>
            </c:dLbl>
            <c:dLbl>
              <c:idx val="4"/>
              <c:layout>
                <c:manualLayout>
                  <c:x val="-3.2311043302334592E-2"/>
                  <c:y val="8.4753611937370729E-2"/>
                </c:manualLayout>
              </c:layout>
              <c:dLblPos val="r"/>
              <c:showVal val="1"/>
            </c:dLbl>
            <c:dLbl>
              <c:idx val="5"/>
              <c:layout>
                <c:manualLayout>
                  <c:x val="-3.6686597109311415E-2"/>
                  <c:y val="8.5979234651874917E-2"/>
                </c:manualLayout>
              </c:layout>
              <c:dLblPos val="r"/>
              <c:showVal val="1"/>
            </c:dLbl>
            <c:dLbl>
              <c:idx val="6"/>
              <c:layout>
                <c:manualLayout>
                  <c:x val="-3.4213012613217381E-2"/>
                  <c:y val="0"/>
                </c:manualLayout>
              </c:layout>
              <c:spPr>
                <a:noFill/>
                <a:ln w="25398">
                  <a:noFill/>
                </a:ln>
              </c:spPr>
              <c:txPr>
                <a:bodyPr/>
                <a:lstStyle/>
                <a:p>
                  <a:pPr>
                    <a:defRPr sz="950" b="0" i="0" u="none" strike="noStrike" baseline="0">
                      <a:solidFill>
                        <a:srgbClr val="000000"/>
                      </a:solidFill>
                      <a:latin typeface="Times New Roman"/>
                      <a:ea typeface="Times New Roman"/>
                      <a:cs typeface="Times New Roman"/>
                    </a:defRPr>
                  </a:pPr>
                  <a:endParaRPr lang="ru-RU"/>
                </a:p>
              </c:txPr>
              <c:dLblPos val="r"/>
              <c:showVal val="1"/>
            </c:dLbl>
            <c:dLbl>
              <c:idx val="7"/>
              <c:layout>
                <c:manualLayout>
                  <c:x val="-2.3177607516084876E-2"/>
                  <c:y val="0"/>
                </c:manualLayout>
              </c:layout>
              <c:tx>
                <c:rich>
                  <a:bodyPr/>
                  <a:lstStyle/>
                  <a:p>
                    <a:pPr>
                      <a:defRPr sz="950" b="0" i="0" u="none" strike="noStrike" baseline="0">
                        <a:solidFill>
                          <a:srgbClr val="000000"/>
                        </a:solidFill>
                        <a:latin typeface="Times New Roman"/>
                        <a:ea typeface="Times New Roman"/>
                        <a:cs typeface="Times New Roman"/>
                      </a:defRPr>
                    </a:pPr>
                    <a:r>
                      <a:rPr lang="ru-RU"/>
                      <a:t>138,6</a:t>
                    </a:r>
                  </a:p>
                </c:rich>
              </c:tx>
              <c:spPr>
                <a:noFill/>
                <a:ln w="25398">
                  <a:noFill/>
                </a:ln>
              </c:spPr>
              <c:dLblPos val="r"/>
            </c:dLbl>
            <c:dLbl>
              <c:idx val="8"/>
              <c:layout>
                <c:manualLayout>
                  <c:x val="-2.9265490090184983E-2"/>
                  <c:y val="0"/>
                </c:manualLayout>
              </c:layout>
              <c:tx>
                <c:rich>
                  <a:bodyPr/>
                  <a:lstStyle/>
                  <a:p>
                    <a:pPr>
                      <a:defRPr sz="950" b="0" i="0" u="none" strike="noStrike" baseline="0">
                        <a:solidFill>
                          <a:srgbClr val="000000"/>
                        </a:solidFill>
                        <a:latin typeface="Times New Roman"/>
                        <a:ea typeface="Times New Roman"/>
                        <a:cs typeface="Times New Roman"/>
                      </a:defRPr>
                    </a:pPr>
                    <a:r>
                      <a:rPr lang="ru-RU"/>
                      <a:t>133,9</a:t>
                    </a:r>
                  </a:p>
                </c:rich>
              </c:tx>
              <c:spPr>
                <a:noFill/>
                <a:ln w="25398">
                  <a:noFill/>
                </a:ln>
              </c:spPr>
              <c:dLblPos val="r"/>
            </c:dLbl>
            <c:dLbl>
              <c:idx val="9"/>
              <c:layout>
                <c:manualLayout>
                  <c:x val="-3.3641043897161396E-2"/>
                  <c:y val="0"/>
                </c:manualLayout>
              </c:layout>
              <c:spPr>
                <a:noFill/>
                <a:ln w="25398">
                  <a:noFill/>
                </a:ln>
              </c:spPr>
              <c:txPr>
                <a:bodyPr/>
                <a:lstStyle/>
                <a:p>
                  <a:pPr>
                    <a:defRPr sz="950" b="0" i="0" u="none" strike="noStrike" baseline="0">
                      <a:solidFill>
                        <a:srgbClr val="000000"/>
                      </a:solidFill>
                      <a:latin typeface="Times New Roman"/>
                      <a:ea typeface="Times New Roman"/>
                      <a:cs typeface="Times New Roman"/>
                    </a:defRPr>
                  </a:pPr>
                  <a:endParaRPr lang="ru-RU"/>
                </a:p>
              </c:txPr>
              <c:dLblPos val="r"/>
              <c:showVal val="1"/>
            </c:dLbl>
            <c:dLbl>
              <c:idx val="10"/>
              <c:layout>
                <c:manualLayout>
                  <c:x val="-3.8016597704139211E-2"/>
                  <c:y val="0"/>
                </c:manualLayout>
              </c:layout>
              <c:spPr>
                <a:noFill/>
                <a:ln w="25398">
                  <a:noFill/>
                </a:ln>
              </c:spPr>
              <c:txPr>
                <a:bodyPr/>
                <a:lstStyle/>
                <a:p>
                  <a:pPr>
                    <a:defRPr sz="950" b="0" i="0" u="none" strike="noStrike" baseline="0">
                      <a:solidFill>
                        <a:srgbClr val="000000"/>
                      </a:solidFill>
                      <a:latin typeface="Times New Roman"/>
                      <a:ea typeface="Times New Roman"/>
                      <a:cs typeface="Times New Roman"/>
                    </a:defRPr>
                  </a:pPr>
                  <a:endParaRPr lang="ru-RU"/>
                </a:p>
              </c:txPr>
              <c:dLblPos val="r"/>
              <c:showVal val="1"/>
            </c:dLbl>
            <c:dLbl>
              <c:idx val="11"/>
              <c:layout>
                <c:manualLayout>
                  <c:x val="-3.5542836442622981E-2"/>
                  <c:y val="0"/>
                </c:manualLayout>
              </c:layout>
              <c:spPr>
                <a:noFill/>
                <a:ln w="25398">
                  <a:noFill/>
                </a:ln>
              </c:spPr>
              <c:txPr>
                <a:bodyPr/>
                <a:lstStyle/>
                <a:p>
                  <a:pPr>
                    <a:defRPr sz="950" b="0" i="0" u="none" strike="noStrike" baseline="0">
                      <a:solidFill>
                        <a:srgbClr val="000000"/>
                      </a:solidFill>
                      <a:latin typeface="Times New Roman"/>
                      <a:ea typeface="Times New Roman"/>
                      <a:cs typeface="Times New Roman"/>
                    </a:defRPr>
                  </a:pPr>
                  <a:endParaRPr lang="ru-RU"/>
                </a:p>
              </c:txPr>
              <c:dLblPos val="r"/>
              <c:showVal val="1"/>
            </c:dLbl>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  січень</c:v>
                </c:pt>
                <c:pt idx="1">
                  <c:v>  лютий</c:v>
                </c:pt>
                <c:pt idx="2">
                  <c:v>березень</c:v>
                </c:pt>
                <c:pt idx="3">
                  <c:v>  квітень</c:v>
                </c:pt>
                <c:pt idx="4">
                  <c:v>травень</c:v>
                </c:pt>
                <c:pt idx="5">
                  <c:v>червень</c:v>
                </c:pt>
                <c:pt idx="6">
                  <c:v>липень </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78.7</c:v>
                </c:pt>
                <c:pt idx="1">
                  <c:v>107.7</c:v>
                </c:pt>
                <c:pt idx="2" formatCode="0.0">
                  <c:v>98</c:v>
                </c:pt>
                <c:pt idx="3">
                  <c:v>104.3</c:v>
                </c:pt>
                <c:pt idx="4">
                  <c:v>115.1</c:v>
                </c:pt>
                <c:pt idx="5">
                  <c:v>114.6</c:v>
                </c:pt>
              </c:numCache>
            </c:numRef>
          </c:val>
        </c:ser>
        <c:dLbls>
          <c:showVal val="1"/>
        </c:dLbls>
        <c:marker val="1"/>
        <c:axId val="39846656"/>
        <c:axId val="39848192"/>
      </c:lineChart>
      <c:catAx>
        <c:axId val="39846656"/>
        <c:scaling>
          <c:orientation val="minMax"/>
        </c:scaling>
        <c:axPos val="b"/>
        <c:numFmt formatCode="@" sourceLinked="0"/>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9848192"/>
        <c:crossesAt val="40"/>
        <c:auto val="1"/>
        <c:lblAlgn val="ctr"/>
        <c:lblOffset val="100"/>
        <c:tickLblSkip val="1"/>
        <c:tickMarkSkip val="1"/>
      </c:catAx>
      <c:valAx>
        <c:axId val="39848192"/>
        <c:scaling>
          <c:orientation val="minMax"/>
          <c:max val="165"/>
          <c:min val="60"/>
        </c:scaling>
        <c:axPos val="l"/>
        <c:numFmt formatCode="0.0" sourceLinked="1"/>
        <c:tickLblPos val="none"/>
        <c:spPr>
          <a:ln w="9524">
            <a:noFill/>
          </a:ln>
        </c:spPr>
        <c:crossAx val="39846656"/>
        <c:crosses val="autoZero"/>
        <c:crossBetween val="midCat"/>
        <c:majorUnit val="15"/>
      </c:valAx>
      <c:spPr>
        <a:solidFill>
          <a:srgbClr val="FFFFFF"/>
        </a:solidFill>
        <a:ln w="25398">
          <a:noFill/>
        </a:ln>
      </c:spPr>
    </c:plotArea>
    <c:legend>
      <c:legendPos val="r"/>
      <c:layout>
        <c:manualLayout>
          <c:xMode val="edge"/>
          <c:yMode val="edge"/>
          <c:x val="0.76027397260274165"/>
          <c:y val="0.50990099009900991"/>
          <c:w val="0.1660958904109589"/>
          <c:h val="0.1633663366336634"/>
        </c:manualLayout>
      </c:layout>
      <c:spPr>
        <a:noFill/>
        <a:ln w="25398">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hPercent val="3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col"/>
        <c:grouping val="clustered"/>
        <c:ser>
          <c:idx val="0"/>
          <c:order val="0"/>
          <c:tx>
            <c:strRef>
              <c:f>Лист1!$A$2</c:f>
              <c:strCache>
                <c:ptCount val="1"/>
                <c:pt idx="0">
                  <c:v> І півріччя 2011 року</c:v>
                </c:pt>
              </c:strCache>
            </c:strRef>
          </c:tx>
          <c:spPr>
            <a:gradFill rotWithShape="0">
              <a:gsLst>
                <a:gs pos="0">
                  <a:srgbClr val="9999FF">
                    <a:gamma/>
                    <a:shade val="79216"/>
                    <a:invGamma/>
                  </a:srgbClr>
                </a:gs>
                <a:gs pos="50000">
                  <a:srgbClr val="9999FF"/>
                </a:gs>
                <a:gs pos="100000">
                  <a:srgbClr val="9999FF">
                    <a:gamma/>
                    <a:shade val="79216"/>
                    <a:invGamma/>
                  </a:srgbClr>
                </a:gs>
              </a:gsLst>
              <a:lin ang="0" scaled="1"/>
            </a:gradFill>
            <a:ln w="25384">
              <a:noFill/>
            </a:ln>
          </c:spPr>
          <c:dLbls>
            <c:dLbl>
              <c:idx val="0"/>
              <c:layout>
                <c:manualLayout>
                  <c:x val="-2.1342908697933559E-2"/>
                  <c:y val="-1.9405009318073194E-2"/>
                </c:manualLayout>
              </c:layout>
              <c:tx>
                <c:rich>
                  <a:bodyPr/>
                  <a:lstStyle/>
                  <a:p>
                    <a:r>
                      <a:rPr lang="ru-RU" sz="1000"/>
                      <a:t>12574</a:t>
                    </a:r>
                  </a:p>
                </c:rich>
              </c:tx>
            </c:dLbl>
            <c:dLbl>
              <c:idx val="1"/>
              <c:layout>
                <c:manualLayout>
                  <c:x val="-9.1295075738261205E-3"/>
                  <c:y val="-1.2430084453612981E-2"/>
                </c:manualLayout>
              </c:layout>
              <c:showVal val="1"/>
            </c:dLbl>
            <c:dLbl>
              <c:idx val="2"/>
              <c:layout>
                <c:manualLayout>
                  <c:x val="-6.0315311536549105E-3"/>
                  <c:y val="-1.1682450348053727E-2"/>
                </c:manualLayout>
              </c:layout>
              <c:showVal val="1"/>
            </c:dLbl>
            <c:dLbl>
              <c:idx val="3"/>
              <c:layout>
                <c:manualLayout>
                  <c:x val="8.7332764206646384E-3"/>
                  <c:y val="-1.2214631542587551E-2"/>
                </c:manualLayout>
              </c:layout>
              <c:showVal val="1"/>
            </c:dLbl>
            <c:dLbl>
              <c:idx val="4"/>
              <c:layout>
                <c:manualLayout>
                  <c:x val="2.0569543388233791E-2"/>
                  <c:y val="-1.255956081607464E-3"/>
                </c:manualLayout>
              </c:layout>
              <c:showVal val="1"/>
            </c:dLbl>
            <c:dLbl>
              <c:idx val="5"/>
              <c:layout>
                <c:manualLayout>
                  <c:x val="2.7000853141738383E-2"/>
                  <c:y val="1.4760254798515606E-3"/>
                </c:manualLayout>
              </c:layout>
              <c:showVal val="1"/>
            </c:dLbl>
            <c:spPr>
              <a:noFill/>
              <a:ln w="2538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Лист1!$B$1:$G$1</c:f>
              <c:strCache>
                <c:ptCount val="6"/>
                <c:pt idx="0">
                  <c:v>Збір - всього</c:v>
                </c:pt>
                <c:pt idx="1">
                  <c:v>Податок на доходи фізичних осіб</c:v>
                </c:pt>
                <c:pt idx="2">
                  <c:v>Податок на додану вартість</c:v>
                </c:pt>
                <c:pt idx="3">
                  <c:v>Податок на прибуток підприємств</c:v>
                </c:pt>
                <c:pt idx="4">
                  <c:v>Плата за землю</c:v>
                </c:pt>
                <c:pt idx="5">
                  <c:v>Акцизний податок</c:v>
                </c:pt>
              </c:strCache>
            </c:strRef>
          </c:cat>
          <c:val>
            <c:numRef>
              <c:f>Лист1!$B$2:$G$2</c:f>
              <c:numCache>
                <c:formatCode>General</c:formatCode>
                <c:ptCount val="6"/>
                <c:pt idx="0">
                  <c:v>12574.6</c:v>
                </c:pt>
                <c:pt idx="1">
                  <c:v>3252</c:v>
                </c:pt>
                <c:pt idx="2">
                  <c:v>4133</c:v>
                </c:pt>
                <c:pt idx="3">
                  <c:v>3571</c:v>
                </c:pt>
                <c:pt idx="4">
                  <c:v>542</c:v>
                </c:pt>
                <c:pt idx="5">
                  <c:v>216</c:v>
                </c:pt>
              </c:numCache>
            </c:numRef>
          </c:val>
        </c:ser>
        <c:ser>
          <c:idx val="1"/>
          <c:order val="1"/>
          <c:tx>
            <c:strRef>
              <c:f>Лист1!$A$3</c:f>
              <c:strCache>
                <c:ptCount val="1"/>
                <c:pt idx="0">
                  <c:v> І півріччя 2012 року</c:v>
                </c:pt>
              </c:strCache>
            </c:strRef>
          </c:tx>
          <c:spPr>
            <a:gradFill rotWithShape="0">
              <a:gsLst>
                <a:gs pos="0">
                  <a:srgbClr val="800080"/>
                </a:gs>
                <a:gs pos="50000">
                  <a:srgbClr val="800080">
                    <a:gamma/>
                    <a:tint val="63529"/>
                    <a:invGamma/>
                  </a:srgbClr>
                </a:gs>
                <a:gs pos="100000">
                  <a:srgbClr val="800080"/>
                </a:gs>
              </a:gsLst>
              <a:lin ang="0" scaled="1"/>
            </a:gradFill>
            <a:ln w="25384">
              <a:noFill/>
            </a:ln>
          </c:spPr>
          <c:dLbls>
            <c:dLbl>
              <c:idx val="0"/>
              <c:layout>
                <c:manualLayout>
                  <c:x val="1.5622439820884241E-2"/>
                  <c:y val="-2.3508286515616594E-2"/>
                </c:manualLayout>
              </c:layout>
              <c:showVal val="1"/>
            </c:dLbl>
            <c:dLbl>
              <c:idx val="1"/>
              <c:layout>
                <c:manualLayout>
                  <c:x val="1.412537345511986E-2"/>
                  <c:y val="-1.235193572435145E-2"/>
                </c:manualLayout>
              </c:layout>
              <c:showVal val="1"/>
            </c:dLbl>
            <c:dLbl>
              <c:idx val="2"/>
              <c:layout>
                <c:manualLayout>
                  <c:x val="2.2223349875291423E-2"/>
                  <c:y val="-1.2676937056091298E-2"/>
                </c:manualLayout>
              </c:layout>
              <c:showVal val="1"/>
            </c:dLbl>
            <c:dLbl>
              <c:idx val="3"/>
              <c:layout>
                <c:manualLayout>
                  <c:x val="2.6988157449610656E-2"/>
                  <c:y val="-9.2534833874823377E-3"/>
                </c:manualLayout>
              </c:layout>
              <c:showVal val="1"/>
            </c:dLbl>
            <c:dLbl>
              <c:idx val="4"/>
              <c:layout>
                <c:manualLayout>
                  <c:x val="2.7157757750513472E-2"/>
                  <c:y val="-8.9017083244640194E-3"/>
                </c:manualLayout>
              </c:layout>
              <c:showVal val="1"/>
            </c:dLbl>
            <c:dLbl>
              <c:idx val="5"/>
              <c:layout>
                <c:manualLayout>
                  <c:x val="3.5255898658166133E-2"/>
                  <c:y val="1.5356703684132908E-3"/>
                </c:manualLayout>
              </c:layout>
              <c:showVal val="1"/>
            </c:dLbl>
            <c:spPr>
              <a:noFill/>
              <a:ln w="2538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Лист1!$B$1:$G$1</c:f>
              <c:strCache>
                <c:ptCount val="6"/>
                <c:pt idx="0">
                  <c:v>Збір - всього</c:v>
                </c:pt>
                <c:pt idx="1">
                  <c:v>Податок на доходи фізичних осіб</c:v>
                </c:pt>
                <c:pt idx="2">
                  <c:v>Податок на додану вартість</c:v>
                </c:pt>
                <c:pt idx="3">
                  <c:v>Податок на прибуток підприємств</c:v>
                </c:pt>
                <c:pt idx="4">
                  <c:v>Плата за землю</c:v>
                </c:pt>
                <c:pt idx="5">
                  <c:v>Акцизний податок</c:v>
                </c:pt>
              </c:strCache>
            </c:strRef>
          </c:cat>
          <c:val>
            <c:numRef>
              <c:f>Лист1!$B$3:$G$3</c:f>
              <c:numCache>
                <c:formatCode>0</c:formatCode>
                <c:ptCount val="6"/>
                <c:pt idx="0">
                  <c:v>13651.8</c:v>
                </c:pt>
                <c:pt idx="1">
                  <c:v>3803</c:v>
                </c:pt>
                <c:pt idx="2">
                  <c:v>4658</c:v>
                </c:pt>
                <c:pt idx="3">
                  <c:v>3329</c:v>
                </c:pt>
                <c:pt idx="4">
                  <c:v>592</c:v>
                </c:pt>
                <c:pt idx="5">
                  <c:v>139</c:v>
                </c:pt>
              </c:numCache>
            </c:numRef>
          </c:val>
        </c:ser>
        <c:dLbls>
          <c:showVal val="1"/>
        </c:dLbls>
        <c:gapWidth val="100"/>
        <c:shape val="box"/>
        <c:axId val="39529856"/>
        <c:axId val="39535744"/>
        <c:axId val="0"/>
      </c:bar3DChart>
      <c:catAx>
        <c:axId val="39529856"/>
        <c:scaling>
          <c:orientation val="minMax"/>
        </c:scaling>
        <c:axPos val="b"/>
        <c:numFmt formatCode="General" sourceLinked="1"/>
        <c:tickLblPos val="low"/>
        <c:spPr>
          <a:ln w="3173">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39535744"/>
        <c:crosses val="autoZero"/>
        <c:auto val="1"/>
        <c:lblAlgn val="ctr"/>
        <c:lblOffset val="100"/>
        <c:tickLblSkip val="1"/>
        <c:tickMarkSkip val="1"/>
      </c:catAx>
      <c:valAx>
        <c:axId val="39535744"/>
        <c:scaling>
          <c:orientation val="minMax"/>
        </c:scaling>
        <c:delete val="1"/>
        <c:axPos val="l"/>
        <c:numFmt formatCode="General" sourceLinked="1"/>
        <c:tickLblPos val="none"/>
        <c:crossAx val="39529856"/>
        <c:crosses val="autoZero"/>
        <c:crossBetween val="between"/>
      </c:valAx>
      <c:spPr>
        <a:noFill/>
        <a:ln w="25384">
          <a:noFill/>
        </a:ln>
      </c:spPr>
    </c:plotArea>
    <c:legend>
      <c:legendPos val="b"/>
      <c:layout>
        <c:manualLayout>
          <c:xMode val="edge"/>
          <c:yMode val="edge"/>
          <c:x val="0.12666666666666668"/>
          <c:y val="0.93203883495145634"/>
          <c:w val="0.71500000000000064"/>
          <c:h val="6.7961165048543812E-2"/>
        </c:manualLayout>
      </c:layout>
      <c:spPr>
        <a:solidFill>
          <a:srgbClr val="FFFFFF"/>
        </a:solidFill>
        <a:ln w="25384">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hPercent val="34"/>
      <c:rotY val="30"/>
      <c:depthPercent val="100"/>
      <c:rAngAx val="1"/>
    </c:view3D>
    <c:floor>
      <c:spPr>
        <a:blipFill dpi="0" rotWithShape="0">
          <a:blip xmlns:r="http://schemas.openxmlformats.org/officeDocument/2006/relationships" r:embed="rId1"/>
          <a:srcRect/>
          <a:tile tx="0" ty="0" sx="100000" sy="100000" flip="none" algn="tl"/>
        </a:blipFill>
        <a:ln w="3175">
          <a:solidFill>
            <a:srgbClr val="000000"/>
          </a:solidFill>
          <a:prstDash val="solid"/>
        </a:ln>
      </c:spPr>
    </c:floor>
    <c:sideWall>
      <c:spPr>
        <a:noFill/>
        <a:ln w="12700">
          <a:noFill/>
          <a:prstDash val="solid"/>
        </a:ln>
      </c:spPr>
    </c:sideWall>
    <c:backWall>
      <c:spPr>
        <a:noFill/>
        <a:ln w="12700">
          <a:noFill/>
          <a:prstDash val="solid"/>
        </a:ln>
      </c:spPr>
    </c:backWall>
    <c:plotArea>
      <c:layout>
        <c:manualLayout>
          <c:layoutTarget val="inner"/>
          <c:xMode val="edge"/>
          <c:yMode val="edge"/>
          <c:x val="9.8182577814915253E-2"/>
          <c:y val="4.6649703138252709E-2"/>
          <c:w val="0.77229997911009074"/>
          <c:h val="0.82071728566435709"/>
        </c:manualLayout>
      </c:layout>
      <c:bar3DChart>
        <c:barDir val="col"/>
        <c:grouping val="clustered"/>
        <c:ser>
          <c:idx val="0"/>
          <c:order val="0"/>
          <c:tx>
            <c:strRef>
              <c:f>Лист1!$B$5</c:f>
              <c:strCache>
                <c:ptCount val="1"/>
                <c:pt idx="0">
                  <c:v>Всього доходів (без трансфертів)</c:v>
                </c:pt>
              </c:strCache>
            </c:strRef>
          </c:tx>
          <c:spPr>
            <a:solidFill>
              <a:srgbClr val="FF99FF"/>
            </a:solidFill>
            <a:ln w="12675">
              <a:solidFill>
                <a:srgbClr val="000000"/>
              </a:solidFill>
              <a:prstDash val="solid"/>
            </a:ln>
          </c:spPr>
          <c:dLbls>
            <c:dLbl>
              <c:idx val="0"/>
              <c:layout>
                <c:manualLayout>
                  <c:x val="7.0019962982287992E-2"/>
                  <c:y val="-3.8162298568232549E-2"/>
                </c:manualLayout>
              </c:layout>
              <c:showVal val="1"/>
            </c:dLbl>
            <c:dLbl>
              <c:idx val="1"/>
              <c:layout>
                <c:manualLayout>
                  <c:x val="5.9393984654691208E-2"/>
                  <c:y val="-3.6060951312799031E-2"/>
                </c:manualLayout>
              </c:layout>
              <c:showVal val="1"/>
            </c:dLbl>
            <c:spPr>
              <a:noFill/>
              <a:ln w="2535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Лист1!$A$6:$A$7</c:f>
              <c:strCache>
                <c:ptCount val="2"/>
                <c:pt idx="0">
                  <c:v>І півріччя 2011 року</c:v>
                </c:pt>
                <c:pt idx="1">
                  <c:v>І півріччя 2012 року</c:v>
                </c:pt>
              </c:strCache>
            </c:strRef>
          </c:cat>
          <c:val>
            <c:numRef>
              <c:f>Лист1!$B$6:$B$7</c:f>
              <c:numCache>
                <c:formatCode>General</c:formatCode>
                <c:ptCount val="2"/>
                <c:pt idx="0">
                  <c:v>4718.9000000000005</c:v>
                </c:pt>
                <c:pt idx="1">
                  <c:v>5497.4</c:v>
                </c:pt>
              </c:numCache>
            </c:numRef>
          </c:val>
        </c:ser>
        <c:ser>
          <c:idx val="1"/>
          <c:order val="1"/>
          <c:tx>
            <c:strRef>
              <c:f>Лист1!$C$5</c:f>
              <c:strCache>
                <c:ptCount val="1"/>
                <c:pt idx="0">
                  <c:v>Трансферти із Держбюджету</c:v>
                </c:pt>
              </c:strCache>
            </c:strRef>
          </c:tx>
          <c:spPr>
            <a:solidFill>
              <a:srgbClr val="0000FF"/>
            </a:solidFill>
            <a:ln w="12675">
              <a:solidFill>
                <a:srgbClr val="000000"/>
              </a:solidFill>
              <a:prstDash val="solid"/>
            </a:ln>
          </c:spPr>
          <c:dLbls>
            <c:dLbl>
              <c:idx val="0"/>
              <c:layout>
                <c:manualLayout>
                  <c:x val="6.4002174958381661E-2"/>
                  <c:y val="-5.1718975612692182E-2"/>
                </c:manualLayout>
              </c:layout>
              <c:showVal val="1"/>
            </c:dLbl>
            <c:dLbl>
              <c:idx val="1"/>
              <c:layout>
                <c:manualLayout>
                  <c:x val="5.6715201146456895E-2"/>
                  <c:y val="-5.6523911167627963E-2"/>
                </c:manualLayout>
              </c:layout>
              <c:showVal val="1"/>
            </c:dLbl>
            <c:spPr>
              <a:noFill/>
              <a:ln w="2535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Лист1!$A$6:$A$7</c:f>
              <c:strCache>
                <c:ptCount val="2"/>
                <c:pt idx="0">
                  <c:v>І півріччя 2011 року</c:v>
                </c:pt>
                <c:pt idx="1">
                  <c:v>І півріччя 2012 року</c:v>
                </c:pt>
              </c:strCache>
            </c:strRef>
          </c:cat>
          <c:val>
            <c:numRef>
              <c:f>Лист1!$C$6:$C$7</c:f>
              <c:numCache>
                <c:formatCode>0.0</c:formatCode>
                <c:ptCount val="2"/>
                <c:pt idx="0" formatCode="General">
                  <c:v>3113.1</c:v>
                </c:pt>
                <c:pt idx="1">
                  <c:v>3465.6</c:v>
                </c:pt>
              </c:numCache>
            </c:numRef>
          </c:val>
        </c:ser>
        <c:dLbls>
          <c:showVal val="1"/>
        </c:dLbls>
        <c:shape val="box"/>
        <c:axId val="40134912"/>
        <c:axId val="40144896"/>
        <c:axId val="0"/>
      </c:bar3DChart>
      <c:catAx>
        <c:axId val="40134912"/>
        <c:scaling>
          <c:orientation val="minMax"/>
        </c:scaling>
        <c:axPos val="b"/>
        <c:numFmt formatCode="General" sourceLinked="1"/>
        <c:tickLblPos val="low"/>
        <c:spPr>
          <a:ln w="3169">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40144896"/>
        <c:crosses val="autoZero"/>
        <c:auto val="1"/>
        <c:lblAlgn val="ctr"/>
        <c:lblOffset val="100"/>
        <c:tickLblSkip val="1"/>
        <c:tickMarkSkip val="1"/>
      </c:catAx>
      <c:valAx>
        <c:axId val="40144896"/>
        <c:scaling>
          <c:orientation val="minMax"/>
        </c:scaling>
        <c:delete val="1"/>
        <c:axPos val="l"/>
        <c:numFmt formatCode="General" sourceLinked="1"/>
        <c:tickLblPos val="none"/>
        <c:crossAx val="40134912"/>
        <c:crosses val="autoZero"/>
        <c:crossBetween val="between"/>
      </c:valAx>
      <c:spPr>
        <a:noFill/>
        <a:ln w="25351">
          <a:noFill/>
        </a:ln>
      </c:spPr>
    </c:plotArea>
    <c:legend>
      <c:legendPos val="b"/>
      <c:layout>
        <c:manualLayout>
          <c:xMode val="edge"/>
          <c:yMode val="edge"/>
          <c:x val="0.80344177211275369"/>
          <c:y val="0.10914289437778039"/>
          <c:w val="0.19491147924119628"/>
          <c:h val="0.35695575165321652"/>
        </c:manualLayout>
      </c:layout>
      <c:spPr>
        <a:solidFill>
          <a:srgbClr val="FFFFFF"/>
        </a:solidFill>
        <a:ln w="25351">
          <a:noFill/>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8" b="0" i="0" u="none" strike="noStrike" baseline="0">
          <a:solidFill>
            <a:srgbClr val="000000"/>
          </a:solidFill>
          <a:latin typeface="Arial Cyr"/>
          <a:ea typeface="Arial Cyr"/>
          <a:cs typeface="Arial Cyr"/>
        </a:defRPr>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876660341556562E-3"/>
          <c:y val="4.5454545454545463E-2"/>
          <c:w val="0.94686907020873079"/>
          <c:h val="0.71212121212121471"/>
        </c:manualLayout>
      </c:layout>
      <c:barChart>
        <c:barDir val="col"/>
        <c:grouping val="clustered"/>
        <c:ser>
          <c:idx val="1"/>
          <c:order val="0"/>
          <c:tx>
            <c:strRef>
              <c:f>ФИН_РЕЗ!$R$9</c:f>
              <c:strCache>
                <c:ptCount val="1"/>
                <c:pt idx="0">
                  <c:v>Прибуток</c:v>
                </c:pt>
              </c:strCache>
            </c:strRef>
          </c:tx>
          <c:spPr>
            <a:solidFill>
              <a:srgbClr val="FFFF00"/>
            </a:solidFill>
            <a:ln w="12712">
              <a:solidFill>
                <a:srgbClr val="000000"/>
              </a:solidFill>
              <a:prstDash val="solid"/>
            </a:ln>
          </c:spPr>
          <c:dLbls>
            <c:dLbl>
              <c:idx val="0"/>
              <c:layout>
                <c:manualLayout>
                  <c:x val="-1.1379669985582109E-2"/>
                  <c:y val="-9.4930118225498728E-3"/>
                </c:manualLayout>
              </c:layout>
              <c:dLblPos val="outEnd"/>
              <c:showVal val="1"/>
            </c:dLbl>
            <c:dLbl>
              <c:idx val="1"/>
              <c:layout>
                <c:manualLayout>
                  <c:x val="-3.3151852092983491E-3"/>
                  <c:y val="-9.7795281557070748E-3"/>
                </c:manualLayout>
              </c:layout>
              <c:dLblPos val="outEnd"/>
              <c:showVal val="1"/>
            </c:dLbl>
            <c:dLbl>
              <c:idx val="2"/>
              <c:layout>
                <c:manualLayout>
                  <c:x val="-1.8894870825122789E-3"/>
                  <c:y val="-1.1870516601325109E-2"/>
                </c:manualLayout>
              </c:layout>
              <c:tx>
                <c:rich>
                  <a:bodyPr/>
                  <a:lstStyle/>
                  <a:p>
                    <a:r>
                      <a:rPr lang="uk-UA" sz="1000"/>
                      <a:t>12296</a:t>
                    </a:r>
                    <a:r>
                      <a:rPr lang="en-US" sz="1000"/>
                      <a:t>,</a:t>
                    </a:r>
                    <a:r>
                      <a:rPr lang="uk-UA" sz="1000"/>
                      <a:t>9</a:t>
                    </a:r>
                    <a:endParaRPr lang="en-US" sz="1000"/>
                  </a:p>
                </c:rich>
              </c:tx>
              <c:dLblPos val="outEnd"/>
              <c:showVal val="1"/>
            </c:dLbl>
            <c:dLbl>
              <c:idx val="3"/>
              <c:layout>
                <c:manualLayout>
                  <c:x val="-3.3124784220114204E-3"/>
                  <c:y val="-1.002179867889302E-2"/>
                </c:manualLayout>
              </c:layout>
              <c:tx>
                <c:rich>
                  <a:bodyPr/>
                  <a:lstStyle/>
                  <a:p>
                    <a:r>
                      <a:rPr lang="uk-UA" sz="1000"/>
                      <a:t>12034,6</a:t>
                    </a:r>
                    <a:endParaRPr lang="en-US" sz="1000"/>
                  </a:p>
                </c:rich>
              </c:tx>
              <c:dLblPos val="outEnd"/>
              <c:showVal val="1"/>
            </c:dLbl>
            <c:dLbl>
              <c:idx val="4"/>
              <c:spPr>
                <a:no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outEnd"/>
              <c:showVal val="1"/>
            </c:dLbl>
            <c:dLbl>
              <c:idx val="5"/>
              <c:spPr>
                <a:no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outEnd"/>
              <c:showVal val="1"/>
            </c:dLbl>
            <c:spPr>
              <a:noFill/>
              <a:ln w="25423">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ФИН_РЕЗ!$S$8:$V$8</c:f>
              <c:numCache>
                <c:formatCode>General</c:formatCode>
                <c:ptCount val="4"/>
              </c:numCache>
            </c:numRef>
          </c:cat>
          <c:val>
            <c:numRef>
              <c:f>ФИН_РЕЗ!$S$9:$V$9</c:f>
              <c:numCache>
                <c:formatCode>0.0</c:formatCode>
                <c:ptCount val="4"/>
                <c:pt idx="0">
                  <c:v>22536</c:v>
                </c:pt>
                <c:pt idx="1">
                  <c:v>31071.7</c:v>
                </c:pt>
                <c:pt idx="2">
                  <c:v>12296.9</c:v>
                </c:pt>
                <c:pt idx="3">
                  <c:v>12034.6</c:v>
                </c:pt>
              </c:numCache>
            </c:numRef>
          </c:val>
        </c:ser>
        <c:ser>
          <c:idx val="0"/>
          <c:order val="1"/>
          <c:tx>
            <c:strRef>
              <c:f>ФИН_РЕЗ!$R$10</c:f>
              <c:strCache>
                <c:ptCount val="1"/>
                <c:pt idx="0">
                  <c:v>Збитки</c:v>
                </c:pt>
              </c:strCache>
            </c:strRef>
          </c:tx>
          <c:spPr>
            <a:solidFill>
              <a:srgbClr val="0033CC"/>
            </a:solidFill>
            <a:ln w="12712">
              <a:solidFill>
                <a:srgbClr val="000000"/>
              </a:solidFill>
              <a:prstDash val="solid"/>
            </a:ln>
          </c:spPr>
          <c:dLbls>
            <c:dLbl>
              <c:idx val="0"/>
              <c:layout>
                <c:manualLayout>
                  <c:x val="-8.1795785537600082E-3"/>
                  <c:y val="6.534800619802059E-3"/>
                </c:manualLayout>
              </c:layout>
              <c:dLblPos val="outEnd"/>
              <c:showVal val="1"/>
            </c:dLbl>
            <c:dLbl>
              <c:idx val="1"/>
              <c:layout>
                <c:manualLayout>
                  <c:x val="-2.0124370659338037E-3"/>
                  <c:y val="2.8662128965884132E-3"/>
                </c:manualLayout>
              </c:layout>
              <c:dLblPos val="outEnd"/>
              <c:showVal val="1"/>
            </c:dLbl>
            <c:dLbl>
              <c:idx val="2"/>
              <c:layout>
                <c:manualLayout>
                  <c:x val="-5.8692885752217503E-4"/>
                  <c:y val="6.983232019120723E-3"/>
                </c:manualLayout>
              </c:layout>
              <c:tx>
                <c:rich>
                  <a:bodyPr/>
                  <a:lstStyle/>
                  <a:p>
                    <a:r>
                      <a:rPr lang="en-US" sz="1000"/>
                      <a:t>-</a:t>
                    </a:r>
                    <a:r>
                      <a:rPr lang="uk-UA" sz="1000"/>
                      <a:t>7687,6</a:t>
                    </a:r>
                    <a:endParaRPr lang="en-US" sz="1000"/>
                  </a:p>
                </c:rich>
              </c:tx>
              <c:dLblPos val="outEnd"/>
              <c:showVal val="1"/>
            </c:dLbl>
            <c:dLbl>
              <c:idx val="3"/>
              <c:layout>
                <c:manualLayout>
                  <c:x val="3.6824895051002248E-3"/>
                  <c:y val="2.9606913764106246E-3"/>
                </c:manualLayout>
              </c:layout>
              <c:tx>
                <c:rich>
                  <a:bodyPr/>
                  <a:lstStyle/>
                  <a:p>
                    <a:r>
                      <a:rPr lang="uk-UA" sz="1000"/>
                      <a:t>-12105</a:t>
                    </a:r>
                    <a:r>
                      <a:rPr lang="en-US" sz="1000"/>
                      <a:t>,</a:t>
                    </a:r>
                    <a:r>
                      <a:rPr lang="uk-UA" sz="1000"/>
                      <a:t>6</a:t>
                    </a:r>
                    <a:endParaRPr lang="en-US" sz="1000"/>
                  </a:p>
                </c:rich>
              </c:tx>
              <c:dLblPos val="outEnd"/>
              <c:showVal val="1"/>
            </c:dLbl>
            <c:dLbl>
              <c:idx val="4"/>
              <c:spPr>
                <a:no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outEnd"/>
              <c:showVal val="1"/>
            </c:dLbl>
            <c:dLbl>
              <c:idx val="5"/>
              <c:spPr>
                <a:no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outEnd"/>
              <c:showVal val="1"/>
            </c:dLbl>
            <c:spPr>
              <a:noFill/>
              <a:ln w="25423">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ФИН_РЕЗ!$S$8:$V$8</c:f>
              <c:numCache>
                <c:formatCode>General</c:formatCode>
                <c:ptCount val="4"/>
              </c:numCache>
            </c:numRef>
          </c:cat>
          <c:val>
            <c:numRef>
              <c:f>ФИН_РЕЗ!$S$10:$V$10</c:f>
              <c:numCache>
                <c:formatCode>0.0</c:formatCode>
                <c:ptCount val="4"/>
                <c:pt idx="0">
                  <c:v>-12174</c:v>
                </c:pt>
                <c:pt idx="1">
                  <c:v>-18515.5</c:v>
                </c:pt>
                <c:pt idx="2">
                  <c:v>-7687.6</c:v>
                </c:pt>
                <c:pt idx="3">
                  <c:v>-12105.6</c:v>
                </c:pt>
              </c:numCache>
            </c:numRef>
          </c:val>
        </c:ser>
        <c:dLbls>
          <c:showVal val="1"/>
        </c:dLbls>
        <c:axId val="39716736"/>
        <c:axId val="39717888"/>
      </c:barChart>
      <c:lineChart>
        <c:grouping val="standard"/>
        <c:ser>
          <c:idx val="2"/>
          <c:order val="2"/>
          <c:tx>
            <c:strRef>
              <c:f>ФИН_РЕЗ!$R$11</c:f>
              <c:strCache>
                <c:ptCount val="1"/>
                <c:pt idx="0">
                  <c:v>Фінансовий результат</c:v>
                </c:pt>
              </c:strCache>
            </c:strRef>
          </c:tx>
          <c:spPr>
            <a:ln w="25423">
              <a:solidFill>
                <a:srgbClr val="008000"/>
              </a:solidFill>
              <a:prstDash val="solid"/>
            </a:ln>
          </c:spPr>
          <c:marker>
            <c:symbol val="triangle"/>
            <c:size val="7"/>
            <c:spPr>
              <a:solidFill>
                <a:srgbClr val="00FF00"/>
              </a:solidFill>
              <a:ln>
                <a:solidFill>
                  <a:srgbClr val="008080"/>
                </a:solidFill>
                <a:prstDash val="solid"/>
              </a:ln>
            </c:spPr>
          </c:marker>
          <c:dPt>
            <c:idx val="1"/>
            <c:spPr>
              <a:ln w="25423">
                <a:solidFill>
                  <a:srgbClr val="339966"/>
                </a:solidFill>
                <a:prstDash val="solid"/>
              </a:ln>
            </c:spPr>
          </c:dPt>
          <c:dPt>
            <c:idx val="2"/>
            <c:spPr>
              <a:ln w="28601">
                <a:noFill/>
              </a:ln>
            </c:spPr>
          </c:dPt>
          <c:dLbls>
            <c:dLbl>
              <c:idx val="0"/>
              <c:layout>
                <c:manualLayout>
                  <c:x val="-1.2594372043260174E-2"/>
                  <c:y val="-5.0003836200815513E-2"/>
                </c:manualLayout>
              </c:layout>
              <c:dLblPos val="r"/>
              <c:showVal val="1"/>
            </c:dLbl>
            <c:dLbl>
              <c:idx val="1"/>
              <c:layout>
                <c:manualLayout>
                  <c:x val="-8.3249536806384496E-3"/>
                  <c:y val="-3.9045649243833191E-2"/>
                </c:manualLayout>
              </c:layout>
              <c:dLblPos val="r"/>
              <c:showVal val="1"/>
            </c:dLbl>
            <c:dLbl>
              <c:idx val="2"/>
              <c:layout>
                <c:manualLayout>
                  <c:x val="-9.7479450201374239E-3"/>
                  <c:y val="-3.3890020448346735E-2"/>
                </c:manualLayout>
              </c:layout>
              <c:tx>
                <c:rich>
                  <a:bodyPr/>
                  <a:lstStyle/>
                  <a:p>
                    <a:r>
                      <a:rPr lang="en-US" sz="1000"/>
                      <a:t>4</a:t>
                    </a:r>
                    <a:r>
                      <a:rPr lang="uk-UA" sz="1000"/>
                      <a:t>609</a:t>
                    </a:r>
                    <a:r>
                      <a:rPr lang="en-US" sz="1000"/>
                      <a:t>,</a:t>
                    </a:r>
                    <a:r>
                      <a:rPr lang="uk-UA" sz="1000"/>
                      <a:t>3</a:t>
                    </a:r>
                    <a:endParaRPr lang="en-US" sz="1000"/>
                  </a:p>
                </c:rich>
              </c:tx>
              <c:dLblPos val="r"/>
              <c:showVal val="1"/>
            </c:dLbl>
            <c:dLbl>
              <c:idx val="3"/>
              <c:layout>
                <c:manualLayout>
                  <c:x val="-9.0867520964915863E-2"/>
                  <c:y val="2.5011541147098068E-2"/>
                </c:manualLayout>
              </c:layout>
              <c:tx>
                <c:rich>
                  <a:bodyPr/>
                  <a:lstStyle/>
                  <a:p>
                    <a:r>
                      <a:rPr lang="en-US" sz="1000"/>
                      <a:t>-</a:t>
                    </a:r>
                    <a:r>
                      <a:rPr lang="uk-UA" sz="1000"/>
                      <a:t>71,0</a:t>
                    </a:r>
                    <a:endParaRPr lang="en-US" sz="1000"/>
                  </a:p>
                </c:rich>
              </c:tx>
              <c:dLblPos val="r"/>
              <c:showVal val="1"/>
            </c:dLbl>
            <c:dLbl>
              <c:idx val="4"/>
              <c:spPr>
                <a:no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r"/>
              <c:showVal val="1"/>
            </c:dLbl>
            <c:dLbl>
              <c:idx val="5"/>
              <c:spPr>
                <a:no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
            <c:spPr>
              <a:noFill/>
              <a:ln w="25423">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ФИН_РЕЗ!$S$8:$V$8</c:f>
              <c:numCache>
                <c:formatCode>General</c:formatCode>
                <c:ptCount val="4"/>
              </c:numCache>
            </c:numRef>
          </c:cat>
          <c:val>
            <c:numRef>
              <c:f>ФИН_РЕЗ!$S$11:$V$11</c:f>
              <c:numCache>
                <c:formatCode>0.0</c:formatCode>
                <c:ptCount val="4"/>
                <c:pt idx="0">
                  <c:v>10362</c:v>
                </c:pt>
                <c:pt idx="1">
                  <c:v>12556.2</c:v>
                </c:pt>
                <c:pt idx="2">
                  <c:v>4609.2999999999993</c:v>
                </c:pt>
                <c:pt idx="3">
                  <c:v>-71</c:v>
                </c:pt>
              </c:numCache>
            </c:numRef>
          </c:val>
        </c:ser>
        <c:dLbls>
          <c:showVal val="1"/>
        </c:dLbls>
        <c:marker val="1"/>
        <c:axId val="39716736"/>
        <c:axId val="39717888"/>
      </c:lineChart>
      <c:catAx>
        <c:axId val="39716736"/>
        <c:scaling>
          <c:orientation val="minMax"/>
        </c:scaling>
        <c:axPos val="b"/>
        <c:numFmt formatCode="General" sourceLinked="1"/>
        <c:majorTickMark val="cross"/>
        <c:tickLblPos val="nextTo"/>
        <c:spPr>
          <a:ln w="3178">
            <a:solidFill>
              <a:srgbClr val="000000"/>
            </a:solidFill>
            <a:prstDash val="solid"/>
          </a:ln>
        </c:spPr>
        <c:txPr>
          <a:bodyPr rot="0" vert="horz"/>
          <a:lstStyle/>
          <a:p>
            <a:pPr>
              <a:defRPr sz="1001" b="1" i="0" u="none" strike="noStrike" baseline="0">
                <a:solidFill>
                  <a:srgbClr val="000000"/>
                </a:solidFill>
                <a:latin typeface="Times New Roman"/>
                <a:ea typeface="Times New Roman"/>
                <a:cs typeface="Times New Roman"/>
              </a:defRPr>
            </a:pPr>
            <a:endParaRPr lang="ru-RU"/>
          </a:p>
        </c:txPr>
        <c:crossAx val="39717888"/>
        <c:crosses val="autoZero"/>
        <c:lblAlgn val="ctr"/>
        <c:lblOffset val="1000"/>
        <c:tickLblSkip val="1"/>
        <c:tickMarkSkip val="1"/>
      </c:catAx>
      <c:valAx>
        <c:axId val="39717888"/>
        <c:scaling>
          <c:orientation val="minMax"/>
        </c:scaling>
        <c:axPos val="l"/>
        <c:numFmt formatCode="0.0" sourceLinked="1"/>
        <c:majorTickMark val="none"/>
        <c:tickLblPos val="none"/>
        <c:spPr>
          <a:ln w="9534">
            <a:noFill/>
          </a:ln>
        </c:spPr>
        <c:crossAx val="39716736"/>
        <c:crosses val="autoZero"/>
        <c:crossBetween val="between"/>
      </c:valAx>
      <c:spPr>
        <a:solidFill>
          <a:srgbClr val="FFFFFF"/>
        </a:solidFill>
        <a:ln w="12712">
          <a:solidFill>
            <a:srgbClr val="FFFFFF"/>
          </a:solidFill>
          <a:prstDash val="solid"/>
        </a:ln>
      </c:spPr>
    </c:plotArea>
    <c:legend>
      <c:legendPos val="b"/>
      <c:layout>
        <c:manualLayout>
          <c:xMode val="edge"/>
          <c:yMode val="edge"/>
          <c:x val="0.10626185958254269"/>
          <c:y val="0.82954545454545703"/>
          <c:w val="0.81783681214421444"/>
          <c:h val="0.12121212121212158"/>
        </c:manualLayout>
      </c:layout>
      <c:spPr>
        <a:solidFill>
          <a:srgbClr val="FFFFFF"/>
        </a:solidFill>
        <a:ln w="25423">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001"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1.3636363636363641E-2"/>
          <c:w val="1"/>
          <c:h val="0.65000000000000224"/>
        </c:manualLayout>
      </c:layout>
      <c:barChart>
        <c:barDir val="col"/>
        <c:grouping val="clustered"/>
        <c:ser>
          <c:idx val="1"/>
          <c:order val="0"/>
          <c:tx>
            <c:strRef>
              <c:f>Лист1!$A$2</c:f>
              <c:strCache>
                <c:ptCount val="1"/>
                <c:pt idx="0">
                  <c:v>Кредитні ресурси, млрд.грн.</c:v>
                </c:pt>
              </c:strCache>
            </c:strRef>
          </c:tx>
          <c:spPr>
            <a:solidFill>
              <a:srgbClr val="6DE3FF"/>
            </a:solidFill>
            <a:ln w="12700">
              <a:solidFill>
                <a:srgbClr val="000000"/>
              </a:solidFill>
              <a:prstDash val="solid"/>
            </a:ln>
          </c:spPr>
          <c:dLbls>
            <c:dLbl>
              <c:idx val="0"/>
              <c:layout>
                <c:manualLayout>
                  <c:x val="5.3167739736186405E-4"/>
                  <c:y val="-4.1336269269911258E-3"/>
                </c:manualLayout>
              </c:layout>
              <c:dLblPos val="outEnd"/>
              <c:showVal val="1"/>
            </c:dLbl>
            <c:dLbl>
              <c:idx val="1"/>
              <c:layout>
                <c:manualLayout>
                  <c:x val="-1.8795900698563343E-3"/>
                  <c:y val="-6.2771683977464734E-3"/>
                </c:manualLayout>
              </c:layout>
              <c:dLblPos val="outEnd"/>
              <c:showVal val="1"/>
            </c:dLbl>
            <c:dLbl>
              <c:idx val="2"/>
              <c:layout>
                <c:manualLayout>
                  <c:x val="2.9425919675156124E-3"/>
                  <c:y val="-2.1560030244972342E-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Лист1!$B$1:$D$1</c:f>
              <c:numCache>
                <c:formatCode>dd/mm/yyyy</c:formatCode>
                <c:ptCount val="3"/>
                <c:pt idx="0">
                  <c:v>40544</c:v>
                </c:pt>
                <c:pt idx="1">
                  <c:v>40909</c:v>
                </c:pt>
                <c:pt idx="2">
                  <c:v>41091</c:v>
                </c:pt>
              </c:numCache>
            </c:numRef>
          </c:cat>
          <c:val>
            <c:numRef>
              <c:f>Лист1!$B$2:$D$2</c:f>
              <c:numCache>
                <c:formatCode>0.0</c:formatCode>
                <c:ptCount val="3"/>
                <c:pt idx="0">
                  <c:v>46.6</c:v>
                </c:pt>
                <c:pt idx="1">
                  <c:v>48.5</c:v>
                </c:pt>
                <c:pt idx="2">
                  <c:v>49.3</c:v>
                </c:pt>
              </c:numCache>
            </c:numRef>
          </c:val>
        </c:ser>
        <c:ser>
          <c:idx val="0"/>
          <c:order val="1"/>
          <c:tx>
            <c:strRef>
              <c:f>Лист1!$A$3</c:f>
              <c:strCache>
                <c:ptCount val="1"/>
                <c:pt idx="0">
                  <c:v>Вклади населення, млрд.грн.</c:v>
                </c:pt>
              </c:strCache>
            </c:strRef>
          </c:tx>
          <c:spPr>
            <a:solidFill>
              <a:schemeClr val="accent3">
                <a:lumMod val="50000"/>
              </a:schemeClr>
            </a:solidFill>
            <a:ln w="12700">
              <a:solidFill>
                <a:srgbClr val="000000"/>
              </a:solidFill>
              <a:prstDash val="solid"/>
            </a:ln>
          </c:spPr>
          <c:dLbls>
            <c:dLbl>
              <c:idx val="0"/>
              <c:layout>
                <c:manualLayout>
                  <c:x val="-3.0457473530624748E-4"/>
                  <c:y val="-9.777497518485093E-3"/>
                </c:manualLayout>
              </c:layout>
              <c:dLblPos val="outEnd"/>
              <c:showVal val="1"/>
            </c:dLbl>
            <c:dLbl>
              <c:idx val="1"/>
              <c:layout>
                <c:manualLayout>
                  <c:x val="2.7092890380512381E-3"/>
                  <c:y val="-2.4062931257669202E-3"/>
                </c:manualLayout>
              </c:layout>
              <c:dLblPos val="outEnd"/>
              <c:showVal val="1"/>
            </c:dLbl>
            <c:dLbl>
              <c:idx val="2"/>
              <c:layout>
                <c:manualLayout>
                  <c:x val="-1.5101202446492145E-3"/>
                  <c:y val="-4.2923677918599822E-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Лист1!$B$1:$D$1</c:f>
              <c:numCache>
                <c:formatCode>dd/mm/yyyy</c:formatCode>
                <c:ptCount val="3"/>
                <c:pt idx="0">
                  <c:v>40544</c:v>
                </c:pt>
                <c:pt idx="1">
                  <c:v>40909</c:v>
                </c:pt>
                <c:pt idx="2">
                  <c:v>41091</c:v>
                </c:pt>
              </c:numCache>
            </c:numRef>
          </c:cat>
          <c:val>
            <c:numRef>
              <c:f>Лист1!$B$3:$D$3</c:f>
              <c:numCache>
                <c:formatCode>0.0</c:formatCode>
                <c:ptCount val="3"/>
                <c:pt idx="0">
                  <c:v>25.1</c:v>
                </c:pt>
                <c:pt idx="1">
                  <c:v>26.2</c:v>
                </c:pt>
                <c:pt idx="2">
                  <c:v>31.9</c:v>
                </c:pt>
              </c:numCache>
            </c:numRef>
          </c:val>
        </c:ser>
        <c:dLbls>
          <c:showVal val="1"/>
        </c:dLbls>
        <c:gapWidth val="110"/>
        <c:axId val="40340864"/>
        <c:axId val="39986304"/>
      </c:barChart>
      <c:lineChart>
        <c:grouping val="standard"/>
        <c:ser>
          <c:idx val="2"/>
          <c:order val="2"/>
          <c:tx>
            <c:strRef>
              <c:f>Лист1!$A$4</c:f>
              <c:strCache>
                <c:ptCount val="1"/>
                <c:pt idx="0">
                  <c:v>Середньозважена кредитна ставка, %</c:v>
                </c:pt>
              </c:strCache>
            </c:strRef>
          </c:tx>
          <c:spPr>
            <a:ln w="38100">
              <a:solidFill>
                <a:srgbClr val="FF0000"/>
              </a:solidFill>
              <a:prstDash val="solid"/>
            </a:ln>
          </c:spPr>
          <c:marker>
            <c:symbol val="triangle"/>
            <c:size val="7"/>
            <c:spPr>
              <a:solidFill>
                <a:srgbClr val="FF0000"/>
              </a:solidFill>
              <a:ln>
                <a:solidFill>
                  <a:srgbClr val="FF0000"/>
                </a:solidFill>
                <a:prstDash val="solid"/>
              </a:ln>
            </c:spPr>
          </c:marker>
          <c:dLbls>
            <c:dLbl>
              <c:idx val="0"/>
              <c:layout>
                <c:manualLayout>
                  <c:x val="-7.6350121908625931E-2"/>
                  <c:y val="-7.1222848567239469E-2"/>
                </c:manualLayout>
              </c:layout>
              <c:dLblPos val="r"/>
              <c:showVal val="1"/>
            </c:dLbl>
            <c:dLbl>
              <c:idx val="1"/>
              <c:layout>
                <c:manualLayout>
                  <c:x val="-7.1527939871254012E-2"/>
                  <c:y val="-7.5768303112694321E-2"/>
                </c:manualLayout>
              </c:layout>
              <c:dLblPos val="r"/>
              <c:showVal val="1"/>
            </c:dLbl>
            <c:dLbl>
              <c:idx val="2"/>
              <c:layout>
                <c:manualLayout>
                  <c:x val="-7.0322394361911192E-2"/>
                  <c:y val="-8.6813835697087005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Лист1!$B$1:$D$1</c:f>
              <c:numCache>
                <c:formatCode>dd/mm/yyyy</c:formatCode>
                <c:ptCount val="3"/>
                <c:pt idx="0">
                  <c:v>40544</c:v>
                </c:pt>
                <c:pt idx="1">
                  <c:v>40909</c:v>
                </c:pt>
                <c:pt idx="2">
                  <c:v>41091</c:v>
                </c:pt>
              </c:numCache>
            </c:numRef>
          </c:cat>
          <c:val>
            <c:numRef>
              <c:f>Лист1!$B$4:$D$4</c:f>
              <c:numCache>
                <c:formatCode>0.0</c:formatCode>
                <c:ptCount val="3"/>
                <c:pt idx="0">
                  <c:v>19.600000000000001</c:v>
                </c:pt>
                <c:pt idx="1">
                  <c:v>19.600000000000001</c:v>
                </c:pt>
                <c:pt idx="2">
                  <c:v>19</c:v>
                </c:pt>
              </c:numCache>
            </c:numRef>
          </c:val>
        </c:ser>
        <c:ser>
          <c:idx val="3"/>
          <c:order val="3"/>
          <c:tx>
            <c:strRef>
              <c:f>Лист1!$A$5</c:f>
              <c:strCache>
                <c:ptCount val="1"/>
                <c:pt idx="0">
                  <c:v>Середньозважена депозитна ставка, %</c:v>
                </c:pt>
              </c:strCache>
            </c:strRef>
          </c:tx>
          <c:spPr>
            <a:ln w="38100">
              <a:solidFill>
                <a:srgbClr val="000080"/>
              </a:solidFill>
              <a:prstDash val="solid"/>
            </a:ln>
          </c:spPr>
          <c:marker>
            <c:symbol val="circle"/>
            <c:size val="7"/>
            <c:spPr>
              <a:solidFill>
                <a:srgbClr val="000080"/>
              </a:solidFill>
              <a:ln>
                <a:solidFill>
                  <a:srgbClr val="000080"/>
                </a:solidFill>
                <a:prstDash val="solid"/>
              </a:ln>
            </c:spPr>
          </c:marker>
          <c:dLbls>
            <c:dLbl>
              <c:idx val="0"/>
              <c:layout>
                <c:manualLayout>
                  <c:x val="-7.4541803644611354E-2"/>
                  <c:y val="2.8898425381922544E-2"/>
                </c:manualLayout>
              </c:layout>
              <c:dLblPos val="r"/>
              <c:showVal val="1"/>
            </c:dLbl>
            <c:dLbl>
              <c:idx val="1"/>
              <c:layout>
                <c:manualLayout>
                  <c:x val="-7.1527939871254012E-2"/>
                  <c:y val="4.7996918335901931E-2"/>
                </c:manualLayout>
              </c:layout>
              <c:dLblPos val="r"/>
              <c:showVal val="1"/>
            </c:dLbl>
            <c:dLbl>
              <c:idx val="2"/>
              <c:layout>
                <c:manualLayout>
                  <c:x val="-7.3939030889939139E-2"/>
                  <c:y val="5.2307454086063729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Лист1!$B$1:$D$1</c:f>
              <c:numCache>
                <c:formatCode>dd/mm/yyyy</c:formatCode>
                <c:ptCount val="3"/>
                <c:pt idx="0">
                  <c:v>40544</c:v>
                </c:pt>
                <c:pt idx="1">
                  <c:v>40909</c:v>
                </c:pt>
                <c:pt idx="2">
                  <c:v>41091</c:v>
                </c:pt>
              </c:numCache>
            </c:numRef>
          </c:cat>
          <c:val>
            <c:numRef>
              <c:f>Лист1!$B$5:$D$5</c:f>
              <c:numCache>
                <c:formatCode>0.0</c:formatCode>
                <c:ptCount val="3"/>
                <c:pt idx="0">
                  <c:v>10.8</c:v>
                </c:pt>
                <c:pt idx="1">
                  <c:v>15.5</c:v>
                </c:pt>
                <c:pt idx="2">
                  <c:v>13.8</c:v>
                </c:pt>
              </c:numCache>
            </c:numRef>
          </c:val>
        </c:ser>
        <c:dLbls>
          <c:showVal val="1"/>
        </c:dLbls>
        <c:marker val="1"/>
        <c:axId val="39987840"/>
        <c:axId val="39993728"/>
      </c:lineChart>
      <c:catAx>
        <c:axId val="40340864"/>
        <c:scaling>
          <c:orientation val="minMax"/>
        </c:scaling>
        <c:axPos val="b"/>
        <c:numFmt formatCode="dd/mm/yyyy" sourceLinked="1"/>
        <c:maj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9986304"/>
        <c:crosses val="autoZero"/>
        <c:lblAlgn val="ctr"/>
        <c:lblOffset val="100"/>
        <c:tickLblSkip val="1"/>
        <c:tickMarkSkip val="1"/>
      </c:catAx>
      <c:valAx>
        <c:axId val="39986304"/>
        <c:scaling>
          <c:orientation val="minMax"/>
          <c:max val="60"/>
        </c:scaling>
        <c:delete val="1"/>
        <c:axPos val="l"/>
        <c:numFmt formatCode="0.0" sourceLinked="1"/>
        <c:tickLblPos val="none"/>
        <c:crossAx val="40340864"/>
        <c:crosses val="autoZero"/>
        <c:crossBetween val="between"/>
      </c:valAx>
      <c:catAx>
        <c:axId val="39987840"/>
        <c:scaling>
          <c:orientation val="minMax"/>
        </c:scaling>
        <c:delete val="1"/>
        <c:axPos val="b"/>
        <c:numFmt formatCode="dd/mm/yyyy" sourceLinked="1"/>
        <c:tickLblPos val="none"/>
        <c:crossAx val="39993728"/>
        <c:crosses val="autoZero"/>
        <c:lblAlgn val="ctr"/>
        <c:lblOffset val="100"/>
      </c:catAx>
      <c:valAx>
        <c:axId val="39993728"/>
        <c:scaling>
          <c:orientation val="minMax"/>
          <c:max val="30"/>
          <c:min val="5"/>
        </c:scaling>
        <c:delete val="1"/>
        <c:axPos val="r"/>
        <c:numFmt formatCode="0.0" sourceLinked="1"/>
        <c:tickLblPos val="none"/>
        <c:crossAx val="39987840"/>
        <c:crosses val="max"/>
        <c:crossBetween val="between"/>
      </c:valAx>
      <c:spPr>
        <a:noFill/>
        <a:ln w="25400">
          <a:noFill/>
        </a:ln>
      </c:spPr>
    </c:plotArea>
    <c:legend>
      <c:legendPos val="b"/>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0548145434586858E-2"/>
          <c:y val="4.4054277658436827E-3"/>
          <c:w val="0.91502600033117232"/>
          <c:h val="0.82707067946133273"/>
        </c:manualLayout>
      </c:layout>
      <c:lineChart>
        <c:grouping val="standard"/>
        <c:ser>
          <c:idx val="0"/>
          <c:order val="0"/>
          <c:tx>
            <c:strRef>
              <c:f>Лист1!$A$3</c:f>
              <c:strCache>
                <c:ptCount val="1"/>
                <c:pt idx="0">
                  <c:v>Наявні доходи </c:v>
                </c:pt>
              </c:strCache>
            </c:strRef>
          </c:tx>
          <c:spPr>
            <a:ln w="25402">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6.0658272485511089E-2"/>
                  <c:y val="-9.8378829170563911E-2"/>
                </c:manualLayout>
              </c:layout>
              <c:dLblPos val="r"/>
              <c:showVal val="1"/>
            </c:dLbl>
            <c:dLbl>
              <c:idx val="1"/>
              <c:layout>
                <c:manualLayout>
                  <c:x val="-3.8437968630380431E-2"/>
                  <c:y val="-9.5703635906087201E-2"/>
                </c:manualLayout>
              </c:layout>
              <c:dLblPos val="r"/>
              <c:showVal val="1"/>
            </c:dLbl>
            <c:dLbl>
              <c:idx val="2"/>
              <c:layout>
                <c:manualLayout>
                  <c:x val="-5.2581301138886122E-2"/>
                  <c:y val="-8.1594422493514812E-2"/>
                </c:manualLayout>
              </c:layout>
              <c:dLblPos val="r"/>
              <c:showVal val="1"/>
            </c:dLbl>
            <c:dLbl>
              <c:idx val="3"/>
              <c:layout>
                <c:manualLayout>
                  <c:x val="-5.3501493151524034E-2"/>
                  <c:y val="-8.5204927135651268E-2"/>
                </c:manualLayout>
              </c:layout>
              <c:dLblPos val="r"/>
              <c:showVal val="1"/>
            </c:dLbl>
            <c:dLbl>
              <c:idx val="4"/>
              <c:layout>
                <c:manualLayout>
                  <c:x val="-5.4421511405386112E-2"/>
                  <c:y val="-9.3131061634857723E-2"/>
                </c:manualLayout>
              </c:layout>
              <c:dLblPos val="r"/>
              <c:showVal val="1"/>
            </c:dLbl>
            <c:dLbl>
              <c:idx val="5"/>
              <c:layout>
                <c:manualLayout>
                  <c:x val="-5.0383025732073532E-2"/>
                  <c:y val="-9.3592703031203067E-2"/>
                </c:manualLayout>
              </c:layout>
              <c:tx>
                <c:rich>
                  <a:bodyPr/>
                  <a:lstStyle/>
                  <a:p>
                    <a:r>
                      <a:rPr lang="ru-RU" sz="1000"/>
                      <a:t>1772*</a:t>
                    </a:r>
                  </a:p>
                </c:rich>
              </c:tx>
              <c:dLblPos val="r"/>
            </c:dLbl>
            <c:dLbl>
              <c:idx val="6"/>
              <c:layout>
                <c:manualLayout>
                  <c:x val="-3.6427184686860202E-2"/>
                  <c:y val="-7.3582275233045932E-2"/>
                </c:manualLayout>
              </c:layout>
              <c:tx>
                <c:rich>
                  <a:bodyPr/>
                  <a:lstStyle/>
                  <a:p>
                    <a:r>
                      <a:rPr lang="ru-RU" sz="1000"/>
                      <a:t>2020*</a:t>
                    </a:r>
                  </a:p>
                </c:rich>
              </c:tx>
              <c:dLblPos val="r"/>
            </c:dLbl>
            <c:dLbl>
              <c:idx val="7"/>
              <c:layout>
                <c:manualLayout>
                  <c:x val="-1.1761945508371889E-2"/>
                  <c:y val="-7.2507386493267462E-2"/>
                </c:manualLayout>
              </c:layout>
              <c:tx>
                <c:rich>
                  <a:bodyPr/>
                  <a:lstStyle/>
                  <a:p>
                    <a:r>
                      <a:rPr lang="ru-RU" sz="1000"/>
                      <a:t>2150*</a:t>
                    </a:r>
                  </a:p>
                </c:rich>
              </c:tx>
              <c:dLblPos val="r"/>
            </c:dLbl>
            <c:spPr>
              <a:noFill/>
              <a:ln w="2540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Лист1!$B$2:$I$2</c:f>
              <c:strCache>
                <c:ptCount val="8"/>
                <c:pt idx="0">
                  <c:v>2005</c:v>
                </c:pt>
                <c:pt idx="1">
                  <c:v>2006</c:v>
                </c:pt>
                <c:pt idx="2">
                  <c:v>2007</c:v>
                </c:pt>
                <c:pt idx="3">
                  <c:v>2008</c:v>
                </c:pt>
                <c:pt idx="4">
                  <c:v>2009</c:v>
                </c:pt>
                <c:pt idx="5">
                  <c:v>2010</c:v>
                </c:pt>
                <c:pt idx="6">
                  <c:v>2011</c:v>
                </c:pt>
                <c:pt idx="7">
                  <c:v>6міс. 2012 </c:v>
                </c:pt>
              </c:strCache>
            </c:strRef>
          </c:cat>
          <c:val>
            <c:numRef>
              <c:f>Лист1!$B$3:$I$3</c:f>
              <c:numCache>
                <c:formatCode>0</c:formatCode>
                <c:ptCount val="8"/>
                <c:pt idx="0" formatCode="General">
                  <c:v>590.70000000000005</c:v>
                </c:pt>
                <c:pt idx="1">
                  <c:v>738</c:v>
                </c:pt>
                <c:pt idx="2" formatCode="General">
                  <c:v>969</c:v>
                </c:pt>
                <c:pt idx="3" formatCode="General">
                  <c:v>1352</c:v>
                </c:pt>
                <c:pt idx="4" formatCode="General">
                  <c:v>1418</c:v>
                </c:pt>
                <c:pt idx="5" formatCode="General">
                  <c:v>1772</c:v>
                </c:pt>
                <c:pt idx="6" formatCode="General">
                  <c:v>2020</c:v>
                </c:pt>
                <c:pt idx="7" formatCode="General">
                  <c:v>2150</c:v>
                </c:pt>
              </c:numCache>
            </c:numRef>
          </c:val>
        </c:ser>
        <c:ser>
          <c:idx val="1"/>
          <c:order val="1"/>
          <c:tx>
            <c:strRef>
              <c:f>Лист1!$A$4</c:f>
              <c:strCache>
                <c:ptCount val="1"/>
                <c:pt idx="0">
                  <c:v>Прожитковий мінімум по Україні</c:v>
                </c:pt>
              </c:strCache>
            </c:strRef>
          </c:tx>
          <c:spPr>
            <a:ln w="25402">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2.9253313807825303E-2"/>
                  <c:y val="7.2481353169460416E-2"/>
                </c:manualLayout>
              </c:layout>
              <c:dLblPos val="r"/>
              <c:showVal val="1"/>
            </c:dLbl>
            <c:dLbl>
              <c:idx val="1"/>
              <c:layout>
                <c:manualLayout>
                  <c:x val="-3.8437968630380431E-2"/>
                  <c:y val="8.2222095555823271E-2"/>
                </c:manualLayout>
              </c:layout>
              <c:dLblPos val="r"/>
              <c:showVal val="1"/>
            </c:dLbl>
            <c:dLbl>
              <c:idx val="2"/>
              <c:layout>
                <c:manualLayout>
                  <c:x val="-3.6052375519051577E-2"/>
                  <c:y val="7.0390425020751851E-2"/>
                </c:manualLayout>
              </c:layout>
              <c:dLblPos val="r"/>
              <c:showVal val="1"/>
            </c:dLbl>
            <c:dLbl>
              <c:idx val="3"/>
              <c:layout>
                <c:manualLayout>
                  <c:x val="-2.7055212159788591E-2"/>
                  <c:y val="7.4854145845951084E-2"/>
                </c:manualLayout>
              </c:layout>
              <c:dLblPos val="r"/>
              <c:showVal val="1"/>
            </c:dLbl>
            <c:dLbl>
              <c:idx val="4"/>
              <c:layout>
                <c:manualLayout>
                  <c:x val="-1.9710767603733206E-2"/>
                  <c:y val="5.918341120558069E-2"/>
                </c:manualLayout>
              </c:layout>
              <c:dLblPos val="r"/>
              <c:showVal val="1"/>
            </c:dLbl>
            <c:dLbl>
              <c:idx val="5"/>
              <c:layout>
                <c:manualLayout>
                  <c:x val="-3.550699267422245E-2"/>
                  <c:y val="5.9757875252113596E-2"/>
                </c:manualLayout>
              </c:layout>
              <c:dLblPos val="r"/>
              <c:showVal val="1"/>
            </c:dLbl>
            <c:dLbl>
              <c:idx val="6"/>
              <c:layout>
                <c:manualLayout>
                  <c:x val="-4.634454005876102E-2"/>
                  <c:y val="5.3532845473599745E-2"/>
                </c:manualLayout>
              </c:layout>
              <c:dLblPos val="r"/>
              <c:showVal val="1"/>
            </c:dLbl>
            <c:dLbl>
              <c:idx val="7"/>
              <c:layout>
                <c:manualLayout>
                  <c:x val="-1.3264833985947105E-2"/>
                  <c:y val="6.0137427584638761E-2"/>
                </c:manualLayout>
              </c:layout>
              <c:dLblPos val="r"/>
              <c:showVal val="1"/>
            </c:dLbl>
            <c:spPr>
              <a:noFill/>
              <a:ln w="2540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Лист1!$B$2:$I$2</c:f>
              <c:strCache>
                <c:ptCount val="8"/>
                <c:pt idx="0">
                  <c:v>2005</c:v>
                </c:pt>
                <c:pt idx="1">
                  <c:v>2006</c:v>
                </c:pt>
                <c:pt idx="2">
                  <c:v>2007</c:v>
                </c:pt>
                <c:pt idx="3">
                  <c:v>2008</c:v>
                </c:pt>
                <c:pt idx="4">
                  <c:v>2009</c:v>
                </c:pt>
                <c:pt idx="5">
                  <c:v>2010</c:v>
                </c:pt>
                <c:pt idx="6">
                  <c:v>2011</c:v>
                </c:pt>
                <c:pt idx="7">
                  <c:v>6міс. 2012 </c:v>
                </c:pt>
              </c:strCache>
            </c:strRef>
          </c:cat>
          <c:val>
            <c:numRef>
              <c:f>Лист1!$B$4:$I$4</c:f>
              <c:numCache>
                <c:formatCode>General</c:formatCode>
                <c:ptCount val="8"/>
                <c:pt idx="0" formatCode="0">
                  <c:v>423</c:v>
                </c:pt>
                <c:pt idx="1">
                  <c:v>463.75</c:v>
                </c:pt>
                <c:pt idx="2">
                  <c:v>518.5</c:v>
                </c:pt>
                <c:pt idx="3">
                  <c:v>607.5</c:v>
                </c:pt>
                <c:pt idx="4">
                  <c:v>638.5</c:v>
                </c:pt>
                <c:pt idx="5">
                  <c:v>843.2</c:v>
                </c:pt>
                <c:pt idx="6">
                  <c:v>914.1</c:v>
                </c:pt>
                <c:pt idx="7">
                  <c:v>1098.0999999999999</c:v>
                </c:pt>
              </c:numCache>
            </c:numRef>
          </c:val>
        </c:ser>
        <c:marker val="1"/>
        <c:axId val="39777408"/>
        <c:axId val="39778944"/>
      </c:lineChart>
      <c:catAx>
        <c:axId val="3977740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9778944"/>
        <c:crosses val="autoZero"/>
        <c:auto val="1"/>
        <c:lblAlgn val="ctr"/>
        <c:lblOffset val="100"/>
        <c:tickLblSkip val="1"/>
        <c:tickMarkSkip val="1"/>
      </c:catAx>
      <c:valAx>
        <c:axId val="39778944"/>
        <c:scaling>
          <c:orientation val="minMax"/>
        </c:scaling>
        <c:delete val="1"/>
        <c:axPos val="l"/>
        <c:numFmt formatCode="General" sourceLinked="1"/>
        <c:tickLblPos val="none"/>
        <c:crossAx val="39777408"/>
        <c:crosses val="autoZero"/>
        <c:crossBetween val="between"/>
      </c:valAx>
      <c:spPr>
        <a:noFill/>
        <a:ln w="25402">
          <a:noFill/>
        </a:ln>
      </c:spPr>
    </c:plotArea>
    <c:legend>
      <c:legendPos val="r"/>
      <c:layout>
        <c:manualLayout>
          <c:xMode val="edge"/>
          <c:yMode val="edge"/>
          <c:x val="6.0473147620984775E-2"/>
          <c:y val="0"/>
          <c:w val="0.26393243387594656"/>
          <c:h val="0.33817092656152831"/>
        </c:manualLayout>
      </c:layout>
      <c:spPr>
        <a:noFill/>
        <a:ln w="25402">
          <a:noFill/>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150" b="0" i="0" u="none" strike="noStrike" baseline="0">
          <a:solidFill>
            <a:srgbClr val="000000"/>
          </a:solidFill>
          <a:latin typeface="Times New Roman Cyr"/>
          <a:ea typeface="Times New Roman Cyr"/>
          <a:cs typeface="Times New Roman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697E-2"/>
          <c:w val="0.95138888888888884"/>
          <c:h val="0.8012314616500309"/>
        </c:manualLayout>
      </c:layout>
      <c:lineChart>
        <c:grouping val="stacked"/>
        <c:ser>
          <c:idx val="0"/>
          <c:order val="0"/>
          <c:tx>
            <c:strRef>
              <c:f>Лист1!$A$2</c:f>
              <c:strCache>
                <c:ptCount val="1"/>
                <c:pt idx="0">
                  <c:v>2011</c:v>
                </c:pt>
              </c:strCache>
            </c:strRef>
          </c:tx>
          <c:spPr>
            <a:ln w="38100">
              <a:solidFill>
                <a:srgbClr val="0033CC"/>
              </a:solidFill>
            </a:ln>
          </c:spPr>
          <c:marker>
            <c:symbol val="diamond"/>
            <c:size val="7"/>
            <c:spPr>
              <a:solidFill>
                <a:schemeClr val="accent1">
                  <a:lumMod val="40000"/>
                  <a:lumOff val="60000"/>
                </a:schemeClr>
              </a:solidFill>
              <a:ln>
                <a:solidFill>
                  <a:srgbClr val="0033CC"/>
                </a:solidFill>
              </a:ln>
            </c:spPr>
          </c:marker>
          <c:dLbls>
            <c:txPr>
              <a:bodyPr/>
              <a:lstStyle/>
              <a:p>
                <a:pPr>
                  <a:defRPr b="1">
                    <a:latin typeface="Times New Roman" pitchFamily="18" charset="0"/>
                    <a:cs typeface="Times New Roman" pitchFamily="18" charset="0"/>
                  </a:defRPr>
                </a:pPr>
                <a:endParaRPr lang="ru-RU"/>
              </a:p>
            </c:txPr>
            <c:dLblPos val="t"/>
            <c:showVal val="1"/>
          </c:dLbls>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Лист1!$B$2:$G$2</c:f>
              <c:numCache>
                <c:formatCode>General</c:formatCode>
                <c:ptCount val="6"/>
                <c:pt idx="0">
                  <c:v>2688</c:v>
                </c:pt>
                <c:pt idx="1">
                  <c:v>2726</c:v>
                </c:pt>
                <c:pt idx="2">
                  <c:v>2966</c:v>
                </c:pt>
                <c:pt idx="3">
                  <c:v>3036</c:v>
                </c:pt>
                <c:pt idx="4">
                  <c:v>3038</c:v>
                </c:pt>
                <c:pt idx="5">
                  <c:v>3112</c:v>
                </c:pt>
              </c:numCache>
            </c:numRef>
          </c:val>
        </c:ser>
        <c:ser>
          <c:idx val="1"/>
          <c:order val="1"/>
          <c:tx>
            <c:strRef>
              <c:f>Лист1!$A$3</c:f>
              <c:strCache>
                <c:ptCount val="1"/>
                <c:pt idx="0">
                  <c:v>2012</c:v>
                </c:pt>
              </c:strCache>
            </c:strRef>
          </c:tx>
          <c:spPr>
            <a:ln w="38100">
              <a:solidFill>
                <a:srgbClr val="006600"/>
              </a:solidFill>
            </a:ln>
          </c:spPr>
          <c:marker>
            <c:symbol val="circle"/>
            <c:size val="7"/>
            <c:spPr>
              <a:solidFill>
                <a:schemeClr val="accent3">
                  <a:lumMod val="40000"/>
                  <a:lumOff val="60000"/>
                </a:schemeClr>
              </a:solidFill>
              <a:ln>
                <a:solidFill>
                  <a:srgbClr val="006600"/>
                </a:solidFill>
              </a:ln>
            </c:spPr>
          </c:marker>
          <c:dLbls>
            <c:txPr>
              <a:bodyPr/>
              <a:lstStyle/>
              <a:p>
                <a:pPr>
                  <a:defRPr b="1">
                    <a:latin typeface="Times New Roman" pitchFamily="18" charset="0"/>
                    <a:cs typeface="Times New Roman" pitchFamily="18" charset="0"/>
                  </a:defRPr>
                </a:pPr>
                <a:endParaRPr lang="ru-RU"/>
              </a:p>
            </c:txPr>
            <c:dLblPos val="t"/>
            <c:showVal val="1"/>
          </c:dLbls>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Лист1!$B$3:$G$3</c:f>
              <c:numCache>
                <c:formatCode>General</c:formatCode>
                <c:ptCount val="6"/>
                <c:pt idx="0">
                  <c:v>3151</c:v>
                </c:pt>
                <c:pt idx="1">
                  <c:v>3254</c:v>
                </c:pt>
                <c:pt idx="2">
                  <c:v>3381</c:v>
                </c:pt>
                <c:pt idx="3">
                  <c:v>3496</c:v>
                </c:pt>
                <c:pt idx="4">
                  <c:v>3474</c:v>
                </c:pt>
                <c:pt idx="5">
                  <c:v>3557</c:v>
                </c:pt>
              </c:numCache>
            </c:numRef>
          </c:val>
        </c:ser>
        <c:marker val="1"/>
        <c:axId val="40455552"/>
        <c:axId val="40494208"/>
      </c:lineChart>
      <c:catAx>
        <c:axId val="40455552"/>
        <c:scaling>
          <c:orientation val="minMax"/>
        </c:scaling>
        <c:axPos val="b"/>
        <c:tickLblPos val="nextTo"/>
        <c:txPr>
          <a:bodyPr/>
          <a:lstStyle/>
          <a:p>
            <a:pPr>
              <a:defRPr>
                <a:latin typeface="Times New Roman" pitchFamily="18" charset="0"/>
                <a:cs typeface="Times New Roman" pitchFamily="18" charset="0"/>
              </a:defRPr>
            </a:pPr>
            <a:endParaRPr lang="ru-RU"/>
          </a:p>
        </c:txPr>
        <c:crossAx val="40494208"/>
        <c:crosses val="autoZero"/>
        <c:auto val="1"/>
        <c:lblAlgn val="ctr"/>
        <c:lblOffset val="100"/>
      </c:catAx>
      <c:valAx>
        <c:axId val="40494208"/>
        <c:scaling>
          <c:orientation val="minMax"/>
        </c:scaling>
        <c:delete val="1"/>
        <c:axPos val="l"/>
        <c:numFmt formatCode="General" sourceLinked="1"/>
        <c:tickLblPos val="none"/>
        <c:crossAx val="40455552"/>
        <c:crosses val="autoZero"/>
        <c:crossBetween val="between"/>
      </c:valAx>
      <c:spPr>
        <a:noFill/>
        <a:ln>
          <a:noFill/>
        </a:ln>
      </c:spPr>
    </c:plotArea>
    <c:legend>
      <c:legendPos val="r"/>
      <c:layout>
        <c:manualLayout>
          <c:xMode val="edge"/>
          <c:yMode val="edge"/>
          <c:x val="0.46527777777777812"/>
          <c:y val="0.6628405824271979"/>
          <c:w val="0.3148148148148156"/>
          <c:h val="0.13463629546306721"/>
        </c:manualLayout>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2877138413685854E-2"/>
          <c:y val="0"/>
          <c:w val="0.89580093312597264"/>
          <c:h val="0.7302631578947365"/>
        </c:manualLayout>
      </c:layout>
      <c:lineChart>
        <c:grouping val="standard"/>
        <c:ser>
          <c:idx val="0"/>
          <c:order val="0"/>
          <c:tx>
            <c:strRef>
              <c:f>Лист1!$A$2</c:f>
              <c:strCache>
                <c:ptCount val="1"/>
                <c:pt idx="0">
                  <c:v>Загальна сума заборгованості з виплати заробітної плати</c:v>
                </c:pt>
              </c:strCache>
            </c:strRef>
          </c:tx>
          <c:spPr>
            <a:ln w="25372">
              <a:solidFill>
                <a:srgbClr val="0000FF"/>
              </a:solidFill>
              <a:prstDash val="solid"/>
            </a:ln>
          </c:spPr>
          <c:marker>
            <c:symbol val="diamond"/>
            <c:size val="7"/>
            <c:spPr>
              <a:solidFill>
                <a:srgbClr val="CCFFFF"/>
              </a:solidFill>
              <a:ln>
                <a:solidFill>
                  <a:srgbClr val="0000FF"/>
                </a:solidFill>
                <a:prstDash val="solid"/>
              </a:ln>
            </c:spPr>
          </c:marker>
          <c:dLbls>
            <c:dLbl>
              <c:idx val="0"/>
              <c:layout>
                <c:manualLayout>
                  <c:x val="-4.0558992855843579E-2"/>
                  <c:y val="-8.7684364900763867E-2"/>
                </c:manualLayout>
              </c:layout>
              <c:dLblPos val="r"/>
              <c:showVal val="1"/>
            </c:dLbl>
            <c:dLbl>
              <c:idx val="1"/>
              <c:layout>
                <c:manualLayout>
                  <c:x val="-4.435805494014515E-2"/>
                  <c:y val="-8.7625222487579202E-2"/>
                </c:manualLayout>
              </c:layout>
              <c:dLblPos val="r"/>
              <c:showVal val="1"/>
            </c:dLbl>
            <c:dLbl>
              <c:idx val="2"/>
              <c:layout>
                <c:manualLayout>
                  <c:x val="-1.0831910326299854E-2"/>
                  <c:y val="-6.5250222142992975E-2"/>
                </c:manualLayout>
              </c:layout>
              <c:dLblPos val="r"/>
              <c:showVal val="1"/>
            </c:dLbl>
            <c:dLbl>
              <c:idx val="3"/>
              <c:layout>
                <c:manualLayout>
                  <c:x val="-9.9653425505708427E-3"/>
                  <c:y val="-5.7664730400647804E-2"/>
                </c:manualLayout>
              </c:layout>
              <c:dLblPos val="r"/>
              <c:showVal val="1"/>
            </c:dLbl>
            <c:dLbl>
              <c:idx val="4"/>
              <c:layout>
                <c:manualLayout>
                  <c:x val="-4.9534233561777587E-2"/>
                  <c:y val="-7.2881853926853979E-2"/>
                </c:manualLayout>
              </c:layout>
              <c:dLblPos val="r"/>
              <c:showVal val="1"/>
            </c:dLbl>
            <c:dLbl>
              <c:idx val="5"/>
              <c:layout>
                <c:manualLayout>
                  <c:x val="-2.0673718807963693E-2"/>
                  <c:y val="-5.0664494703945746E-2"/>
                </c:manualLayout>
              </c:layout>
              <c:dLblPos val="r"/>
              <c:showVal val="1"/>
            </c:dLbl>
            <c:dLbl>
              <c:idx val="6"/>
              <c:layout>
                <c:manualLayout>
                  <c:x val="-5.5643161021877918E-3"/>
                  <c:y val="-6.9480288772107393E-2"/>
                </c:manualLayout>
              </c:layout>
              <c:dLblPos val="r"/>
              <c:showVal val="1"/>
            </c:dLbl>
            <c:spPr>
              <a:noFill/>
              <a:ln w="2537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Лист1!$B$1:$H$1</c:f>
              <c:numCache>
                <c:formatCode>dd/mm/yyyy</c:formatCode>
                <c:ptCount val="7"/>
                <c:pt idx="0">
                  <c:v>40909</c:v>
                </c:pt>
                <c:pt idx="1">
                  <c:v>40940</c:v>
                </c:pt>
                <c:pt idx="2">
                  <c:v>40969</c:v>
                </c:pt>
                <c:pt idx="3">
                  <c:v>41000</c:v>
                </c:pt>
                <c:pt idx="4">
                  <c:v>41030</c:v>
                </c:pt>
                <c:pt idx="5">
                  <c:v>41061</c:v>
                </c:pt>
                <c:pt idx="6">
                  <c:v>41091</c:v>
                </c:pt>
              </c:numCache>
            </c:numRef>
          </c:cat>
          <c:val>
            <c:numRef>
              <c:f>Лист1!$B$2:$H$2</c:f>
              <c:numCache>
                <c:formatCode>0.0</c:formatCode>
                <c:ptCount val="7"/>
                <c:pt idx="0" formatCode="General">
                  <c:v>200.3</c:v>
                </c:pt>
                <c:pt idx="1">
                  <c:v>226</c:v>
                </c:pt>
                <c:pt idx="2" formatCode="General">
                  <c:v>243.3</c:v>
                </c:pt>
                <c:pt idx="3" formatCode="General">
                  <c:v>230.2</c:v>
                </c:pt>
                <c:pt idx="4" formatCode="General">
                  <c:v>225.3</c:v>
                </c:pt>
                <c:pt idx="5" formatCode="General">
                  <c:v>207.4</c:v>
                </c:pt>
                <c:pt idx="6" formatCode="General">
                  <c:v>179.4</c:v>
                </c:pt>
              </c:numCache>
            </c:numRef>
          </c:val>
        </c:ser>
        <c:ser>
          <c:idx val="1"/>
          <c:order val="1"/>
          <c:tx>
            <c:strRef>
              <c:f>Лист1!$A$3</c:f>
              <c:strCache>
                <c:ptCount val="1"/>
                <c:pt idx="0">
                  <c:v>по економічно активних підприємствах</c:v>
                </c:pt>
              </c:strCache>
            </c:strRef>
          </c:tx>
          <c:spPr>
            <a:ln w="25372">
              <a:solidFill>
                <a:srgbClr val="FF00FF"/>
              </a:solidFill>
              <a:prstDash val="solid"/>
            </a:ln>
          </c:spPr>
          <c:marker>
            <c:symbol val="square"/>
            <c:size val="7"/>
            <c:spPr>
              <a:solidFill>
                <a:srgbClr val="FFCC99"/>
              </a:solidFill>
              <a:ln>
                <a:solidFill>
                  <a:srgbClr val="FF00FF"/>
                </a:solidFill>
                <a:prstDash val="solid"/>
              </a:ln>
            </c:spPr>
          </c:marker>
          <c:dLbls>
            <c:dLbl>
              <c:idx val="0"/>
              <c:layout>
                <c:manualLayout>
                  <c:x val="-4.5224622715874456E-2"/>
                  <c:y val="5.2703776568715513E-2"/>
                </c:manualLayout>
              </c:layout>
              <c:dLblPos val="r"/>
              <c:showVal val="1"/>
            </c:dLbl>
            <c:dLbl>
              <c:idx val="1"/>
              <c:layout>
                <c:manualLayout>
                  <c:x val="-4.5913264893488827E-2"/>
                  <c:y val="5.0230284407353783E-2"/>
                </c:manualLayout>
              </c:layout>
              <c:dLblPos val="r"/>
              <c:showVal val="1"/>
            </c:dLbl>
            <c:dLbl>
              <c:idx val="2"/>
              <c:layout>
                <c:manualLayout>
                  <c:x val="-4.5046529299861394E-2"/>
                  <c:y val="-6.7618514550251183E-2"/>
                </c:manualLayout>
              </c:layout>
              <c:dLblPos val="r"/>
              <c:showVal val="1"/>
            </c:dLbl>
            <c:dLbl>
              <c:idx val="3"/>
              <c:layout>
                <c:manualLayout>
                  <c:x val="-3.9514331664101017E-2"/>
                  <c:y val="4.6697082874268603E-2"/>
                </c:manualLayout>
              </c:layout>
              <c:dLblPos val="r"/>
              <c:showVal val="1"/>
            </c:dLbl>
            <c:dLbl>
              <c:idx val="4"/>
              <c:layout>
                <c:manualLayout>
                  <c:x val="-6.5086333095214402E-2"/>
                  <c:y val="3.9638053944680805E-2"/>
                </c:manualLayout>
              </c:layout>
              <c:dLblPos val="r"/>
              <c:showVal val="1"/>
            </c:dLbl>
            <c:dLbl>
              <c:idx val="5"/>
              <c:layout>
                <c:manualLayout>
                  <c:x val="-3.6225818341400796E-2"/>
                  <c:y val="4.1355056176677445E-2"/>
                </c:manualLayout>
              </c:layout>
              <c:dLblPos val="r"/>
              <c:showVal val="1"/>
            </c:dLbl>
            <c:dLbl>
              <c:idx val="6"/>
              <c:layout>
                <c:manualLayout>
                  <c:x val="-2.2740770216603853E-2"/>
                  <c:y val="4.6394561792508039E-2"/>
                </c:manualLayout>
              </c:layout>
              <c:dLblPos val="r"/>
              <c:showVal val="1"/>
            </c:dLbl>
            <c:spPr>
              <a:noFill/>
              <a:ln w="2537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Лист1!$B$1:$H$1</c:f>
              <c:numCache>
                <c:formatCode>dd/mm/yyyy</c:formatCode>
                <c:ptCount val="7"/>
                <c:pt idx="0">
                  <c:v>40909</c:v>
                </c:pt>
                <c:pt idx="1">
                  <c:v>40940</c:v>
                </c:pt>
                <c:pt idx="2">
                  <c:v>40969</c:v>
                </c:pt>
                <c:pt idx="3">
                  <c:v>41000</c:v>
                </c:pt>
                <c:pt idx="4">
                  <c:v>41030</c:v>
                </c:pt>
                <c:pt idx="5">
                  <c:v>41061</c:v>
                </c:pt>
                <c:pt idx="6">
                  <c:v>41091</c:v>
                </c:pt>
              </c:numCache>
            </c:numRef>
          </c:cat>
          <c:val>
            <c:numRef>
              <c:f>Лист1!$B$3:$H$3</c:f>
              <c:numCache>
                <c:formatCode>General</c:formatCode>
                <c:ptCount val="7"/>
                <c:pt idx="0" formatCode="0.0">
                  <c:v>85</c:v>
                </c:pt>
                <c:pt idx="1">
                  <c:v>100.2</c:v>
                </c:pt>
                <c:pt idx="2" formatCode="0.0">
                  <c:v>115.3</c:v>
                </c:pt>
                <c:pt idx="3">
                  <c:v>100.1</c:v>
                </c:pt>
                <c:pt idx="4" formatCode="0.0">
                  <c:v>97.2</c:v>
                </c:pt>
                <c:pt idx="5">
                  <c:v>92.5</c:v>
                </c:pt>
                <c:pt idx="6" formatCode="0.0">
                  <c:v>74.3</c:v>
                </c:pt>
              </c:numCache>
            </c:numRef>
          </c:val>
        </c:ser>
        <c:ser>
          <c:idx val="2"/>
          <c:order val="2"/>
          <c:tx>
            <c:strRef>
              <c:f>Лист1!$A$4</c:f>
              <c:strCache>
                <c:ptCount val="1"/>
                <c:pt idx="0">
                  <c:v>по підприємствах-банкрутах</c:v>
                </c:pt>
              </c:strCache>
            </c:strRef>
          </c:tx>
          <c:spPr>
            <a:ln w="25372">
              <a:solidFill>
                <a:srgbClr val="008000"/>
              </a:solidFill>
              <a:prstDash val="solid"/>
            </a:ln>
          </c:spPr>
          <c:marker>
            <c:symbol val="triangle"/>
            <c:size val="7"/>
            <c:spPr>
              <a:solidFill>
                <a:srgbClr val="CCFFCC"/>
              </a:solidFill>
              <a:ln>
                <a:solidFill>
                  <a:srgbClr val="008000"/>
                </a:solidFill>
                <a:prstDash val="solid"/>
              </a:ln>
            </c:spPr>
          </c:marker>
          <c:dLbls>
            <c:dLbl>
              <c:idx val="0"/>
              <c:layout>
                <c:manualLayout>
                  <c:x val="-2.5006893322406382E-2"/>
                  <c:y val="-9.0256571711066519E-2"/>
                </c:manualLayout>
              </c:layout>
              <c:dLblPos val="r"/>
              <c:showVal val="1"/>
            </c:dLbl>
            <c:dLbl>
              <c:idx val="1"/>
              <c:layout>
                <c:manualLayout>
                  <c:x val="-5.3689314660206947E-2"/>
                  <c:y val="-7.6855298305648453E-2"/>
                </c:manualLayout>
              </c:layout>
              <c:dLblPos val="r"/>
              <c:showVal val="1"/>
            </c:dLbl>
            <c:dLbl>
              <c:idx val="2"/>
              <c:layout>
                <c:manualLayout>
                  <c:x val="-4.0380899439830434E-2"/>
                  <c:y val="4.7407889912640874E-2"/>
                </c:manualLayout>
              </c:layout>
              <c:dLblPos val="r"/>
              <c:showVal val="1"/>
            </c:dLbl>
            <c:dLbl>
              <c:idx val="3"/>
              <c:layout>
                <c:manualLayout>
                  <c:x val="-4.5735171477475751E-2"/>
                  <c:y val="-7.199370234952393E-2"/>
                </c:manualLayout>
              </c:layout>
              <c:dLblPos val="r"/>
              <c:showVal val="1"/>
            </c:dLbl>
            <c:dLbl>
              <c:idx val="4"/>
              <c:layout>
                <c:manualLayout>
                  <c:x val="-6.5086333095214333E-2"/>
                  <c:y val="-7.99080690972679E-2"/>
                </c:manualLayout>
              </c:layout>
              <c:dLblPos val="r"/>
              <c:showVal val="1"/>
            </c:dLbl>
            <c:dLbl>
              <c:idx val="5"/>
              <c:layout>
                <c:manualLayout>
                  <c:x val="-2.8449768574682011E-2"/>
                  <c:y val="-6.2454156302290426E-2"/>
                </c:manualLayout>
              </c:layout>
              <c:dLblPos val="r"/>
              <c:showVal val="1"/>
            </c:dLbl>
            <c:dLbl>
              <c:idx val="6"/>
              <c:layout>
                <c:manualLayout>
                  <c:x val="-8.7438806365113027E-3"/>
                  <c:y val="-6.3658047273499066E-2"/>
                </c:manualLayout>
              </c:layout>
              <c:dLblPos val="r"/>
              <c:showVal val="1"/>
            </c:dLbl>
            <c:spPr>
              <a:noFill/>
              <a:ln w="2537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Лист1!$B$1:$H$1</c:f>
              <c:numCache>
                <c:formatCode>dd/mm/yyyy</c:formatCode>
                <c:ptCount val="7"/>
                <c:pt idx="0">
                  <c:v>40909</c:v>
                </c:pt>
                <c:pt idx="1">
                  <c:v>40940</c:v>
                </c:pt>
                <c:pt idx="2">
                  <c:v>40969</c:v>
                </c:pt>
                <c:pt idx="3">
                  <c:v>41000</c:v>
                </c:pt>
                <c:pt idx="4">
                  <c:v>41030</c:v>
                </c:pt>
                <c:pt idx="5">
                  <c:v>41061</c:v>
                </c:pt>
                <c:pt idx="6">
                  <c:v>41091</c:v>
                </c:pt>
              </c:numCache>
            </c:numRef>
          </c:cat>
          <c:val>
            <c:numRef>
              <c:f>Лист1!$B$4:$H$4</c:f>
              <c:numCache>
                <c:formatCode>General</c:formatCode>
                <c:ptCount val="7"/>
                <c:pt idx="0" formatCode="0.0">
                  <c:v>106</c:v>
                </c:pt>
                <c:pt idx="1">
                  <c:v>106.1</c:v>
                </c:pt>
                <c:pt idx="2">
                  <c:v>108.5</c:v>
                </c:pt>
                <c:pt idx="3">
                  <c:v>110.8</c:v>
                </c:pt>
                <c:pt idx="4" formatCode="0.0">
                  <c:v>108.9</c:v>
                </c:pt>
                <c:pt idx="5">
                  <c:v>95.8</c:v>
                </c:pt>
                <c:pt idx="6">
                  <c:v>89.9</c:v>
                </c:pt>
              </c:numCache>
            </c:numRef>
          </c:val>
        </c:ser>
        <c:dLbls>
          <c:showVal val="1"/>
        </c:dLbls>
        <c:marker val="1"/>
        <c:axId val="40422784"/>
        <c:axId val="40580224"/>
      </c:lineChart>
      <c:dateAx>
        <c:axId val="40422784"/>
        <c:scaling>
          <c:orientation val="minMax"/>
        </c:scaling>
        <c:axPos val="b"/>
        <c:numFmt formatCode="dd/mm/yyyy" sourceLinked="0"/>
        <c:tickLblPos val="nextTo"/>
        <c:spPr>
          <a:ln w="3171">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ru-RU"/>
          </a:p>
        </c:txPr>
        <c:crossAx val="40580224"/>
        <c:crosses val="autoZero"/>
        <c:auto val="1"/>
        <c:lblOffset val="100"/>
        <c:baseTimeUnit val="months"/>
        <c:majorUnit val="1"/>
        <c:majorTimeUnit val="months"/>
        <c:minorUnit val="1"/>
        <c:minorTimeUnit val="months"/>
      </c:dateAx>
      <c:valAx>
        <c:axId val="40580224"/>
        <c:scaling>
          <c:orientation val="minMax"/>
        </c:scaling>
        <c:axPos val="l"/>
        <c:numFmt formatCode="General" sourceLinked="1"/>
        <c:tickLblPos val="none"/>
        <c:spPr>
          <a:ln w="9514">
            <a:noFill/>
          </a:ln>
        </c:spPr>
        <c:crossAx val="40422784"/>
        <c:crosses val="autoZero"/>
        <c:crossBetween val="midCat"/>
      </c:valAx>
      <c:spPr>
        <a:solidFill>
          <a:srgbClr val="FFFFFF"/>
        </a:solidFill>
        <a:ln w="25372">
          <a:noFill/>
        </a:ln>
      </c:spPr>
    </c:plotArea>
    <c:legend>
      <c:legendPos val="r"/>
      <c:layout>
        <c:manualLayout>
          <c:xMode val="edge"/>
          <c:yMode val="edge"/>
          <c:x val="0.14930015552099599"/>
          <c:y val="0.82565789473684215"/>
          <c:w val="0.69673405909797825"/>
          <c:h val="0.17763157894736842"/>
        </c:manualLayout>
      </c:layout>
      <c:spPr>
        <a:solidFill>
          <a:srgbClr val="FFFFFF"/>
        </a:solidFill>
        <a:ln w="25372">
          <a:noFill/>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798" b="0" i="0" u="none" strike="noStrike" baseline="0">
          <a:solidFill>
            <a:srgbClr val="000000"/>
          </a:solidFill>
          <a:latin typeface="Times New Roman"/>
          <a:ea typeface="Times New Roman"/>
          <a:cs typeface="Times New Roman"/>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1848739495798318E-2"/>
          <c:y val="0.15217391304347827"/>
          <c:w val="0.96974789915966464"/>
          <c:h val="0.6521739130434826"/>
        </c:manualLayout>
      </c:layout>
      <c:barChart>
        <c:barDir val="col"/>
        <c:grouping val="clustered"/>
        <c:ser>
          <c:idx val="0"/>
          <c:order val="0"/>
          <c:spPr>
            <a:solidFill>
              <a:schemeClr val="accent4">
                <a:lumMod val="75000"/>
              </a:schemeClr>
            </a:solidFill>
            <a:ln w="12705">
              <a:solidFill>
                <a:srgbClr val="000000"/>
              </a:solidFill>
              <a:prstDash val="solid"/>
            </a:ln>
            <a:effectLst>
              <a:outerShdw blurRad="50800" dist="38100" algn="l" rotWithShape="0">
                <a:prstClr val="black">
                  <a:alpha val="40000"/>
                </a:prstClr>
              </a:outerShdw>
            </a:effectLst>
          </c:spPr>
          <c:dLbls>
            <c:dLbl>
              <c:idx val="0"/>
              <c:layout>
                <c:manualLayout>
                  <c:x val="-1.1855431323401977E-3"/>
                  <c:y val="-8.4072329587564325E-3"/>
                </c:manualLayout>
              </c:layout>
              <c:tx>
                <c:rich>
                  <a:bodyPr/>
                  <a:lstStyle/>
                  <a:p>
                    <a:r>
                      <a:rPr lang="en-US" sz="1000"/>
                      <a:t>1</a:t>
                    </a:r>
                    <a:r>
                      <a:rPr lang="uk-UA" sz="1000"/>
                      <a:t>411</a:t>
                    </a:r>
                    <a:r>
                      <a:rPr lang="uk-UA" sz="1000" baseline="0"/>
                      <a:t> </a:t>
                    </a:r>
                    <a:endParaRPr lang="en-US" sz="1000"/>
                  </a:p>
                </c:rich>
              </c:tx>
              <c:dLblPos val="outEnd"/>
              <c:showVal val="1"/>
            </c:dLbl>
            <c:dLbl>
              <c:idx val="1"/>
              <c:layout>
                <c:manualLayout>
                  <c:x val="-1.8578283249118652E-3"/>
                  <c:y val="-2.7805847011597991E-3"/>
                </c:manualLayout>
              </c:layout>
              <c:dLblPos val="outEnd"/>
              <c:showVal val="1"/>
            </c:dLbl>
            <c:dLbl>
              <c:idx val="2"/>
              <c:layout>
                <c:manualLayout>
                  <c:x val="-2.5301135174841012E-3"/>
                  <c:y val="2.3343089638878877E-3"/>
                </c:manualLayout>
              </c:layout>
              <c:dLblPos val="outEnd"/>
              <c:showVal val="1"/>
            </c:dLbl>
            <c:dLbl>
              <c:idx val="3"/>
              <c:layout>
                <c:manualLayout>
                  <c:x val="-1.5217264411486573E-3"/>
                  <c:y val="-2.3969098344311791E-3"/>
                </c:manualLayout>
              </c:layout>
              <c:tx>
                <c:rich>
                  <a:bodyPr/>
                  <a:lstStyle/>
                  <a:p>
                    <a:r>
                      <a:rPr lang="en-US" sz="1000"/>
                      <a:t>1</a:t>
                    </a:r>
                    <a:r>
                      <a:rPr lang="uk-UA" sz="1000"/>
                      <a:t>514</a:t>
                    </a:r>
                    <a:endParaRPr lang="en-US" sz="1000"/>
                  </a:p>
                </c:rich>
              </c:tx>
              <c:dLblPos val="outEnd"/>
              <c:showVal val="1"/>
            </c:dLbl>
            <c:dLbl>
              <c:idx val="4"/>
              <c:layout>
                <c:manualLayout>
                  <c:x val="-3.8746839026277879E-3"/>
                  <c:y val="6.722257543894444E-4"/>
                </c:manualLayout>
              </c:layout>
              <c:tx>
                <c:rich>
                  <a:bodyPr/>
                  <a:lstStyle/>
                  <a:p>
                    <a:r>
                      <a:rPr lang="en-US" sz="1000"/>
                      <a:t>16</a:t>
                    </a:r>
                    <a:r>
                      <a:rPr lang="uk-UA" sz="1000"/>
                      <a:t>79</a:t>
                    </a:r>
                    <a:endParaRPr lang="en-US" sz="1000"/>
                  </a:p>
                </c:rich>
              </c:tx>
              <c:dLblPos val="outEnd"/>
              <c:showVal val="1"/>
            </c:dLbl>
            <c:dLbl>
              <c:idx val="12"/>
              <c:layout>
                <c:manualLayout>
                  <c:xMode val="edge"/>
                  <c:yMode val="edge"/>
                  <c:x val="0.53445378151260226"/>
                  <c:y val="0.27826086956521845"/>
                </c:manualLayout>
              </c:layout>
              <c:spPr>
                <a:noFill/>
                <a:ln w="25410">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Val val="1"/>
            </c:dLbl>
            <c:spPr>
              <a:noFill/>
              <a:ln w="2541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Табл.!$B$101:$F$101</c:f>
              <c:strCache>
                <c:ptCount val="5"/>
                <c:pt idx="0">
                  <c:v>з червня2011</c:v>
                </c:pt>
                <c:pt idx="1">
                  <c:v>з грудня 2011</c:v>
                </c:pt>
                <c:pt idx="2">
                  <c:v>з січня 2012</c:v>
                </c:pt>
                <c:pt idx="3">
                  <c:v>з квітня 2012</c:v>
                </c:pt>
                <c:pt idx="4">
                  <c:v>з червня 2012</c:v>
                </c:pt>
              </c:strCache>
            </c:strRef>
          </c:cat>
          <c:val>
            <c:numRef>
              <c:f>Табл.!$B$102:$F$102</c:f>
              <c:numCache>
                <c:formatCode>0</c:formatCode>
                <c:ptCount val="5"/>
                <c:pt idx="0">
                  <c:v>1411</c:v>
                </c:pt>
                <c:pt idx="1">
                  <c:v>1474</c:v>
                </c:pt>
                <c:pt idx="2">
                  <c:v>1476</c:v>
                </c:pt>
                <c:pt idx="3">
                  <c:v>1514</c:v>
                </c:pt>
                <c:pt idx="4">
                  <c:v>1679</c:v>
                </c:pt>
              </c:numCache>
            </c:numRef>
          </c:val>
        </c:ser>
        <c:dLbls>
          <c:showVal val="1"/>
        </c:dLbls>
        <c:gapWidth val="170"/>
        <c:axId val="40612992"/>
        <c:axId val="40614528"/>
      </c:barChart>
      <c:catAx>
        <c:axId val="40612992"/>
        <c:scaling>
          <c:orientation val="minMax"/>
        </c:scaling>
        <c:axPos val="b"/>
        <c:numFmt formatCode="@" sourceLinked="1"/>
        <c:tickLblPos val="nextTo"/>
        <c:spPr>
          <a:ln w="1270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40614528"/>
        <c:crosses val="autoZero"/>
        <c:auto val="1"/>
        <c:lblAlgn val="ctr"/>
        <c:lblOffset val="100"/>
        <c:tickLblSkip val="1"/>
        <c:tickMarkSkip val="1"/>
      </c:catAx>
      <c:valAx>
        <c:axId val="40614528"/>
        <c:scaling>
          <c:orientation val="minMax"/>
          <c:max val="1700"/>
          <c:min val="0"/>
        </c:scaling>
        <c:axPos val="l"/>
        <c:numFmt formatCode="0" sourceLinked="1"/>
        <c:tickLblPos val="none"/>
        <c:spPr>
          <a:ln w="9529">
            <a:noFill/>
          </a:ln>
        </c:spPr>
        <c:crossAx val="40612992"/>
        <c:crosses val="autoZero"/>
        <c:crossBetween val="between"/>
        <c:majorUnit val="100"/>
        <c:minorUnit val="50"/>
      </c:valAx>
      <c:spPr>
        <a:noFill/>
        <a:ln w="25410">
          <a:noFill/>
        </a:ln>
      </c:spPr>
    </c:plotArea>
    <c:plotVisOnly val="1"/>
    <c:dispBlanksAs val="gap"/>
  </c:chart>
  <c:spPr>
    <a:no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987740805604204"/>
          <c:y val="4.5936395759717412E-2"/>
          <c:w val="0.8301225919439561"/>
          <c:h val="0.89045936395759717"/>
        </c:manualLayout>
      </c:layout>
      <c:barChart>
        <c:barDir val="bar"/>
        <c:grouping val="clustered"/>
        <c:ser>
          <c:idx val="0"/>
          <c:order val="0"/>
          <c:tx>
            <c:strRef>
              <c:f>Лист1!$B$1</c:f>
              <c:strCache>
                <c:ptCount val="1"/>
                <c:pt idx="0">
                  <c:v>01.07.2011</c:v>
                </c:pt>
              </c:strCache>
            </c:strRef>
          </c:tx>
          <c:spPr>
            <a:solidFill>
              <a:srgbClr val="339966"/>
            </a:solidFill>
            <a:ln w="12714">
              <a:solidFill>
                <a:srgbClr val="000000"/>
              </a:solidFill>
              <a:prstDash val="solid"/>
            </a:ln>
          </c:spPr>
          <c:dLbls>
            <c:dLbl>
              <c:idx val="0"/>
              <c:tx>
                <c:rich>
                  <a:bodyPr/>
                  <a:lstStyle/>
                  <a:p>
                    <a:r>
                      <a:rPr lang="ru-RU" sz="1000"/>
                      <a:t>0,5</a:t>
                    </a:r>
                  </a:p>
                </c:rich>
              </c:tx>
            </c:dLbl>
            <c:spPr>
              <a:noFill/>
              <a:ln w="2542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Лист1!$A$2:$A$5</c:f>
              <c:strCache>
                <c:ptCount val="4"/>
                <c:pt idx="0">
                  <c:v>до 500</c:v>
                </c:pt>
                <c:pt idx="1">
                  <c:v>від 501 до 1000</c:v>
                </c:pt>
                <c:pt idx="2">
                  <c:v>від 1001 до 1500</c:v>
                </c:pt>
                <c:pt idx="3">
                  <c:v>більше 1500</c:v>
                </c:pt>
              </c:strCache>
            </c:strRef>
          </c:cat>
          <c:val>
            <c:numRef>
              <c:f>Лист1!$B$2:$B$5</c:f>
              <c:numCache>
                <c:formatCode>0.0</c:formatCode>
                <c:ptCount val="4"/>
                <c:pt idx="0" formatCode="General">
                  <c:v>0.5</c:v>
                </c:pt>
                <c:pt idx="1">
                  <c:v>44.3</c:v>
                </c:pt>
                <c:pt idx="2" formatCode="General">
                  <c:v>25.4</c:v>
                </c:pt>
                <c:pt idx="3">
                  <c:v>29.8</c:v>
                </c:pt>
              </c:numCache>
            </c:numRef>
          </c:val>
        </c:ser>
        <c:ser>
          <c:idx val="1"/>
          <c:order val="1"/>
          <c:tx>
            <c:strRef>
              <c:f>Лист1!$C$1</c:f>
              <c:strCache>
                <c:ptCount val="1"/>
                <c:pt idx="0">
                  <c:v>01.07.2012</c:v>
                </c:pt>
              </c:strCache>
            </c:strRef>
          </c:tx>
          <c:spPr>
            <a:solidFill>
              <a:srgbClr val="FF8080"/>
            </a:solidFill>
            <a:ln w="12714">
              <a:solidFill>
                <a:srgbClr val="000000"/>
              </a:solidFill>
              <a:prstDash val="solid"/>
            </a:ln>
          </c:spPr>
          <c:dLbls>
            <c:dLbl>
              <c:idx val="0"/>
              <c:tx>
                <c:rich>
                  <a:bodyPr/>
                  <a:lstStyle/>
                  <a:p>
                    <a:r>
                      <a:rPr lang="ru-RU" sz="1000"/>
                      <a:t>0,1</a:t>
                    </a:r>
                  </a:p>
                </c:rich>
              </c:tx>
            </c:dLbl>
            <c:spPr>
              <a:noFill/>
              <a:ln w="2542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Лист1!$A$2:$A$5</c:f>
              <c:strCache>
                <c:ptCount val="4"/>
                <c:pt idx="0">
                  <c:v>до 500</c:v>
                </c:pt>
                <c:pt idx="1">
                  <c:v>від 501 до 1000</c:v>
                </c:pt>
                <c:pt idx="2">
                  <c:v>від 1001 до 1500</c:v>
                </c:pt>
                <c:pt idx="3">
                  <c:v>більше 1500</c:v>
                </c:pt>
              </c:strCache>
            </c:strRef>
          </c:cat>
          <c:val>
            <c:numRef>
              <c:f>Лист1!$C$2:$C$5</c:f>
              <c:numCache>
                <c:formatCode>0.0</c:formatCode>
                <c:ptCount val="4"/>
                <c:pt idx="0" formatCode="General">
                  <c:v>0.1</c:v>
                </c:pt>
                <c:pt idx="1">
                  <c:v>21.9</c:v>
                </c:pt>
                <c:pt idx="2" formatCode="General">
                  <c:v>40.6</c:v>
                </c:pt>
                <c:pt idx="3">
                  <c:v>37.300000000000004</c:v>
                </c:pt>
              </c:numCache>
            </c:numRef>
          </c:val>
        </c:ser>
        <c:dLbls>
          <c:showVal val="1"/>
        </c:dLbls>
        <c:axId val="40705024"/>
        <c:axId val="40715392"/>
      </c:barChart>
      <c:catAx>
        <c:axId val="40705024"/>
        <c:scaling>
          <c:orientation val="minMax"/>
        </c:scaling>
        <c:axPos val="l"/>
        <c:title>
          <c:tx>
            <c:rich>
              <a:bodyPr rot="0" vert="horz"/>
              <a:lstStyle/>
              <a:p>
                <a:pPr algn="ctr">
                  <a:defRPr sz="876" b="1" i="0" u="none" strike="noStrike" baseline="0">
                    <a:solidFill>
                      <a:srgbClr val="000000"/>
                    </a:solidFill>
                    <a:latin typeface="Times New Roman"/>
                    <a:ea typeface="Times New Roman"/>
                    <a:cs typeface="Times New Roman"/>
                  </a:defRPr>
                </a:pPr>
                <a:r>
                  <a:rPr lang="ru-RU"/>
                  <a:t>грн.</a:t>
                </a:r>
              </a:p>
            </c:rich>
          </c:tx>
          <c:layout>
            <c:manualLayout>
              <c:xMode val="edge"/>
              <c:yMode val="edge"/>
              <c:x val="8.7565674255691797E-2"/>
              <c:y val="3.5335689045936395E-3"/>
            </c:manualLayout>
          </c:layout>
          <c:spPr>
            <a:noFill/>
            <a:ln w="25428">
              <a:noFill/>
            </a:ln>
          </c:spPr>
        </c:title>
        <c:numFmt formatCode="General" sourceLinked="1"/>
        <c:tickLblPos val="nextTo"/>
        <c:spPr>
          <a:ln w="3179">
            <a:solidFill>
              <a:srgbClr val="000000"/>
            </a:solidFill>
            <a:prstDash val="solid"/>
          </a:ln>
        </c:spPr>
        <c:txPr>
          <a:bodyPr rot="0" vert="horz"/>
          <a:lstStyle/>
          <a:p>
            <a:pPr>
              <a:defRPr sz="901" b="0" i="0" u="none" strike="noStrike" baseline="0">
                <a:solidFill>
                  <a:srgbClr val="000000"/>
                </a:solidFill>
                <a:latin typeface="Times New Roman"/>
                <a:ea typeface="Times New Roman"/>
                <a:cs typeface="Times New Roman"/>
              </a:defRPr>
            </a:pPr>
            <a:endParaRPr lang="ru-RU"/>
          </a:p>
        </c:txPr>
        <c:crossAx val="40715392"/>
        <c:crosses val="autoZero"/>
        <c:auto val="1"/>
        <c:lblAlgn val="ctr"/>
        <c:lblOffset val="100"/>
        <c:tickLblSkip val="1"/>
        <c:tickMarkSkip val="1"/>
      </c:catAx>
      <c:valAx>
        <c:axId val="40715392"/>
        <c:scaling>
          <c:orientation val="minMax"/>
          <c:max val="60"/>
          <c:min val="0"/>
        </c:scaling>
        <c:axPos val="b"/>
        <c:numFmt formatCode="General" sourceLinked="1"/>
        <c:tickLblPos val="none"/>
        <c:spPr>
          <a:ln w="9536">
            <a:noFill/>
          </a:ln>
        </c:spPr>
        <c:crossAx val="40705024"/>
        <c:crosses val="autoZero"/>
        <c:crossBetween val="between"/>
        <c:minorUnit val="5"/>
      </c:valAx>
      <c:spPr>
        <a:solidFill>
          <a:srgbClr val="FFFFFF"/>
        </a:solidFill>
        <a:ln w="25428">
          <a:noFill/>
        </a:ln>
      </c:spPr>
    </c:plotArea>
    <c:legend>
      <c:legendPos val="r"/>
      <c:layout>
        <c:manualLayout>
          <c:xMode val="edge"/>
          <c:yMode val="edge"/>
          <c:x val="0.79509632224168125"/>
          <c:y val="8.4805653710247744E-2"/>
          <c:w val="0.18038528896672573"/>
          <c:h val="0.13427561837455754"/>
        </c:manualLayout>
      </c:layout>
      <c:spPr>
        <a:noFill/>
        <a:ln w="25428">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527"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388489208633164E-2"/>
          <c:y val="1.7777777777777781E-2"/>
          <c:w val="0.96942446043165453"/>
          <c:h val="0.66666666666666663"/>
        </c:manualLayout>
      </c:layout>
      <c:lineChart>
        <c:grouping val="standard"/>
        <c:ser>
          <c:idx val="1"/>
          <c:order val="0"/>
          <c:tx>
            <c:strRef>
              <c:f>Лист1!$A$5</c:f>
              <c:strCache>
                <c:ptCount val="1"/>
                <c:pt idx="0">
                  <c:v>2012</c:v>
                </c:pt>
              </c:strCache>
            </c:strRef>
          </c:tx>
          <c:spPr>
            <a:ln w="38100">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4.6018241608574095E-2"/>
                  <c:y val="7.9375265113679982E-2"/>
                </c:manualLayout>
              </c:layout>
              <c:dLblPos val="r"/>
              <c:showVal val="1"/>
            </c:dLbl>
            <c:dLbl>
              <c:idx val="1"/>
              <c:layout>
                <c:manualLayout>
                  <c:x val="-3.5076917185248045E-2"/>
                  <c:y val="5.3819821119696867E-2"/>
                </c:manualLayout>
              </c:layout>
              <c:tx>
                <c:rich>
                  <a:bodyPr/>
                  <a:lstStyle/>
                  <a:p>
                    <a:pPr>
                      <a:defRPr sz="1000" b="1" i="0" u="none" strike="noStrike" baseline="0">
                        <a:solidFill>
                          <a:srgbClr val="000000"/>
                        </a:solidFill>
                        <a:latin typeface="Times New Roman"/>
                        <a:ea typeface="Times New Roman"/>
                        <a:cs typeface="Times New Roman"/>
                      </a:defRPr>
                    </a:pPr>
                    <a:r>
                      <a:rPr lang="ru-RU" sz="1000"/>
                      <a:t>33,5</a:t>
                    </a:r>
                  </a:p>
                </c:rich>
              </c:tx>
              <c:spPr>
                <a:noFill/>
                <a:ln w="25429">
                  <a:noFill/>
                </a:ln>
              </c:spPr>
              <c:dLblPos val="r"/>
            </c:dLbl>
            <c:dLbl>
              <c:idx val="2"/>
              <c:layout>
                <c:manualLayout>
                  <c:x val="-2.2337208694295618E-2"/>
                  <c:y val="7.7153414763364681E-2"/>
                </c:manualLayout>
              </c:layout>
              <c:dLblPos val="r"/>
              <c:showVal val="1"/>
            </c:dLbl>
            <c:dLbl>
              <c:idx val="3"/>
              <c:layout>
                <c:manualLayout>
                  <c:x val="-3.4777179234997894E-2"/>
                  <c:y val="6.8264377125712788E-2"/>
                </c:manualLayout>
              </c:layout>
              <c:dLblPos val="r"/>
              <c:showVal val="1"/>
            </c:dLbl>
            <c:dLbl>
              <c:idx val="4"/>
              <c:layout>
                <c:manualLayout>
                  <c:x val="-3.4627221718146195E-2"/>
                  <c:y val="7.5486803877483813E-2"/>
                </c:manualLayout>
              </c:layout>
              <c:tx>
                <c:rich>
                  <a:bodyPr/>
                  <a:lstStyle/>
                  <a:p>
                    <a:pPr>
                      <a:defRPr sz="1000" b="1" i="0" u="none" strike="noStrike" baseline="0">
                        <a:solidFill>
                          <a:srgbClr val="000000"/>
                        </a:solidFill>
                        <a:latin typeface="Times New Roman"/>
                        <a:ea typeface="Times New Roman"/>
                        <a:cs typeface="Times New Roman"/>
                      </a:defRPr>
                    </a:pPr>
                    <a:r>
                      <a:rPr lang="ru-RU" sz="1000"/>
                      <a:t>36,0</a:t>
                    </a:r>
                  </a:p>
                </c:rich>
              </c:tx>
              <c:spPr>
                <a:noFill/>
                <a:ln w="25429">
                  <a:noFill/>
                </a:ln>
              </c:spPr>
              <c:dLblPos val="r"/>
            </c:dLbl>
            <c:dLbl>
              <c:idx val="5"/>
              <c:layout>
                <c:manualLayout>
                  <c:x val="-3.6276002435827438E-2"/>
                  <c:y val="7.1042061935513934E-2"/>
                </c:manualLayout>
              </c:layout>
              <c:dLblPos val="r"/>
              <c:showVal val="1"/>
            </c:dLbl>
            <c:dLbl>
              <c:idx val="6"/>
              <c:layout>
                <c:manualLayout>
                  <c:x val="-4.1521728372213705E-2"/>
                  <c:y val="0"/>
                </c:manualLayout>
              </c:layout>
              <c:numFmt formatCode="0.0" sourceLinked="0"/>
              <c:spPr>
                <a:noFill/>
                <a:ln w="25429">
                  <a:noFill/>
                </a:ln>
              </c:spPr>
              <c:txPr>
                <a:bodyPr/>
                <a:lstStyle/>
                <a:p>
                  <a:pPr>
                    <a:defRPr sz="1000" b="1" i="0" u="none" strike="noStrike" baseline="0">
                      <a:solidFill>
                        <a:srgbClr val="000000"/>
                      </a:solidFill>
                      <a:latin typeface="Arial"/>
                      <a:ea typeface="Arial"/>
                      <a:cs typeface="Arial"/>
                    </a:defRPr>
                  </a:pPr>
                  <a:endParaRPr lang="ru-RU"/>
                </a:p>
              </c:txPr>
              <c:dLblPos val="r"/>
              <c:showVal val="1"/>
            </c:dLbl>
            <c:dLbl>
              <c:idx val="7"/>
              <c:layout>
                <c:manualLayout>
                  <c:x val="-3.5976264485577697E-2"/>
                  <c:y val="0"/>
                </c:manualLayout>
              </c:layout>
              <c:numFmt formatCode="0.0" sourceLinked="0"/>
              <c:spPr>
                <a:noFill/>
                <a:ln w="25429">
                  <a:noFill/>
                </a:ln>
              </c:spPr>
              <c:txPr>
                <a:bodyPr/>
                <a:lstStyle/>
                <a:p>
                  <a:pPr>
                    <a:defRPr sz="1000" b="1" i="0" u="none" strike="noStrike" baseline="0">
                      <a:solidFill>
                        <a:srgbClr val="000000"/>
                      </a:solidFill>
                      <a:latin typeface="Arial"/>
                      <a:ea typeface="Arial"/>
                      <a:cs typeface="Arial"/>
                    </a:defRPr>
                  </a:pPr>
                  <a:endParaRPr lang="ru-RU"/>
                </a:p>
              </c:txPr>
              <c:dLblPos val="r"/>
              <c:showVal val="1"/>
            </c:dLbl>
            <c:dLbl>
              <c:idx val="8"/>
              <c:layout>
                <c:manualLayout>
                  <c:x val="-3.9423429270884318E-2"/>
                  <c:y val="0"/>
                </c:manualLayout>
              </c:layout>
              <c:numFmt formatCode="0.0" sourceLinked="0"/>
              <c:spPr>
                <a:noFill/>
                <a:ln w="25429">
                  <a:noFill/>
                </a:ln>
              </c:spPr>
              <c:txPr>
                <a:bodyPr/>
                <a:lstStyle/>
                <a:p>
                  <a:pPr>
                    <a:defRPr sz="1000" b="1" i="0" u="none" strike="noStrike" baseline="0">
                      <a:solidFill>
                        <a:srgbClr val="000000"/>
                      </a:solidFill>
                      <a:latin typeface="Arial"/>
                      <a:ea typeface="Arial"/>
                      <a:cs typeface="Arial"/>
                    </a:defRPr>
                  </a:pPr>
                  <a:endParaRPr lang="ru-RU"/>
                </a:p>
              </c:txPr>
              <c:dLblPos val="r"/>
              <c:showVal val="1"/>
            </c:dLbl>
            <c:dLbl>
              <c:idx val="9"/>
              <c:layout>
                <c:manualLayout>
                  <c:x val="-3.9273471754032674E-2"/>
                  <c:y val="0"/>
                </c:manualLayout>
              </c:layout>
              <c:numFmt formatCode="0.0" sourceLinked="0"/>
              <c:spPr>
                <a:noFill/>
                <a:ln w="25429">
                  <a:noFill/>
                </a:ln>
              </c:spPr>
              <c:txPr>
                <a:bodyPr/>
                <a:lstStyle/>
                <a:p>
                  <a:pPr>
                    <a:defRPr sz="1000" b="1" i="0" u="none" strike="noStrike" baseline="0">
                      <a:solidFill>
                        <a:srgbClr val="000000"/>
                      </a:solidFill>
                      <a:latin typeface="Arial"/>
                      <a:ea typeface="Arial"/>
                      <a:cs typeface="Arial"/>
                    </a:defRPr>
                  </a:pPr>
                  <a:endParaRPr lang="ru-RU"/>
                </a:p>
              </c:txPr>
              <c:dLblPos val="r"/>
              <c:showVal val="1"/>
            </c:dLbl>
            <c:dLbl>
              <c:idx val="10"/>
              <c:layout>
                <c:manualLayout>
                  <c:x val="-3.3728007867397443E-2"/>
                  <c:y val="0"/>
                </c:manualLayout>
              </c:layout>
              <c:numFmt formatCode="0.0" sourceLinked="0"/>
              <c:spPr>
                <a:noFill/>
                <a:ln w="25429">
                  <a:noFill/>
                </a:ln>
              </c:spPr>
              <c:txPr>
                <a:bodyPr/>
                <a:lstStyle/>
                <a:p>
                  <a:pPr>
                    <a:defRPr sz="1000" b="1" i="0" u="none" strike="noStrike" baseline="0">
                      <a:solidFill>
                        <a:srgbClr val="000000"/>
                      </a:solidFill>
                      <a:latin typeface="Arial"/>
                      <a:ea typeface="Arial"/>
                      <a:cs typeface="Arial"/>
                    </a:defRPr>
                  </a:pPr>
                  <a:endParaRPr lang="ru-RU"/>
                </a:p>
              </c:txPr>
              <c:dLblPos val="r"/>
              <c:showVal val="1"/>
            </c:dLbl>
            <c:dLbl>
              <c:idx val="11"/>
              <c:layout>
                <c:manualLayout>
                  <c:x val="-3.3578050350545577E-2"/>
                  <c:y val="0"/>
                </c:manualLayout>
              </c:layout>
              <c:numFmt formatCode="0.0" sourceLinked="0"/>
              <c:spPr>
                <a:noFill/>
                <a:ln w="25429">
                  <a:noFill/>
                </a:ln>
              </c:spPr>
              <c:txPr>
                <a:bodyPr/>
                <a:lstStyle/>
                <a:p>
                  <a:pPr>
                    <a:defRPr sz="1000" b="1" i="0" u="none" strike="noStrike" baseline="0">
                      <a:solidFill>
                        <a:srgbClr val="000000"/>
                      </a:solidFill>
                      <a:latin typeface="Arial"/>
                      <a:ea typeface="Arial"/>
                      <a:cs typeface="Arial"/>
                    </a:defRPr>
                  </a:pPr>
                  <a:endParaRPr lang="ru-RU"/>
                </a:p>
              </c:txPr>
              <c:dLblPos val="r"/>
              <c:showVal val="1"/>
            </c:dLbl>
            <c:numFmt formatCode="0.0" sourceLinked="0"/>
            <c:spPr>
              <a:noFill/>
              <a:ln w="2542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Лист1!$B$3:$M$3</c:f>
              <c:strCache>
                <c:ptCount val="12"/>
                <c:pt idx="0">
                  <c:v>січень</c:v>
                </c:pt>
                <c:pt idx="1">
                  <c:v>лютий</c:v>
                </c:pt>
                <c:pt idx="2">
                  <c:v>березень</c:v>
                </c:pt>
                <c:pt idx="3">
                  <c:v>квітень</c:v>
                </c:pt>
                <c:pt idx="4">
                  <c:v> травень</c:v>
                </c:pt>
                <c:pt idx="5">
                  <c:v>червень</c:v>
                </c:pt>
                <c:pt idx="6">
                  <c:v>липень</c:v>
                </c:pt>
                <c:pt idx="7">
                  <c:v>серпень</c:v>
                </c:pt>
                <c:pt idx="8">
                  <c:v>вересень</c:v>
                </c:pt>
                <c:pt idx="9">
                  <c:v> жовтень</c:v>
                </c:pt>
                <c:pt idx="10">
                  <c:v>листопад</c:v>
                </c:pt>
                <c:pt idx="11">
                  <c:v>грудень</c:v>
                </c:pt>
              </c:strCache>
            </c:strRef>
          </c:cat>
          <c:val>
            <c:numRef>
              <c:f>Лист1!$B$5:$M$5</c:f>
              <c:numCache>
                <c:formatCode>General</c:formatCode>
                <c:ptCount val="12"/>
                <c:pt idx="0">
                  <c:v>35.300000000000004</c:v>
                </c:pt>
                <c:pt idx="1">
                  <c:v>33.5</c:v>
                </c:pt>
                <c:pt idx="2">
                  <c:v>35.700000000000003</c:v>
                </c:pt>
                <c:pt idx="3">
                  <c:v>36.5</c:v>
                </c:pt>
                <c:pt idx="4" formatCode="0.0">
                  <c:v>36</c:v>
                </c:pt>
                <c:pt idx="5">
                  <c:v>35.200000000000003</c:v>
                </c:pt>
              </c:numCache>
            </c:numRef>
          </c:val>
        </c:ser>
        <c:ser>
          <c:idx val="2"/>
          <c:order val="1"/>
          <c:tx>
            <c:strRef>
              <c:f>Лист1!$A$4</c:f>
              <c:strCache>
                <c:ptCount val="1"/>
                <c:pt idx="0">
                  <c:v>2011</c:v>
                </c:pt>
              </c:strCache>
            </c:strRef>
          </c:tx>
          <c:spPr>
            <a:ln w="38100">
              <a:solidFill>
                <a:srgbClr val="003300"/>
              </a:solidFill>
              <a:prstDash val="solid"/>
            </a:ln>
          </c:spPr>
          <c:marker>
            <c:symbol val="triangle"/>
            <c:size val="7"/>
            <c:spPr>
              <a:solidFill>
                <a:srgbClr val="003300"/>
              </a:solidFill>
              <a:ln>
                <a:solidFill>
                  <a:srgbClr val="003300"/>
                </a:solidFill>
                <a:prstDash val="solid"/>
              </a:ln>
            </c:spPr>
          </c:marker>
          <c:dLbls>
            <c:dLbl>
              <c:idx val="0"/>
              <c:layout>
                <c:manualLayout>
                  <c:x val="-4.5640815017347867E-2"/>
                  <c:y val="-7.6280193236714991E-2"/>
                </c:manualLayout>
              </c:layout>
              <c:tx>
                <c:rich>
                  <a:bodyPr/>
                  <a:lstStyle/>
                  <a:p>
                    <a:r>
                      <a:rPr lang="ru-RU" sz="1000"/>
                      <a:t>38,3</a:t>
                    </a:r>
                  </a:p>
                </c:rich>
              </c:tx>
              <c:dLblPos val="r"/>
            </c:dLbl>
            <c:dLbl>
              <c:idx val="1"/>
              <c:layout>
                <c:manualLayout>
                  <c:x val="-3.3278356034168663E-2"/>
                  <c:y val="-0.10173573443585959"/>
                </c:manualLayout>
              </c:layout>
              <c:tx>
                <c:rich>
                  <a:bodyPr/>
                  <a:lstStyle/>
                  <a:p>
                    <a:r>
                      <a:rPr lang="ru-RU" sz="1000"/>
                      <a:t>35,9</a:t>
                    </a:r>
                  </a:p>
                </c:rich>
              </c:tx>
              <c:dLblPos val="r"/>
            </c:dLbl>
            <c:dLbl>
              <c:idx val="2"/>
              <c:layout>
                <c:manualLayout>
                  <c:x val="-4.9315625960482834E-2"/>
                  <c:y val="-7.0068788865262618E-2"/>
                </c:manualLayout>
              </c:layout>
              <c:tx>
                <c:rich>
                  <a:bodyPr/>
                  <a:lstStyle/>
                  <a:p>
                    <a:r>
                      <a:rPr lang="ru-RU" sz="1000"/>
                      <a:t>37,4</a:t>
                    </a:r>
                  </a:p>
                </c:rich>
              </c:tx>
              <c:dLblPos val="r"/>
            </c:dLbl>
            <c:dLbl>
              <c:idx val="3"/>
              <c:layout>
                <c:manualLayout>
                  <c:x val="-3.4777179234997894E-2"/>
                  <c:y val="-7.0068788865262618E-2"/>
                </c:manualLayout>
              </c:layout>
              <c:tx>
                <c:rich>
                  <a:bodyPr/>
                  <a:lstStyle/>
                  <a:p>
                    <a:r>
                      <a:rPr lang="ru-RU" sz="1000"/>
                      <a:t>37,4</a:t>
                    </a:r>
                  </a:p>
                </c:rich>
              </c:tx>
              <c:dLblPos val="r"/>
            </c:dLbl>
            <c:dLbl>
              <c:idx val="4"/>
              <c:layout>
                <c:manualLayout>
                  <c:x val="-3.8224344020304682E-2"/>
                  <c:y val="-9.5624530356771806E-2"/>
                </c:manualLayout>
              </c:layout>
              <c:tx>
                <c:rich>
                  <a:bodyPr/>
                  <a:lstStyle/>
                  <a:p>
                    <a:r>
                      <a:rPr lang="ru-RU" sz="1000"/>
                      <a:t>37,2</a:t>
                    </a:r>
                  </a:p>
                </c:rich>
              </c:tx>
              <c:dLblPos val="r"/>
            </c:dLbl>
            <c:dLbl>
              <c:idx val="5"/>
              <c:layout>
                <c:manualLayout>
                  <c:x val="-3.9058560302912923E-2"/>
                  <c:y val="-7.9178743961352688E-2"/>
                </c:manualLayout>
              </c:layout>
              <c:tx>
                <c:rich>
                  <a:bodyPr/>
                  <a:lstStyle/>
                  <a:p>
                    <a:r>
                      <a:rPr lang="ru-RU" sz="1000"/>
                      <a:t>37,4</a:t>
                    </a:r>
                  </a:p>
                </c:rich>
              </c:tx>
              <c:dLblPos val="r"/>
            </c:dLbl>
            <c:dLbl>
              <c:idx val="6"/>
              <c:layout>
                <c:manualLayout>
                  <c:x val="-4.6917411825450971E-2"/>
                  <c:y val="-0.10729110405546172"/>
                </c:manualLayout>
              </c:layout>
              <c:dLblPos val="r"/>
              <c:showVal val="1"/>
            </c:dLbl>
            <c:dLbl>
              <c:idx val="7"/>
              <c:layout>
                <c:manualLayout>
                  <c:x val="-4.3281191937445992E-2"/>
                  <c:y val="-7.8454106280193253E-2"/>
                </c:manualLayout>
              </c:layout>
              <c:tx>
                <c:rich>
                  <a:bodyPr/>
                  <a:lstStyle/>
                  <a:p>
                    <a:r>
                      <a:rPr lang="ru-RU" sz="1000"/>
                      <a:t>39,0</a:t>
                    </a:r>
                  </a:p>
                </c:rich>
              </c:tx>
              <c:dLblPos val="r"/>
            </c:dLbl>
            <c:dLbl>
              <c:idx val="8"/>
              <c:layout>
                <c:manualLayout>
                  <c:x val="-3.8686021177308065E-2"/>
                  <c:y val="-6.845410628019323E-2"/>
                </c:manualLayout>
              </c:layout>
              <c:tx>
                <c:rich>
                  <a:bodyPr/>
                  <a:lstStyle/>
                  <a:p>
                    <a:r>
                      <a:rPr lang="ru-RU" sz="1000"/>
                      <a:t>38,3</a:t>
                    </a:r>
                  </a:p>
                </c:rich>
              </c:tx>
              <c:dLblPos val="r"/>
            </c:dLbl>
            <c:dLbl>
              <c:idx val="9"/>
              <c:layout>
                <c:manualLayout>
                  <c:x val="-3.747491060295411E-2"/>
                  <c:y val="-9.0069160737169376E-2"/>
                </c:manualLayout>
              </c:layout>
              <c:tx>
                <c:rich>
                  <a:bodyPr/>
                  <a:lstStyle/>
                  <a:p>
                    <a:r>
                      <a:rPr lang="ru-RU" sz="1000"/>
                      <a:t>37,0</a:t>
                    </a:r>
                  </a:p>
                </c:rich>
              </c:tx>
              <c:dLblPos val="r"/>
            </c:dLbl>
            <c:dLbl>
              <c:idx val="10"/>
              <c:layout>
                <c:manualLayout>
                  <c:x val="-4.4519374773871898E-2"/>
                  <c:y val="-9.006886323964429E-2"/>
                </c:manualLayout>
              </c:layout>
              <c:dLblPos val="r"/>
              <c:showVal val="1"/>
            </c:dLbl>
            <c:dLbl>
              <c:idx val="11"/>
              <c:layout>
                <c:manualLayout>
                  <c:x val="-1.3312669329284505E-2"/>
                  <c:y val="-0.11451323330970695"/>
                </c:manualLayout>
              </c:layout>
              <c:tx>
                <c:rich>
                  <a:bodyPr/>
                  <a:lstStyle/>
                  <a:p>
                    <a:r>
                      <a:rPr lang="ru-RU" sz="1000"/>
                      <a:t>35,0</a:t>
                    </a:r>
                  </a:p>
                </c:rich>
              </c:tx>
              <c:dLblPos val="r"/>
            </c:dLbl>
            <c:spPr>
              <a:noFill/>
              <a:ln w="25429">
                <a:noFill/>
              </a:ln>
            </c:spPr>
            <c:txPr>
              <a:bodyPr/>
              <a:lstStyle/>
              <a:p>
                <a:pPr>
                  <a:defRPr sz="1000" b="1" i="1" u="none" strike="noStrike" baseline="0">
                    <a:solidFill>
                      <a:srgbClr val="000000"/>
                    </a:solidFill>
                    <a:latin typeface="Times New Roman"/>
                    <a:ea typeface="Times New Roman"/>
                    <a:cs typeface="Times New Roman"/>
                  </a:defRPr>
                </a:pPr>
                <a:endParaRPr lang="ru-RU"/>
              </a:p>
            </c:txPr>
            <c:showVal val="1"/>
          </c:dLbls>
          <c:cat>
            <c:strRef>
              <c:f>Лист1!$B$3:$M$3</c:f>
              <c:strCache>
                <c:ptCount val="12"/>
                <c:pt idx="0">
                  <c:v>січень</c:v>
                </c:pt>
                <c:pt idx="1">
                  <c:v>лютий</c:v>
                </c:pt>
                <c:pt idx="2">
                  <c:v>березень</c:v>
                </c:pt>
                <c:pt idx="3">
                  <c:v>квітень</c:v>
                </c:pt>
                <c:pt idx="4">
                  <c:v> травень</c:v>
                </c:pt>
                <c:pt idx="5">
                  <c:v>червень</c:v>
                </c:pt>
                <c:pt idx="6">
                  <c:v>липень</c:v>
                </c:pt>
                <c:pt idx="7">
                  <c:v>серпень</c:v>
                </c:pt>
                <c:pt idx="8">
                  <c:v>вересень</c:v>
                </c:pt>
                <c:pt idx="9">
                  <c:v> жовтень</c:v>
                </c:pt>
                <c:pt idx="10">
                  <c:v>листопад</c:v>
                </c:pt>
                <c:pt idx="11">
                  <c:v>грудень</c:v>
                </c:pt>
              </c:strCache>
            </c:strRef>
          </c:cat>
          <c:val>
            <c:numRef>
              <c:f>Лист1!$B$4:$M$4</c:f>
              <c:numCache>
                <c:formatCode>General</c:formatCode>
                <c:ptCount val="12"/>
                <c:pt idx="0">
                  <c:v>38.300000000000004</c:v>
                </c:pt>
                <c:pt idx="1">
                  <c:v>35.9</c:v>
                </c:pt>
                <c:pt idx="2">
                  <c:v>37.4</c:v>
                </c:pt>
                <c:pt idx="3">
                  <c:v>37.4</c:v>
                </c:pt>
                <c:pt idx="4" formatCode="0.0">
                  <c:v>37.200000000000003</c:v>
                </c:pt>
                <c:pt idx="5">
                  <c:v>37.4</c:v>
                </c:pt>
                <c:pt idx="6">
                  <c:v>36.1</c:v>
                </c:pt>
                <c:pt idx="7" formatCode="0.0">
                  <c:v>39</c:v>
                </c:pt>
                <c:pt idx="8">
                  <c:v>38.300000000000004</c:v>
                </c:pt>
                <c:pt idx="9" formatCode="0.0">
                  <c:v>37</c:v>
                </c:pt>
                <c:pt idx="10">
                  <c:v>37.800000000000004</c:v>
                </c:pt>
                <c:pt idx="11" formatCode="0.0">
                  <c:v>35</c:v>
                </c:pt>
              </c:numCache>
            </c:numRef>
          </c:val>
        </c:ser>
        <c:dLbls>
          <c:showVal val="1"/>
        </c:dLbls>
        <c:marker val="1"/>
        <c:axId val="39098240"/>
        <c:axId val="39099776"/>
      </c:lineChart>
      <c:catAx>
        <c:axId val="39098240"/>
        <c:scaling>
          <c:orientation val="minMax"/>
        </c:scaling>
        <c:axPos val="b"/>
        <c:numFmt formatCode="General" sourceLinked="1"/>
        <c:tickLblPos val="nextTo"/>
        <c:spPr>
          <a:ln w="3179">
            <a:solidFill>
              <a:srgbClr val="000000"/>
            </a:solidFill>
            <a:prstDash val="solid"/>
          </a:ln>
        </c:spPr>
        <c:txPr>
          <a:bodyPr rot="0" vert="horz"/>
          <a:lstStyle/>
          <a:p>
            <a:pPr>
              <a:defRPr sz="901" b="0" i="0" u="none" strike="noStrike" baseline="0">
                <a:solidFill>
                  <a:srgbClr val="000000"/>
                </a:solidFill>
                <a:latin typeface="Times New Roman"/>
                <a:ea typeface="Times New Roman"/>
                <a:cs typeface="Times New Roman"/>
              </a:defRPr>
            </a:pPr>
            <a:endParaRPr lang="ru-RU"/>
          </a:p>
        </c:txPr>
        <c:crossAx val="39099776"/>
        <c:crosses val="autoZero"/>
        <c:auto val="1"/>
        <c:lblAlgn val="ctr"/>
        <c:lblOffset val="100"/>
        <c:tickLblSkip val="1"/>
        <c:tickMarkSkip val="1"/>
      </c:catAx>
      <c:valAx>
        <c:axId val="39099776"/>
        <c:scaling>
          <c:orientation val="minMax"/>
          <c:min val="32"/>
        </c:scaling>
        <c:delete val="1"/>
        <c:axPos val="l"/>
        <c:numFmt formatCode="General" sourceLinked="1"/>
        <c:tickLblPos val="none"/>
        <c:crossAx val="39098240"/>
        <c:crosses val="autoZero"/>
        <c:crossBetween val="between"/>
      </c:valAx>
      <c:spPr>
        <a:noFill/>
        <a:ln w="25429">
          <a:noFill/>
        </a:ln>
      </c:spPr>
    </c:plotArea>
    <c:legend>
      <c:legendPos val="b"/>
      <c:layout>
        <c:manualLayout>
          <c:xMode val="edge"/>
          <c:yMode val="edge"/>
          <c:x val="0.27829921968176324"/>
          <c:y val="0.83111111111111113"/>
          <c:w val="0.41821250191471526"/>
          <c:h val="0.13333333333333341"/>
        </c:manualLayout>
      </c:layout>
      <c:spPr>
        <a:noFill/>
        <a:ln w="25429">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076" b="0" i="0" u="none" strike="noStrike" baseline="0">
          <a:solidFill>
            <a:srgbClr val="000000"/>
          </a:solidFill>
          <a:latin typeface="Arial Cyr"/>
          <a:ea typeface="Arial Cyr"/>
          <a:cs typeface="Arial Cy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2006861063464843E-2"/>
          <c:y val="0"/>
          <c:w val="0.967409948542024"/>
          <c:h val="0.6750902527075856"/>
        </c:manualLayout>
      </c:layout>
      <c:barChart>
        <c:barDir val="col"/>
        <c:grouping val="clustered"/>
        <c:ser>
          <c:idx val="1"/>
          <c:order val="0"/>
          <c:tx>
            <c:strRef>
              <c:f>'незан., вакансии, нагрузка (2)'!$A$2</c:f>
              <c:strCache>
                <c:ptCount val="1"/>
                <c:pt idx="0">
                  <c:v>Чисельність незайнятих громадян, які перебувають на обліку в службі зайнятості, тис. чол.</c:v>
                </c:pt>
              </c:strCache>
            </c:strRef>
          </c:tx>
          <c:spPr>
            <a:solidFill>
              <a:srgbClr val="FF8080"/>
            </a:solidFill>
            <a:ln w="12704">
              <a:solidFill>
                <a:srgbClr val="000000"/>
              </a:solidFill>
              <a:prstDash val="solid"/>
            </a:ln>
          </c:spPr>
          <c:dLbls>
            <c:spPr>
              <a:noFill/>
              <a:ln w="25407">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'незан., вакансии, нагрузка (2)'!$B$1:$F$1</c:f>
              <c:numCache>
                <c:formatCode>dd/mm/yyyy</c:formatCode>
                <c:ptCount val="5"/>
                <c:pt idx="0">
                  <c:v>40725</c:v>
                </c:pt>
                <c:pt idx="1">
                  <c:v>40817</c:v>
                </c:pt>
                <c:pt idx="2">
                  <c:v>40909</c:v>
                </c:pt>
                <c:pt idx="3">
                  <c:v>41000</c:v>
                </c:pt>
                <c:pt idx="4">
                  <c:v>41091</c:v>
                </c:pt>
              </c:numCache>
            </c:numRef>
          </c:cat>
          <c:val>
            <c:numRef>
              <c:f>'незан., вакансии, нагрузка (2)'!$B$2:$F$2</c:f>
              <c:numCache>
                <c:formatCode>General</c:formatCode>
                <c:ptCount val="5"/>
                <c:pt idx="0" formatCode="0.0">
                  <c:v>33.800000000000004</c:v>
                </c:pt>
                <c:pt idx="1">
                  <c:v>29.4</c:v>
                </c:pt>
                <c:pt idx="2" formatCode="0.0">
                  <c:v>28.4</c:v>
                </c:pt>
                <c:pt idx="3" formatCode="0.0">
                  <c:v>30.3</c:v>
                </c:pt>
                <c:pt idx="4" formatCode="0.0">
                  <c:v>29.3</c:v>
                </c:pt>
              </c:numCache>
            </c:numRef>
          </c:val>
        </c:ser>
        <c:ser>
          <c:idx val="0"/>
          <c:order val="1"/>
          <c:tx>
            <c:strRef>
              <c:f>'незан., вакансии, нагрузка (2)'!$A$3</c:f>
              <c:strCache>
                <c:ptCount val="1"/>
                <c:pt idx="0">
                  <c:v>Кількість вакансій, тис. од.</c:v>
                </c:pt>
              </c:strCache>
            </c:strRef>
          </c:tx>
          <c:spPr>
            <a:solidFill>
              <a:srgbClr val="0000FF"/>
            </a:solidFill>
            <a:ln w="12704">
              <a:solidFill>
                <a:srgbClr val="000000"/>
              </a:solidFill>
              <a:prstDash val="solid"/>
            </a:ln>
          </c:spPr>
          <c:dLbls>
            <c:dLbl>
              <c:idx val="0"/>
              <c:layout>
                <c:manualLayout>
                  <c:x val="2.8185676145667197E-3"/>
                  <c:y val="1.8570401255193672E-2"/>
                </c:manualLayout>
              </c:layout>
              <c:dLblPos val="outEnd"/>
              <c:showVal val="1"/>
            </c:dLbl>
            <c:dLbl>
              <c:idx val="1"/>
              <c:layout>
                <c:manualLayout>
                  <c:x val="6.5921716797759187E-3"/>
                  <c:y val="2.8246215533021493E-2"/>
                </c:manualLayout>
              </c:layout>
              <c:dLblPos val="outEnd"/>
              <c:showVal val="1"/>
            </c:dLbl>
            <c:dLbl>
              <c:idx val="2"/>
              <c:layout>
                <c:manualLayout>
                  <c:x val="1.3551261492635842E-3"/>
                  <c:y val="1.8525728564372276E-2"/>
                </c:manualLayout>
              </c:layout>
              <c:dLblPos val="outEnd"/>
              <c:showVal val="1"/>
            </c:dLbl>
            <c:dLbl>
              <c:idx val="3"/>
              <c:layout>
                <c:manualLayout>
                  <c:x val="7.2781122671326526E-3"/>
                  <c:y val="1.517672952320074E-2"/>
                </c:manualLayout>
              </c:layout>
              <c:dLblPos val="outEnd"/>
              <c:showVal val="1"/>
            </c:dLbl>
            <c:dLbl>
              <c:idx val="4"/>
              <c:layout>
                <c:manualLayout>
                  <c:x val="1.8738549674842505E-2"/>
                  <c:y val="-1.1686085364790672E-2"/>
                </c:manualLayout>
              </c:layout>
              <c:dLblPos val="outEnd"/>
              <c:showVal val="1"/>
            </c:dLbl>
            <c:spPr>
              <a:noFill/>
              <a:ln w="25407">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'незан., вакансии, нагрузка (2)'!$B$1:$F$1</c:f>
              <c:numCache>
                <c:formatCode>dd/mm/yyyy</c:formatCode>
                <c:ptCount val="5"/>
                <c:pt idx="0">
                  <c:v>40725</c:v>
                </c:pt>
                <c:pt idx="1">
                  <c:v>40817</c:v>
                </c:pt>
                <c:pt idx="2">
                  <c:v>40909</c:v>
                </c:pt>
                <c:pt idx="3">
                  <c:v>41000</c:v>
                </c:pt>
                <c:pt idx="4">
                  <c:v>41091</c:v>
                </c:pt>
              </c:numCache>
            </c:numRef>
          </c:cat>
          <c:val>
            <c:numRef>
              <c:f>'незан., вакансии, нагрузка (2)'!$B$3:$F$3</c:f>
              <c:numCache>
                <c:formatCode>General</c:formatCode>
                <c:ptCount val="5"/>
                <c:pt idx="0">
                  <c:v>5.6</c:v>
                </c:pt>
                <c:pt idx="1">
                  <c:v>5.9</c:v>
                </c:pt>
                <c:pt idx="2">
                  <c:v>4.0999999999999996</c:v>
                </c:pt>
                <c:pt idx="3">
                  <c:v>6.1</c:v>
                </c:pt>
                <c:pt idx="4">
                  <c:v>7.8</c:v>
                </c:pt>
              </c:numCache>
            </c:numRef>
          </c:val>
        </c:ser>
        <c:axId val="40931712"/>
        <c:axId val="40933248"/>
      </c:barChart>
      <c:lineChart>
        <c:grouping val="standard"/>
        <c:ser>
          <c:idx val="2"/>
          <c:order val="2"/>
          <c:tx>
            <c:strRef>
              <c:f>'незан., вакансии, нагрузка (2)'!$A$4</c:f>
              <c:strCache>
                <c:ptCount val="1"/>
                <c:pt idx="0">
                  <c:v>Навантаження на одне вільне робоче місце, чол.</c:v>
                </c:pt>
              </c:strCache>
            </c:strRef>
          </c:tx>
          <c:spPr>
            <a:ln w="25407">
              <a:solidFill>
                <a:srgbClr val="008000"/>
              </a:solidFill>
              <a:prstDash val="solid"/>
            </a:ln>
          </c:spPr>
          <c:marker>
            <c:symbol val="circle"/>
            <c:size val="28"/>
            <c:spPr>
              <a:solidFill>
                <a:srgbClr val="FFFF99"/>
              </a:solidFill>
              <a:ln>
                <a:solidFill>
                  <a:srgbClr val="008000"/>
                </a:solidFill>
                <a:prstDash val="solid"/>
              </a:ln>
            </c:spPr>
          </c:marker>
          <c:dLbls>
            <c:dLbl>
              <c:idx val="0"/>
              <c:layout>
                <c:manualLayout>
                  <c:x val="-5.9524343444173185E-2"/>
                  <c:y val="6.374030275735831E-4"/>
                </c:manualLayout>
              </c:layout>
              <c:dLblPos val="r"/>
              <c:showVal val="1"/>
            </c:dLbl>
            <c:dLbl>
              <c:idx val="1"/>
              <c:layout>
                <c:manualLayout>
                  <c:x val="-5.7487000046541822E-2"/>
                  <c:y val="-1.7691111950489584E-3"/>
                </c:manualLayout>
              </c:layout>
              <c:dLblPos val="r"/>
              <c:showVal val="1"/>
            </c:dLbl>
            <c:dLbl>
              <c:idx val="2"/>
              <c:layout>
                <c:manualLayout>
                  <c:x val="-5.9706279326583463E-2"/>
                  <c:y val="8.9853851294418577E-4"/>
                </c:manualLayout>
              </c:layout>
              <c:dLblPos val="r"/>
              <c:showVal val="1"/>
            </c:dLbl>
            <c:dLbl>
              <c:idx val="3"/>
              <c:layout>
                <c:manualLayout>
                  <c:x val="-5.9363224411564372E-2"/>
                  <c:y val="-5.3792457215910867E-3"/>
                </c:manualLayout>
              </c:layout>
              <c:dLblPos val="r"/>
              <c:showVal val="1"/>
            </c:dLbl>
            <c:dLbl>
              <c:idx val="4"/>
              <c:layout>
                <c:manualLayout>
                  <c:x val="-5.8151926092389207E-2"/>
                  <c:y val="-1.0211431593550421E-2"/>
                </c:manualLayout>
              </c:layout>
              <c:dLblPos val="r"/>
              <c:showVal val="1"/>
            </c:dLbl>
            <c:dLbl>
              <c:idx val="5"/>
              <c:layout>
                <c:manualLayout>
                  <c:xMode val="edge"/>
                  <c:yMode val="edge"/>
                  <c:x val="0.62264150943396435"/>
                  <c:y val="0.35018050541516282"/>
                </c:manualLayout>
              </c:layout>
              <c:dLblPos val="r"/>
              <c:showVal val="1"/>
            </c:dLbl>
            <c:dLbl>
              <c:idx val="6"/>
              <c:layout>
                <c:manualLayout>
                  <c:xMode val="edge"/>
                  <c:yMode val="edge"/>
                  <c:x val="0.73927958833619423"/>
                  <c:y val="0.33574007220216712"/>
                </c:manualLayout>
              </c:layout>
              <c:dLblPos val="r"/>
              <c:showVal val="1"/>
            </c:dLbl>
            <c:spPr>
              <a:noFill/>
              <a:ln w="25407">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'незан., вакансии, нагрузка (2)'!$B$1:$F$1</c:f>
              <c:numCache>
                <c:formatCode>dd/mm/yyyy</c:formatCode>
                <c:ptCount val="5"/>
                <c:pt idx="0">
                  <c:v>40725</c:v>
                </c:pt>
                <c:pt idx="1">
                  <c:v>40817</c:v>
                </c:pt>
                <c:pt idx="2">
                  <c:v>40909</c:v>
                </c:pt>
                <c:pt idx="3">
                  <c:v>41000</c:v>
                </c:pt>
                <c:pt idx="4">
                  <c:v>41091</c:v>
                </c:pt>
              </c:numCache>
            </c:numRef>
          </c:cat>
          <c:val>
            <c:numRef>
              <c:f>'незан., вакансии, нагрузка (2)'!$B$4:$F$4</c:f>
              <c:numCache>
                <c:formatCode>0.0</c:formatCode>
                <c:ptCount val="5"/>
                <c:pt idx="0">
                  <c:v>6</c:v>
                </c:pt>
                <c:pt idx="1">
                  <c:v>5</c:v>
                </c:pt>
                <c:pt idx="2">
                  <c:v>6.9</c:v>
                </c:pt>
                <c:pt idx="3">
                  <c:v>5</c:v>
                </c:pt>
                <c:pt idx="4">
                  <c:v>3.7</c:v>
                </c:pt>
              </c:numCache>
            </c:numRef>
          </c:val>
        </c:ser>
        <c:marker val="1"/>
        <c:axId val="40934784"/>
        <c:axId val="40952960"/>
      </c:lineChart>
      <c:catAx>
        <c:axId val="40931712"/>
        <c:scaling>
          <c:orientation val="minMax"/>
        </c:scaling>
        <c:axPos val="b"/>
        <c:numFmt formatCode="dd/mm/yyyy" sourceLinked="1"/>
        <c:tickLblPos val="nextTo"/>
        <c:spPr>
          <a:ln w="3176">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40933248"/>
        <c:crosses val="autoZero"/>
        <c:lblAlgn val="ctr"/>
        <c:lblOffset val="100"/>
        <c:tickLblSkip val="1"/>
        <c:tickMarkSkip val="1"/>
      </c:catAx>
      <c:valAx>
        <c:axId val="40933248"/>
        <c:scaling>
          <c:orientation val="minMax"/>
          <c:max val="40"/>
        </c:scaling>
        <c:axPos val="l"/>
        <c:numFmt formatCode="0.0" sourceLinked="1"/>
        <c:tickLblPos val="none"/>
        <c:spPr>
          <a:ln w="9528">
            <a:noFill/>
          </a:ln>
        </c:spPr>
        <c:crossAx val="40931712"/>
        <c:crosses val="autoZero"/>
        <c:crossBetween val="between"/>
      </c:valAx>
      <c:catAx>
        <c:axId val="40934784"/>
        <c:scaling>
          <c:orientation val="minMax"/>
        </c:scaling>
        <c:delete val="1"/>
        <c:axPos val="b"/>
        <c:numFmt formatCode="dd/mm/yyyy" sourceLinked="1"/>
        <c:tickLblPos val="none"/>
        <c:crossAx val="40952960"/>
        <c:crosses val="autoZero"/>
        <c:lblAlgn val="ctr"/>
        <c:lblOffset val="100"/>
      </c:catAx>
      <c:valAx>
        <c:axId val="40952960"/>
        <c:scaling>
          <c:orientation val="minMax"/>
          <c:max val="18"/>
          <c:min val="0"/>
        </c:scaling>
        <c:axPos val="r"/>
        <c:numFmt formatCode="0.0" sourceLinked="1"/>
        <c:majorTickMark val="cross"/>
        <c:tickLblPos val="none"/>
        <c:spPr>
          <a:ln w="9528">
            <a:noFill/>
          </a:ln>
        </c:spPr>
        <c:crossAx val="40934784"/>
        <c:crosses val="max"/>
        <c:crossBetween val="between"/>
        <c:majorUnit val="6"/>
        <c:minorUnit val="1"/>
      </c:valAx>
      <c:spPr>
        <a:noFill/>
        <a:ln w="25407">
          <a:noFill/>
        </a:ln>
      </c:spPr>
    </c:plotArea>
    <c:legend>
      <c:legendPos val="b"/>
      <c:layout>
        <c:manualLayout>
          <c:xMode val="edge"/>
          <c:yMode val="edge"/>
          <c:x val="2.6471499196910196E-2"/>
          <c:y val="0.79461018437701558"/>
          <c:w val="0.90836652037851007"/>
          <c:h val="0.17588267776114397"/>
        </c:manualLayout>
      </c:layout>
      <c:spPr>
        <a:solidFill>
          <a:srgbClr val="FFFFFF"/>
        </a:solidFill>
        <a:ln w="25407">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5375218150087264E-2"/>
          <c:y val="4.0160642570281097E-2"/>
          <c:w val="0.92146596858638741"/>
          <c:h val="0.74297188755020316"/>
        </c:manualLayout>
      </c:layout>
      <c:barChart>
        <c:barDir val="col"/>
        <c:grouping val="clustered"/>
        <c:ser>
          <c:idx val="1"/>
          <c:order val="0"/>
          <c:tx>
            <c:strRef>
              <c:f>Лист1!$A$2</c:f>
              <c:strCache>
                <c:ptCount val="1"/>
                <c:pt idx="0">
                  <c:v>Рядове вугілля, млн.т</c:v>
                </c:pt>
              </c:strCache>
            </c:strRef>
          </c:tx>
          <c:spPr>
            <a:solidFill>
              <a:srgbClr val="993366"/>
            </a:solidFill>
            <a:ln w="25459">
              <a:solidFill>
                <a:schemeClr val="tx1"/>
              </a:solidFill>
              <a:prstDash val="solid"/>
            </a:ln>
          </c:spPr>
          <c:dLbls>
            <c:dLbl>
              <c:idx val="0"/>
              <c:layout>
                <c:manualLayout>
                  <c:x val="-4.8757647463807414E-3"/>
                  <c:y val="-2.4887046448434254E-2"/>
                </c:manualLayout>
              </c:layout>
              <c:dLblPos val="outEnd"/>
              <c:showVal val="1"/>
            </c:dLbl>
            <c:dLbl>
              <c:idx val="1"/>
              <c:layout>
                <c:manualLayout>
                  <c:x val="-5.6237517415312979E-3"/>
                  <c:y val="-4.2919070848328487E-2"/>
                </c:manualLayout>
              </c:layout>
              <c:dLblPos val="outEnd"/>
              <c:showVal val="1"/>
            </c:dLbl>
            <c:dLbl>
              <c:idx val="2"/>
              <c:layout>
                <c:manualLayout>
                  <c:x val="-4.6263661543893353E-3"/>
                  <c:y val="-3.5128142570099212E-2"/>
                </c:manualLayout>
              </c:layout>
              <c:dLblPos val="outEnd"/>
              <c:showVal val="1"/>
            </c:dLbl>
            <c:dLbl>
              <c:idx val="3"/>
              <c:layout>
                <c:manualLayout>
                  <c:x val="-1.0609955243780717E-2"/>
                  <c:y val="-4.5609788517440769E-2"/>
                </c:manualLayout>
              </c:layout>
              <c:dLblPos val="outEnd"/>
              <c:showVal val="1"/>
            </c:dLbl>
            <c:dLbl>
              <c:idx val="4"/>
              <c:layout>
                <c:manualLayout>
                  <c:x val="-1.1743759300473903E-3"/>
                  <c:y val="0.66666666666666663"/>
                </c:manualLayout>
              </c:layout>
              <c:spPr>
                <a:noFill/>
                <a:ln w="25459">
                  <a:noFill/>
                </a:ln>
              </c:spPr>
              <c:txPr>
                <a:bodyPr/>
                <a:lstStyle/>
                <a:p>
                  <a:pPr>
                    <a:defRPr sz="1000" b="1" i="0" u="none" strike="noStrike" baseline="0">
                      <a:solidFill>
                        <a:srgbClr val="000000"/>
                      </a:solidFill>
                      <a:latin typeface="Arial"/>
                      <a:ea typeface="Arial"/>
                      <a:cs typeface="Arial"/>
                    </a:defRPr>
                  </a:pPr>
                  <a:endParaRPr lang="ru-RU"/>
                </a:p>
              </c:txPr>
              <c:dLblPos val="outEnd"/>
              <c:showVal val="1"/>
            </c:dLbl>
            <c:dLbl>
              <c:idx val="5"/>
              <c:layout>
                <c:manualLayout>
                  <c:x val="-6.8701552556286989E-3"/>
                  <c:y val="-2.9264554304381182E-2"/>
                </c:manualLayout>
              </c:layout>
              <c:dLblPos val="outEnd"/>
              <c:showVal val="1"/>
            </c:dLbl>
            <c:dLbl>
              <c:idx val="6"/>
              <c:layout>
                <c:manualLayout>
                  <c:x val="-6.3733945845865809E-4"/>
                  <c:y val="-3.4043515691108486E-2"/>
                </c:manualLayout>
              </c:layout>
              <c:dLblPos val="outEnd"/>
              <c:showVal val="1"/>
            </c:dLbl>
            <c:spPr>
              <a:noFill/>
              <a:ln w="254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Лист1!$B$1:$H$1</c:f>
              <c:strCache>
                <c:ptCount val="7"/>
                <c:pt idx="0">
                  <c:v>2000</c:v>
                </c:pt>
                <c:pt idx="1">
                  <c:v>2005</c:v>
                </c:pt>
                <c:pt idx="2">
                  <c:v>2010</c:v>
                </c:pt>
                <c:pt idx="3">
                  <c:v>2011</c:v>
                </c:pt>
                <c:pt idx="5">
                  <c:v>6 міс. 2011</c:v>
                </c:pt>
                <c:pt idx="6">
                  <c:v>6 міс. 2012</c:v>
                </c:pt>
              </c:strCache>
            </c:strRef>
          </c:cat>
          <c:val>
            <c:numRef>
              <c:f>Лист1!$B$2:$H$2</c:f>
              <c:numCache>
                <c:formatCode>General</c:formatCode>
                <c:ptCount val="7"/>
                <c:pt idx="0">
                  <c:v>44.2</c:v>
                </c:pt>
                <c:pt idx="1">
                  <c:v>36.5</c:v>
                </c:pt>
                <c:pt idx="2">
                  <c:v>32.700000000000003</c:v>
                </c:pt>
                <c:pt idx="3">
                  <c:v>37.4</c:v>
                </c:pt>
                <c:pt idx="5">
                  <c:v>18.5</c:v>
                </c:pt>
                <c:pt idx="6">
                  <c:v>19.8</c:v>
                </c:pt>
              </c:numCache>
            </c:numRef>
          </c:val>
        </c:ser>
        <c:dLbls>
          <c:showVal val="1"/>
        </c:dLbls>
        <c:axId val="39267712"/>
        <c:axId val="39224448"/>
      </c:barChart>
      <c:catAx>
        <c:axId val="39267712"/>
        <c:scaling>
          <c:orientation val="minMax"/>
        </c:scaling>
        <c:axPos val="b"/>
        <c:numFmt formatCode="General" sourceLinked="1"/>
        <c:tickLblPos val="nextTo"/>
        <c:spPr>
          <a:ln w="3182">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9224448"/>
        <c:crosses val="autoZero"/>
        <c:auto val="1"/>
        <c:lblAlgn val="ctr"/>
        <c:lblOffset val="100"/>
        <c:tickLblSkip val="1"/>
        <c:tickMarkSkip val="1"/>
      </c:catAx>
      <c:valAx>
        <c:axId val="39224448"/>
        <c:scaling>
          <c:orientation val="minMax"/>
          <c:min val="0"/>
        </c:scaling>
        <c:delete val="1"/>
        <c:axPos val="l"/>
        <c:numFmt formatCode="General" sourceLinked="1"/>
        <c:tickLblPos val="none"/>
        <c:crossAx val="39267712"/>
        <c:crosses val="autoZero"/>
        <c:crossBetween val="between"/>
      </c:valAx>
      <c:spPr>
        <a:noFill/>
        <a:ln w="25459">
          <a:noFill/>
        </a:ln>
      </c:spPr>
    </c:plotArea>
    <c:plotVisOnly val="1"/>
    <c:dispBlanksAs val="gap"/>
  </c:chart>
  <c:spPr>
    <a:solidFill>
      <a:srgbClr val="FFFFFF"/>
    </a:solidFill>
    <a:ln>
      <a:noFill/>
    </a:ln>
  </c:spPr>
  <c:txPr>
    <a:bodyPr/>
    <a:lstStyle/>
    <a:p>
      <a:pPr>
        <a:defRPr sz="1002"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1.0204081632653111E-2"/>
          <c:y val="4.6666666666666683E-2"/>
          <c:w val="0.98809523809523814"/>
          <c:h val="0.60666666666666669"/>
        </c:manualLayout>
      </c:layout>
      <c:lineChart>
        <c:grouping val="standard"/>
        <c:ser>
          <c:idx val="0"/>
          <c:order val="0"/>
          <c:tx>
            <c:strRef>
              <c:f>Лист1!$A$2</c:f>
              <c:strCache>
                <c:ptCount val="1"/>
                <c:pt idx="0">
                  <c:v>2011 рік</c:v>
                </c:pt>
              </c:strCache>
            </c:strRef>
          </c:tx>
          <c:spPr>
            <a:ln w="32472">
              <a:solidFill>
                <a:srgbClr val="006600"/>
              </a:solidFill>
            </a:ln>
          </c:spPr>
          <c:marker>
            <c:symbol val="diamond"/>
            <c:size val="7"/>
            <c:spPr>
              <a:solidFill>
                <a:srgbClr val="FFFF00"/>
              </a:solidFill>
              <a:ln>
                <a:solidFill>
                  <a:srgbClr val="006600"/>
                </a:solidFill>
              </a:ln>
            </c:spPr>
          </c:marker>
          <c:dLbls>
            <c:dLbl>
              <c:idx val="0"/>
              <c:layout>
                <c:manualLayout>
                  <c:x val="-7.5488627337214786E-2"/>
                  <c:y val="-0.10043917832954585"/>
                </c:manualLayout>
              </c:layout>
              <c:dLblPos val="r"/>
              <c:showVal val="1"/>
            </c:dLbl>
            <c:dLbl>
              <c:idx val="1"/>
              <c:layout>
                <c:manualLayout>
                  <c:x val="-5.8503806790641863E-2"/>
                  <c:y val="-0.11027932211348969"/>
                </c:manualLayout>
              </c:layout>
              <c:dLblPos val="r"/>
              <c:showVal val="1"/>
            </c:dLbl>
            <c:dLbl>
              <c:idx val="2"/>
              <c:layout>
                <c:manualLayout>
                  <c:x val="-4.8321707332504064E-2"/>
                  <c:y val="2.966779312330399E-2"/>
                </c:manualLayout>
              </c:layout>
              <c:dLblPos val="r"/>
              <c:showVal val="1"/>
            </c:dLbl>
            <c:dLbl>
              <c:idx val="3"/>
              <c:layout>
                <c:manualLayout>
                  <c:x val="-4.6643009234911E-2"/>
                  <c:y val="4.8467767407668332E-2"/>
                </c:manualLayout>
              </c:layout>
              <c:dLblPos val="r"/>
              <c:showVal val="1"/>
            </c:dLbl>
            <c:dLbl>
              <c:idx val="4"/>
              <c:layout>
                <c:manualLayout>
                  <c:x val="-5.1767032225753823E-2"/>
                  <c:y val="-0.1048394030618376"/>
                </c:manualLayout>
              </c:layout>
              <c:dLblPos val="r"/>
              <c:showVal val="1"/>
            </c:dLbl>
            <c:dLbl>
              <c:idx val="5"/>
              <c:layout>
                <c:manualLayout>
                  <c:x val="-3.6482891951289752E-2"/>
                  <c:y val="-0.10059895069026908"/>
                </c:manualLayout>
              </c:layout>
              <c:dLblPos val="r"/>
              <c:showVal val="1"/>
            </c:dLbl>
            <c:spPr>
              <a:noFill/>
              <a:ln w="2597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b"/>
            <c:showVal val="1"/>
          </c:dLbls>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Лист1!$B$2:$G$2</c:f>
              <c:numCache>
                <c:formatCode>0.0</c:formatCode>
                <c:ptCount val="6"/>
                <c:pt idx="0">
                  <c:v>109.8</c:v>
                </c:pt>
                <c:pt idx="1">
                  <c:v>103.9</c:v>
                </c:pt>
                <c:pt idx="2">
                  <c:v>101.7</c:v>
                </c:pt>
                <c:pt idx="3">
                  <c:v>102.2</c:v>
                </c:pt>
                <c:pt idx="4">
                  <c:v>103.3</c:v>
                </c:pt>
                <c:pt idx="5">
                  <c:v>103.2</c:v>
                </c:pt>
              </c:numCache>
            </c:numRef>
          </c:val>
        </c:ser>
        <c:ser>
          <c:idx val="1"/>
          <c:order val="1"/>
          <c:tx>
            <c:strRef>
              <c:f>Лист1!$A$3</c:f>
              <c:strCache>
                <c:ptCount val="1"/>
                <c:pt idx="0">
                  <c:v>2012 рік</c:v>
                </c:pt>
              </c:strCache>
            </c:strRef>
          </c:tx>
          <c:spPr>
            <a:ln w="32472">
              <a:solidFill>
                <a:schemeClr val="accent6">
                  <a:lumMod val="50000"/>
                </a:schemeClr>
              </a:solidFill>
            </a:ln>
          </c:spPr>
          <c:marker>
            <c:symbol val="circle"/>
            <c:size val="7"/>
            <c:spPr>
              <a:solidFill>
                <a:schemeClr val="accent6">
                  <a:lumMod val="40000"/>
                  <a:lumOff val="60000"/>
                </a:schemeClr>
              </a:solidFill>
              <a:ln>
                <a:solidFill>
                  <a:schemeClr val="accent6">
                    <a:lumMod val="50000"/>
                  </a:schemeClr>
                </a:solidFill>
              </a:ln>
            </c:spPr>
          </c:marker>
          <c:dLbls>
            <c:dLbl>
              <c:idx val="0"/>
              <c:layout>
                <c:manualLayout>
                  <c:x val="-6.1883185160343843E-2"/>
                  <c:y val="5.9960699800704356E-2"/>
                </c:manualLayout>
              </c:layout>
              <c:dLblPos val="r"/>
              <c:showVal val="1"/>
            </c:dLbl>
            <c:dLbl>
              <c:idx val="1"/>
              <c:layout>
                <c:manualLayout>
                  <c:x val="-5.5102446246424193E-2"/>
                  <c:y val="5.4547502648430952E-2"/>
                </c:manualLayout>
              </c:layout>
              <c:dLblPos val="r"/>
              <c:showVal val="1"/>
            </c:dLbl>
            <c:dLbl>
              <c:idx val="2"/>
              <c:layout>
                <c:manualLayout>
                  <c:x val="-5.1723067876722033E-2"/>
                  <c:y val="-8.2999002121539864E-2"/>
                </c:manualLayout>
              </c:layout>
              <c:dLblPos val="r"/>
              <c:showVal val="1"/>
            </c:dLbl>
            <c:dLbl>
              <c:idx val="3"/>
              <c:layout>
                <c:manualLayout>
                  <c:x val="-5.0044369779128885E-2"/>
                  <c:y val="-8.7265617356935679E-2"/>
                </c:manualLayout>
              </c:layout>
              <c:dLblPos val="r"/>
              <c:showVal val="1"/>
            </c:dLbl>
            <c:dLbl>
              <c:idx val="4"/>
              <c:layout>
                <c:manualLayout>
                  <c:x val="-4.1562950593099966E-2"/>
                  <c:y val="6.0574353125987211E-2"/>
                </c:manualLayout>
              </c:layout>
              <c:dLblPos val="r"/>
              <c:showVal val="1"/>
            </c:dLbl>
            <c:dLbl>
              <c:idx val="5"/>
              <c:layout>
                <c:manualLayout>
                  <c:x val="-3.6482891951289752E-2"/>
                  <c:y val="5.3320755033416413E-2"/>
                </c:manualLayout>
              </c:layout>
              <c:dLblPos val="r"/>
              <c:showVal val="1"/>
            </c:dLbl>
            <c:spPr>
              <a:noFill/>
              <a:ln w="2597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Лист1!$B$3:$G$3</c:f>
              <c:numCache>
                <c:formatCode>0.0</c:formatCode>
                <c:ptCount val="6"/>
                <c:pt idx="0" formatCode="General">
                  <c:v>101.3</c:v>
                </c:pt>
                <c:pt idx="1">
                  <c:v>103</c:v>
                </c:pt>
                <c:pt idx="2" formatCode="General">
                  <c:v>104.2</c:v>
                </c:pt>
                <c:pt idx="3" formatCode="General">
                  <c:v>103.2</c:v>
                </c:pt>
                <c:pt idx="4" formatCode="General">
                  <c:v>101.6</c:v>
                </c:pt>
                <c:pt idx="5" formatCode="General">
                  <c:v>102.4</c:v>
                </c:pt>
              </c:numCache>
            </c:numRef>
          </c:val>
        </c:ser>
        <c:marker val="1"/>
        <c:axId val="39176064"/>
        <c:axId val="39177600"/>
      </c:lineChart>
      <c:catAx>
        <c:axId val="39176064"/>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9177600"/>
        <c:crosses val="autoZero"/>
        <c:auto val="1"/>
        <c:lblAlgn val="ctr"/>
        <c:lblOffset val="100"/>
      </c:catAx>
      <c:valAx>
        <c:axId val="39177600"/>
        <c:scaling>
          <c:orientation val="minMax"/>
          <c:min val="90"/>
        </c:scaling>
        <c:axPos val="l"/>
        <c:numFmt formatCode="0.0" sourceLinked="1"/>
        <c:tickLblPos val="nextTo"/>
        <c:spPr>
          <a:ln>
            <a:noFill/>
          </a:ln>
        </c:spPr>
        <c:txPr>
          <a:bodyPr/>
          <a:lstStyle/>
          <a:p>
            <a:pPr>
              <a:defRPr sz="102">
                <a:solidFill>
                  <a:schemeClr val="bg1"/>
                </a:solidFill>
              </a:defRPr>
            </a:pPr>
            <a:endParaRPr lang="ru-RU"/>
          </a:p>
        </c:txPr>
        <c:crossAx val="39176064"/>
        <c:crosses val="autoZero"/>
        <c:crossBetween val="between"/>
      </c:valAx>
    </c:plotArea>
    <c:legend>
      <c:legendPos val="r"/>
      <c:layout>
        <c:manualLayout>
          <c:xMode val="edge"/>
          <c:yMode val="edge"/>
          <c:x val="0.24149659863945591"/>
          <c:y val="0.84666666666666668"/>
          <c:w val="0.49659863945578231"/>
          <c:h val="0.13333333333333341"/>
        </c:manualLayout>
      </c:layout>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1.0204081632653125E-2"/>
          <c:y val="4.6666666666666683E-2"/>
          <c:w val="0.98809523809523814"/>
          <c:h val="0.60666666666666669"/>
        </c:manualLayout>
      </c:layout>
      <c:lineChart>
        <c:grouping val="standard"/>
        <c:ser>
          <c:idx val="0"/>
          <c:order val="0"/>
          <c:tx>
            <c:strRef>
              <c:f>Лист1!$A$2</c:f>
              <c:strCache>
                <c:ptCount val="1"/>
                <c:pt idx="0">
                  <c:v>2011 рік</c:v>
                </c:pt>
              </c:strCache>
            </c:strRef>
          </c:tx>
          <c:spPr>
            <a:ln w="32472">
              <a:solidFill>
                <a:srgbClr val="1F497D">
                  <a:lumMod val="75000"/>
                </a:srgbClr>
              </a:solidFill>
            </a:ln>
          </c:spPr>
          <c:marker>
            <c:symbol val="diamond"/>
            <c:size val="7"/>
            <c:spPr>
              <a:solidFill>
                <a:srgbClr val="FFFF00"/>
              </a:solidFill>
              <a:ln>
                <a:solidFill>
                  <a:srgbClr val="006600"/>
                </a:solidFill>
              </a:ln>
            </c:spPr>
          </c:marker>
          <c:dLbls>
            <c:dLbl>
              <c:idx val="0"/>
              <c:layout>
                <c:manualLayout>
                  <c:x val="-6.7159574860534421E-2"/>
                  <c:y val="9.0267470559790342E-2"/>
                </c:manualLayout>
              </c:layout>
              <c:dLblPos val="r"/>
              <c:showVal val="1"/>
            </c:dLbl>
            <c:dLbl>
              <c:idx val="1"/>
              <c:layout>
                <c:manualLayout>
                  <c:x val="-4.3928072239278262E-2"/>
                  <c:y val="-8.8980570719394927E-2"/>
                </c:manualLayout>
              </c:layout>
              <c:dLblPos val="r"/>
              <c:showVal val="1"/>
            </c:dLbl>
            <c:dLbl>
              <c:idx val="2"/>
              <c:layout>
                <c:manualLayout>
                  <c:x val="-4.8321781224509884E-2"/>
                  <c:y val="-8.3928007401630728E-2"/>
                </c:manualLayout>
              </c:layout>
              <c:dLblPos val="r"/>
              <c:showVal val="1"/>
            </c:dLbl>
            <c:dLbl>
              <c:idx val="3"/>
              <c:layout>
                <c:manualLayout>
                  <c:x val="-4.6643029590067372E-2"/>
                  <c:y val="-7.9327703845326156E-2"/>
                </c:manualLayout>
              </c:layout>
              <c:dLblPos val="r"/>
              <c:showVal val="1"/>
            </c:dLbl>
            <c:dLbl>
              <c:idx val="4"/>
              <c:layout>
                <c:manualLayout>
                  <c:x val="-5.1767032225753823E-2"/>
                  <c:y val="-0.1048394030618376"/>
                </c:manualLayout>
              </c:layout>
              <c:dLblPos val="r"/>
              <c:showVal val="1"/>
            </c:dLbl>
            <c:dLbl>
              <c:idx val="5"/>
              <c:layout>
                <c:manualLayout>
                  <c:x val="-3.4400718129911051E-2"/>
                  <c:y val="6.9795029614908438E-2"/>
                </c:manualLayout>
              </c:layout>
              <c:dLblPos val="r"/>
              <c:showVal val="1"/>
            </c:dLbl>
            <c:spPr>
              <a:noFill/>
              <a:ln w="2597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b"/>
            <c:showVal val="1"/>
          </c:dLbls>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Лист1!$B$2:$G$2</c:f>
              <c:numCache>
                <c:formatCode>0.0</c:formatCode>
                <c:ptCount val="6"/>
                <c:pt idx="0">
                  <c:v>115.8</c:v>
                </c:pt>
                <c:pt idx="1">
                  <c:v>113.6</c:v>
                </c:pt>
                <c:pt idx="2">
                  <c:v>113.9</c:v>
                </c:pt>
                <c:pt idx="3">
                  <c:v>111.6</c:v>
                </c:pt>
                <c:pt idx="4">
                  <c:v>112.4</c:v>
                </c:pt>
                <c:pt idx="5">
                  <c:v>108</c:v>
                </c:pt>
              </c:numCache>
            </c:numRef>
          </c:val>
        </c:ser>
        <c:ser>
          <c:idx val="1"/>
          <c:order val="1"/>
          <c:tx>
            <c:strRef>
              <c:f>Лист1!$A$3</c:f>
              <c:strCache>
                <c:ptCount val="1"/>
                <c:pt idx="0">
                  <c:v>2012 рік</c:v>
                </c:pt>
              </c:strCache>
            </c:strRef>
          </c:tx>
          <c:spPr>
            <a:ln w="32472">
              <a:solidFill>
                <a:srgbClr val="F79646">
                  <a:lumMod val="75000"/>
                </a:srgbClr>
              </a:solidFill>
            </a:ln>
          </c:spPr>
          <c:marker>
            <c:symbol val="circle"/>
            <c:size val="7"/>
            <c:spPr>
              <a:solidFill>
                <a:schemeClr val="accent6">
                  <a:lumMod val="40000"/>
                  <a:lumOff val="60000"/>
                </a:schemeClr>
              </a:solidFill>
              <a:ln>
                <a:solidFill>
                  <a:schemeClr val="accent6">
                    <a:lumMod val="50000"/>
                  </a:schemeClr>
                </a:solidFill>
              </a:ln>
            </c:spPr>
          </c:marker>
          <c:dLbls>
            <c:dLbl>
              <c:idx val="0"/>
              <c:layout>
                <c:manualLayout>
                  <c:x val="-7.4376616509609972E-2"/>
                  <c:y val="-5.3635547952672051E-2"/>
                </c:manualLayout>
              </c:layout>
              <c:dLblPos val="r"/>
              <c:showVal val="1"/>
            </c:dLbl>
            <c:dLbl>
              <c:idx val="1"/>
              <c:layout>
                <c:manualLayout>
                  <c:x val="-5.5102446246424193E-2"/>
                  <c:y val="5.4547502648430952E-2"/>
                </c:manualLayout>
              </c:layout>
              <c:dLblPos val="r"/>
              <c:showVal val="1"/>
            </c:dLbl>
            <c:dLbl>
              <c:idx val="2"/>
              <c:layout>
                <c:manualLayout>
                  <c:x val="-4.5476314419573137E-2"/>
                  <c:y val="6.6095891368211493E-2"/>
                </c:manualLayout>
              </c:layout>
              <c:dLblPos val="r"/>
              <c:showVal val="1"/>
            </c:dLbl>
            <c:dLbl>
              <c:idx val="3"/>
              <c:layout>
                <c:manualLayout>
                  <c:x val="-4.3797562785130792E-2"/>
                  <c:y val="9.0228338071159778E-2"/>
                </c:manualLayout>
              </c:layout>
              <c:dLblPos val="r"/>
              <c:showVal val="1"/>
            </c:dLbl>
            <c:dLbl>
              <c:idx val="4"/>
              <c:layout>
                <c:manualLayout>
                  <c:x val="-4.1562950593099966E-2"/>
                  <c:y val="6.0574353125987211E-2"/>
                </c:manualLayout>
              </c:layout>
              <c:dLblPos val="r"/>
              <c:showVal val="1"/>
            </c:dLbl>
            <c:dLbl>
              <c:idx val="5"/>
              <c:layout>
                <c:manualLayout>
                  <c:x val="-3.648296695864605E-2"/>
                  <c:y val="-0.10997347376306406"/>
                </c:manualLayout>
              </c:layout>
              <c:dLblPos val="r"/>
              <c:showVal val="1"/>
            </c:dLbl>
            <c:spPr>
              <a:noFill/>
              <a:ln w="2597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Лист1!$B$3:$G$3</c:f>
              <c:numCache>
                <c:formatCode>0.0</c:formatCode>
                <c:ptCount val="6"/>
                <c:pt idx="0" formatCode="General">
                  <c:v>116.8</c:v>
                </c:pt>
                <c:pt idx="1">
                  <c:v>108.1</c:v>
                </c:pt>
                <c:pt idx="2" formatCode="General">
                  <c:v>106.5</c:v>
                </c:pt>
                <c:pt idx="3" formatCode="General">
                  <c:v>106.5</c:v>
                </c:pt>
                <c:pt idx="4" formatCode="General">
                  <c:v>105.3</c:v>
                </c:pt>
                <c:pt idx="5" formatCode="General">
                  <c:v>110.8</c:v>
                </c:pt>
              </c:numCache>
            </c:numRef>
          </c:val>
        </c:ser>
        <c:marker val="1"/>
        <c:axId val="39604224"/>
        <c:axId val="39605760"/>
      </c:lineChart>
      <c:catAx>
        <c:axId val="39604224"/>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9605760"/>
        <c:crosses val="autoZero"/>
        <c:auto val="1"/>
        <c:lblAlgn val="ctr"/>
        <c:lblOffset val="100"/>
      </c:catAx>
      <c:valAx>
        <c:axId val="39605760"/>
        <c:scaling>
          <c:orientation val="minMax"/>
          <c:min val="90"/>
        </c:scaling>
        <c:axPos val="l"/>
        <c:numFmt formatCode="0.0" sourceLinked="1"/>
        <c:tickLblPos val="nextTo"/>
        <c:spPr>
          <a:ln>
            <a:noFill/>
          </a:ln>
        </c:spPr>
        <c:txPr>
          <a:bodyPr/>
          <a:lstStyle/>
          <a:p>
            <a:pPr>
              <a:defRPr sz="102">
                <a:solidFill>
                  <a:schemeClr val="bg1"/>
                </a:solidFill>
              </a:defRPr>
            </a:pPr>
            <a:endParaRPr lang="ru-RU"/>
          </a:p>
        </c:txPr>
        <c:crossAx val="39604224"/>
        <c:crosses val="autoZero"/>
        <c:crossBetween val="between"/>
      </c:valAx>
    </c:plotArea>
    <c:legend>
      <c:legendPos val="r"/>
      <c:layout>
        <c:manualLayout>
          <c:xMode val="edge"/>
          <c:yMode val="edge"/>
          <c:x val="0.24149659863945591"/>
          <c:y val="0.84666666666666668"/>
          <c:w val="0.49659863945578231"/>
          <c:h val="0.13333333333333341"/>
        </c:manualLayout>
      </c:layout>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floor>
      <c:spPr>
        <a:solidFill>
          <a:srgbClr val="9BBB59">
            <a:lumMod val="20000"/>
            <a:lumOff val="80000"/>
          </a:srgbClr>
        </a:solidFill>
        <a:ln>
          <a:solidFill>
            <a:sysClr val="windowText" lastClr="000000"/>
          </a:solidFill>
        </a:ln>
      </c:spPr>
    </c:floor>
    <c:plotArea>
      <c:layout>
        <c:manualLayout>
          <c:layoutTarget val="inner"/>
          <c:xMode val="edge"/>
          <c:yMode val="edge"/>
          <c:x val="0"/>
          <c:y val="0"/>
          <c:w val="1"/>
          <c:h val="0.78702728390105359"/>
        </c:manualLayout>
      </c:layout>
      <c:bar3DChart>
        <c:barDir val="col"/>
        <c:grouping val="clustered"/>
        <c:ser>
          <c:idx val="0"/>
          <c:order val="0"/>
          <c:tx>
            <c:strRef>
              <c:f>Лист1!$A$2</c:f>
              <c:strCache>
                <c:ptCount val="1"/>
                <c:pt idx="0">
                  <c:v>І півріччя 2011</c:v>
                </c:pt>
              </c:strCache>
            </c:strRef>
          </c:tx>
          <c:spPr>
            <a:gradFill>
              <a:gsLst>
                <a:gs pos="0">
                  <a:srgbClr val="7E7B00"/>
                </a:gs>
                <a:gs pos="50000">
                  <a:srgbClr val="FFFF00"/>
                </a:gs>
                <a:gs pos="100000">
                  <a:srgbClr val="605E00"/>
                </a:gs>
              </a:gsLst>
              <a:lin ang="0" scaled="1"/>
            </a:gradFill>
            <a:ln>
              <a:solidFill>
                <a:sysClr val="windowText" lastClr="000000"/>
              </a:solidFill>
            </a:ln>
          </c:spPr>
          <c:dLbls>
            <c:dLbl>
              <c:idx val="0"/>
              <c:layout>
                <c:manualLayout>
                  <c:x val="6.9444444444445733E-3"/>
                  <c:y val="-3.5714285714285712E-2"/>
                </c:manualLayout>
              </c:layout>
              <c:showVal val="1"/>
            </c:dLbl>
            <c:dLbl>
              <c:idx val="1"/>
              <c:layout>
                <c:manualLayout>
                  <c:x val="9.2592592592595415E-3"/>
                  <c:y val="-3.5714285714285712E-2"/>
                </c:manualLayout>
              </c:layout>
              <c:showVal val="1"/>
            </c:dLbl>
            <c:dLbl>
              <c:idx val="2"/>
              <c:layout>
                <c:manualLayout>
                  <c:x val="3.3082497843288667E-3"/>
                  <c:y val="-2.2380004559563692E-2"/>
                </c:manualLayout>
              </c:layout>
              <c:showVal val="1"/>
            </c:dLbl>
            <c:numFmt formatCode="0" sourceLinked="0"/>
            <c:spPr>
              <a:noFill/>
              <a:ln w="23495">
                <a:noFill/>
              </a:ln>
            </c:spPr>
            <c:txPr>
              <a:bodyPr/>
              <a:lstStyle/>
              <a:p>
                <a:pPr>
                  <a:defRPr b="1">
                    <a:latin typeface="Times New Roman" pitchFamily="18" charset="0"/>
                    <a:cs typeface="Times New Roman" pitchFamily="18" charset="0"/>
                  </a:defRPr>
                </a:pPr>
                <a:endParaRPr lang="ru-RU"/>
              </a:p>
            </c:txPr>
            <c:showVal val="1"/>
          </c:dLbls>
          <c:cat>
            <c:strRef>
              <c:f>Лист1!$B$1:$D$1</c:f>
              <c:strCache>
                <c:ptCount val="3"/>
                <c:pt idx="0">
                  <c:v>м'ясо (реалізація на забій в живій вазі)</c:v>
                </c:pt>
                <c:pt idx="1">
                  <c:v>молоко</c:v>
                </c:pt>
                <c:pt idx="2">
                  <c:v>яйця, млн.шт.</c:v>
                </c:pt>
              </c:strCache>
            </c:strRef>
          </c:cat>
          <c:val>
            <c:numRef>
              <c:f>Лист1!$B$2:$D$2</c:f>
              <c:numCache>
                <c:formatCode>General</c:formatCode>
                <c:ptCount val="3"/>
                <c:pt idx="0" formatCode="0.0">
                  <c:v>74.900000000000006</c:v>
                </c:pt>
                <c:pt idx="1">
                  <c:v>167</c:v>
                </c:pt>
                <c:pt idx="2" formatCode="0">
                  <c:v>1074.7</c:v>
                </c:pt>
              </c:numCache>
            </c:numRef>
          </c:val>
        </c:ser>
        <c:ser>
          <c:idx val="1"/>
          <c:order val="1"/>
          <c:tx>
            <c:strRef>
              <c:f>Лист1!$A$3</c:f>
              <c:strCache>
                <c:ptCount val="1"/>
                <c:pt idx="0">
                  <c:v>І півріччя 2012</c:v>
                </c:pt>
              </c:strCache>
            </c:strRef>
          </c:tx>
          <c:dLbls>
            <c:dLbl>
              <c:idx val="0"/>
              <c:layout>
                <c:manualLayout>
                  <c:x val="1.5764025085703043E-2"/>
                  <c:y val="-4.9065727864195198E-2"/>
                </c:manualLayout>
              </c:layout>
              <c:showVal val="1"/>
            </c:dLbl>
            <c:dLbl>
              <c:idx val="1"/>
              <c:layout>
                <c:manualLayout>
                  <c:x val="2.3148148148148147E-3"/>
                  <c:y val="-4.7619047619047623E-2"/>
                </c:manualLayout>
              </c:layout>
              <c:showVal val="1"/>
            </c:dLbl>
            <c:dLbl>
              <c:idx val="2"/>
              <c:layout>
                <c:manualLayout>
                  <c:x val="1.0430243716457888E-2"/>
                  <c:y val="-1.227048734721079E-2"/>
                </c:manualLayout>
              </c:layout>
              <c:showVal val="1"/>
            </c:dLbl>
            <c:numFmt formatCode="0" sourceLinked="0"/>
            <c:spPr>
              <a:noFill/>
              <a:ln w="23495">
                <a:noFill/>
              </a:ln>
            </c:spPr>
            <c:txPr>
              <a:bodyPr/>
              <a:lstStyle/>
              <a:p>
                <a:pPr>
                  <a:defRPr b="1">
                    <a:latin typeface="Times New Roman" pitchFamily="18" charset="0"/>
                    <a:cs typeface="Times New Roman" pitchFamily="18" charset="0"/>
                  </a:defRPr>
                </a:pPr>
                <a:endParaRPr lang="ru-RU"/>
              </a:p>
            </c:txPr>
            <c:showVal val="1"/>
          </c:dLbls>
          <c:cat>
            <c:strRef>
              <c:f>Лист1!$B$1:$D$1</c:f>
              <c:strCache>
                <c:ptCount val="3"/>
                <c:pt idx="0">
                  <c:v>м'ясо (реалізація на забій в живій вазі)</c:v>
                </c:pt>
                <c:pt idx="1">
                  <c:v>молоко</c:v>
                </c:pt>
                <c:pt idx="2">
                  <c:v>яйця, млн.шт.</c:v>
                </c:pt>
              </c:strCache>
            </c:strRef>
          </c:cat>
          <c:val>
            <c:numRef>
              <c:f>Лист1!$B$3:$D$3</c:f>
              <c:numCache>
                <c:formatCode>General</c:formatCode>
                <c:ptCount val="3"/>
                <c:pt idx="0" formatCode="0">
                  <c:v>77</c:v>
                </c:pt>
                <c:pt idx="1">
                  <c:v>170</c:v>
                </c:pt>
                <c:pt idx="2" formatCode="0">
                  <c:v>1144.4000000000001</c:v>
                </c:pt>
              </c:numCache>
            </c:numRef>
          </c:val>
        </c:ser>
        <c:gapWidth val="199"/>
        <c:gapDepth val="213"/>
        <c:shape val="cylinder"/>
        <c:axId val="39672448"/>
        <c:axId val="39391616"/>
        <c:axId val="0"/>
      </c:bar3DChart>
      <c:catAx>
        <c:axId val="3967244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39391616"/>
        <c:crosses val="autoZero"/>
        <c:auto val="1"/>
        <c:lblAlgn val="ctr"/>
        <c:lblOffset val="100"/>
      </c:catAx>
      <c:valAx>
        <c:axId val="39391616"/>
        <c:scaling>
          <c:orientation val="minMax"/>
        </c:scaling>
        <c:delete val="1"/>
        <c:axPos val="l"/>
        <c:numFmt formatCode="0.0" sourceLinked="1"/>
        <c:tickLblPos val="none"/>
        <c:crossAx val="39672448"/>
        <c:crosses val="autoZero"/>
        <c:crossBetween val="between"/>
      </c:valAx>
      <c:spPr>
        <a:noFill/>
        <a:ln w="23495">
          <a:noFill/>
        </a:ln>
      </c:spPr>
    </c:plotArea>
    <c:legend>
      <c:legendPos val="r"/>
      <c:layout>
        <c:manualLayout>
          <c:xMode val="edge"/>
          <c:yMode val="edge"/>
          <c:x val="0.25429553264604687"/>
          <c:y val="0.18848167539267024"/>
          <c:w val="0.17869415807560141"/>
          <c:h val="0.18848167539267024"/>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floor>
      <c:spPr>
        <a:blipFill>
          <a:blip xmlns:r="http://schemas.openxmlformats.org/officeDocument/2006/relationships" r:embed="rId2"/>
          <a:tile tx="0" ty="0" sx="100000" sy="100000" flip="none" algn="tl"/>
        </a:blipFill>
      </c:spPr>
    </c:floor>
    <c:plotArea>
      <c:layout>
        <c:manualLayout>
          <c:layoutTarget val="inner"/>
          <c:xMode val="edge"/>
          <c:yMode val="edge"/>
          <c:x val="2.5462962962962982E-2"/>
          <c:y val="4.3650793650793704E-2"/>
          <c:w val="0.97453703703703709"/>
          <c:h val="0.77902449693790166"/>
        </c:manualLayout>
      </c:layout>
      <c:bar3DChart>
        <c:barDir val="col"/>
        <c:grouping val="clustered"/>
        <c:ser>
          <c:idx val="0"/>
          <c:order val="0"/>
          <c:tx>
            <c:strRef>
              <c:f>Лист1!$B$1</c:f>
              <c:strCache>
                <c:ptCount val="1"/>
                <c:pt idx="0">
                  <c:v>на 01.07.2011</c:v>
                </c:pt>
              </c:strCache>
            </c:strRef>
          </c:tx>
          <c:spPr>
            <a:solidFill>
              <a:srgbClr val="7030A0"/>
            </a:solidFill>
          </c:spPr>
          <c:dLbls>
            <c:dLbl>
              <c:idx val="0"/>
              <c:layout>
                <c:manualLayout>
                  <c:x val="8.062756812449421E-3"/>
                  <c:y val="-4.4140522245409763E-2"/>
                </c:manualLayout>
              </c:layout>
              <c:showVal val="1"/>
            </c:dLbl>
            <c:dLbl>
              <c:idx val="1"/>
              <c:layout>
                <c:manualLayout>
                  <c:x val="1.7891182197223791E-2"/>
                  <c:y val="-4.956903354786673E-2"/>
                </c:manualLayout>
              </c:layout>
              <c:showVal val="1"/>
            </c:dLbl>
            <c:dLbl>
              <c:idx val="2"/>
              <c:layout>
                <c:manualLayout>
                  <c:x val="8.3013385908477823E-3"/>
                  <c:y val="-3.4114743173807062E-2"/>
                </c:manualLayout>
              </c:layout>
              <c:showVal val="1"/>
            </c:dLbl>
            <c:spPr>
              <a:noFill/>
              <a:ln w="22507">
                <a:noFill/>
              </a:ln>
            </c:spPr>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ВРХ</c:v>
                </c:pt>
                <c:pt idx="1">
                  <c:v>корови</c:v>
                </c:pt>
                <c:pt idx="2">
                  <c:v>Свині</c:v>
                </c:pt>
              </c:strCache>
            </c:strRef>
          </c:cat>
          <c:val>
            <c:numRef>
              <c:f>Лист1!$B$2:$B$4</c:f>
              <c:numCache>
                <c:formatCode>0</c:formatCode>
                <c:ptCount val="3"/>
                <c:pt idx="0">
                  <c:v>160.19999999999999</c:v>
                </c:pt>
                <c:pt idx="1">
                  <c:v>70.599999999999994</c:v>
                </c:pt>
                <c:pt idx="2">
                  <c:v>537.79999999999995</c:v>
                </c:pt>
              </c:numCache>
            </c:numRef>
          </c:val>
        </c:ser>
        <c:ser>
          <c:idx val="1"/>
          <c:order val="1"/>
          <c:tx>
            <c:strRef>
              <c:f>Лист1!$C$1</c:f>
              <c:strCache>
                <c:ptCount val="1"/>
                <c:pt idx="0">
                  <c:v>на 01.07.2012</c:v>
                </c:pt>
              </c:strCache>
            </c:strRef>
          </c:tx>
          <c:spPr>
            <a:solidFill>
              <a:srgbClr val="00FFFF"/>
            </a:solidFill>
            <a:ln>
              <a:solidFill>
                <a:schemeClr val="tx1"/>
              </a:solidFill>
            </a:ln>
          </c:spPr>
          <c:dLbls>
            <c:dLbl>
              <c:idx val="0"/>
              <c:layout>
                <c:manualLayout>
                  <c:x val="1.5955728373011183E-2"/>
                  <c:y val="-4.8793469301860709E-2"/>
                </c:manualLayout>
              </c:layout>
              <c:showVal val="1"/>
            </c:dLbl>
            <c:dLbl>
              <c:idx val="1"/>
              <c:layout>
                <c:manualLayout>
                  <c:x val="2.0023874519057561E-2"/>
                  <c:y val="-5.8315942689791837E-2"/>
                </c:manualLayout>
              </c:layout>
              <c:showVal val="1"/>
            </c:dLbl>
            <c:dLbl>
              <c:idx val="2"/>
              <c:layout>
                <c:manualLayout>
                  <c:x val="1.9941514781857031E-2"/>
                  <c:y val="-4.6966136471248483E-2"/>
                </c:manualLayout>
              </c:layout>
              <c:showVal val="1"/>
            </c:dLbl>
            <c:spPr>
              <a:noFill/>
              <a:ln w="22507">
                <a:noFill/>
              </a:ln>
            </c:spPr>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ВРХ</c:v>
                </c:pt>
                <c:pt idx="1">
                  <c:v>корови</c:v>
                </c:pt>
                <c:pt idx="2">
                  <c:v>Свині</c:v>
                </c:pt>
              </c:strCache>
            </c:strRef>
          </c:cat>
          <c:val>
            <c:numRef>
              <c:f>Лист1!$C$2:$C$4</c:f>
              <c:numCache>
                <c:formatCode>0</c:formatCode>
                <c:ptCount val="3"/>
                <c:pt idx="0">
                  <c:v>157.4</c:v>
                </c:pt>
                <c:pt idx="1">
                  <c:v>68.8</c:v>
                </c:pt>
                <c:pt idx="2">
                  <c:v>556.1</c:v>
                </c:pt>
              </c:numCache>
            </c:numRef>
          </c:val>
        </c:ser>
        <c:gapWidth val="200"/>
        <c:gapDepth val="201"/>
        <c:shape val="cylinder"/>
        <c:axId val="39650816"/>
        <c:axId val="39652352"/>
        <c:axId val="0"/>
      </c:bar3DChart>
      <c:catAx>
        <c:axId val="396508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39652352"/>
        <c:crosses val="autoZero"/>
        <c:auto val="1"/>
        <c:lblAlgn val="ctr"/>
        <c:lblOffset val="100"/>
      </c:catAx>
      <c:valAx>
        <c:axId val="39652352"/>
        <c:scaling>
          <c:orientation val="minMax"/>
        </c:scaling>
        <c:delete val="1"/>
        <c:axPos val="l"/>
        <c:numFmt formatCode="0" sourceLinked="1"/>
        <c:tickLblPos val="none"/>
        <c:crossAx val="39650816"/>
        <c:crosses val="autoZero"/>
        <c:crossBetween val="between"/>
      </c:valAx>
      <c:spPr>
        <a:noFill/>
        <a:ln w="22507">
          <a:noFill/>
        </a:ln>
      </c:spPr>
    </c:plotArea>
    <c:legend>
      <c:legendPos val="r"/>
      <c:layout>
        <c:manualLayout>
          <c:xMode val="edge"/>
          <c:yMode val="edge"/>
          <c:x val="0.27226027397260444"/>
          <c:y val="0.11794871794871796"/>
          <c:w val="0.16438356164383511"/>
          <c:h val="0.17435897435897435"/>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30"/>
    </c:view3D>
    <c:floor>
      <c:spPr>
        <a:solidFill>
          <a:schemeClr val="bg1">
            <a:lumMod val="75000"/>
          </a:schemeClr>
        </a:solidFill>
      </c:spPr>
    </c:floor>
    <c:plotArea>
      <c:layout>
        <c:manualLayout>
          <c:layoutTarget val="inner"/>
          <c:xMode val="edge"/>
          <c:yMode val="edge"/>
          <c:x val="3.0048118985126895E-2"/>
          <c:y val="1.2140451402139949E-3"/>
          <c:w val="0.96995188101487395"/>
          <c:h val="0.85702689242818053"/>
        </c:manualLayout>
      </c:layout>
      <c:bar3DChart>
        <c:barDir val="col"/>
        <c:grouping val="clustered"/>
        <c:ser>
          <c:idx val="0"/>
          <c:order val="0"/>
          <c:tx>
            <c:strRef>
              <c:f>Лист1!$B$1</c:f>
              <c:strCache>
                <c:ptCount val="1"/>
                <c:pt idx="0">
                  <c:v>6 міс. 2011 року</c:v>
                </c:pt>
              </c:strCache>
            </c:strRef>
          </c:tx>
          <c:spPr>
            <a:solidFill>
              <a:srgbClr val="FFC000"/>
            </a:solidFill>
            <a:ln>
              <a:solidFill>
                <a:sysClr val="windowText" lastClr="000000"/>
              </a:solidFill>
            </a:ln>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ЗТО</c:v>
                </c:pt>
                <c:pt idx="1">
                  <c:v>Експорт</c:v>
                </c:pt>
                <c:pt idx="2">
                  <c:v>Імпорт</c:v>
                </c:pt>
                <c:pt idx="3">
                  <c:v>Сальдо</c:v>
                </c:pt>
              </c:strCache>
            </c:strRef>
          </c:cat>
          <c:val>
            <c:numRef>
              <c:f>Лист1!$B$2:$B$5</c:f>
              <c:numCache>
                <c:formatCode>General</c:formatCode>
                <c:ptCount val="4"/>
                <c:pt idx="0" formatCode="0.0">
                  <c:v>10.9</c:v>
                </c:pt>
                <c:pt idx="1">
                  <c:v>8.8000000000000007</c:v>
                </c:pt>
                <c:pt idx="2">
                  <c:v>2.1</c:v>
                </c:pt>
                <c:pt idx="3" formatCode="0.0">
                  <c:v>6.7</c:v>
                </c:pt>
              </c:numCache>
            </c:numRef>
          </c:val>
        </c:ser>
        <c:ser>
          <c:idx val="1"/>
          <c:order val="1"/>
          <c:tx>
            <c:strRef>
              <c:f>Лист1!$C$1</c:f>
              <c:strCache>
                <c:ptCount val="1"/>
                <c:pt idx="0">
                  <c:v>6 міс. 2012 року</c:v>
                </c:pt>
              </c:strCache>
            </c:strRef>
          </c:tx>
          <c:spPr>
            <a:solidFill>
              <a:srgbClr val="7030A0"/>
            </a:solidFill>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ЗТО</c:v>
                </c:pt>
                <c:pt idx="1">
                  <c:v>Експорт</c:v>
                </c:pt>
                <c:pt idx="2">
                  <c:v>Імпорт</c:v>
                </c:pt>
                <c:pt idx="3">
                  <c:v>Сальдо</c:v>
                </c:pt>
              </c:strCache>
            </c:strRef>
          </c:cat>
          <c:val>
            <c:numRef>
              <c:f>Лист1!$C$2:$C$5</c:f>
              <c:numCache>
                <c:formatCode>General</c:formatCode>
                <c:ptCount val="4"/>
                <c:pt idx="0" formatCode="0.0">
                  <c:v>10.3</c:v>
                </c:pt>
                <c:pt idx="1">
                  <c:v>7.6</c:v>
                </c:pt>
                <c:pt idx="2" formatCode="0.0">
                  <c:v>2.7</c:v>
                </c:pt>
                <c:pt idx="3" formatCode="0.0">
                  <c:v>4.9000000000000004</c:v>
                </c:pt>
              </c:numCache>
            </c:numRef>
          </c:val>
        </c:ser>
        <c:shape val="cylinder"/>
        <c:axId val="39367040"/>
        <c:axId val="39368576"/>
        <c:axId val="0"/>
      </c:bar3DChart>
      <c:catAx>
        <c:axId val="39367040"/>
        <c:scaling>
          <c:orientation val="minMax"/>
        </c:scaling>
        <c:axPos val="b"/>
        <c:tickLblPos val="nextTo"/>
        <c:txPr>
          <a:bodyPr/>
          <a:lstStyle/>
          <a:p>
            <a:pPr>
              <a:defRPr>
                <a:latin typeface="Times New Roman" pitchFamily="18" charset="0"/>
                <a:cs typeface="Times New Roman" pitchFamily="18" charset="0"/>
              </a:defRPr>
            </a:pPr>
            <a:endParaRPr lang="ru-RU"/>
          </a:p>
        </c:txPr>
        <c:crossAx val="39368576"/>
        <c:crosses val="autoZero"/>
        <c:auto val="1"/>
        <c:lblAlgn val="ctr"/>
        <c:lblOffset val="100"/>
      </c:catAx>
      <c:valAx>
        <c:axId val="39368576"/>
        <c:scaling>
          <c:orientation val="minMax"/>
        </c:scaling>
        <c:delete val="1"/>
        <c:axPos val="l"/>
        <c:numFmt formatCode="0.0" sourceLinked="1"/>
        <c:tickLblPos val="none"/>
        <c:crossAx val="39367040"/>
        <c:crosses val="autoZero"/>
        <c:crossBetween val="between"/>
      </c:valAx>
      <c:spPr>
        <a:noFill/>
        <a:ln>
          <a:noFill/>
        </a:ln>
      </c:spPr>
    </c:plotArea>
    <c:legend>
      <c:legendPos val="r"/>
      <c:layout>
        <c:manualLayout>
          <c:xMode val="edge"/>
          <c:yMode val="edge"/>
          <c:x val="0.55873961067366673"/>
          <c:y val="0.18342876877943151"/>
          <c:w val="0.19531824146981641"/>
          <c:h val="0.22569292583701858"/>
        </c:manualLayout>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218263256562446E-2"/>
          <c:y val="4.4673539518900393E-2"/>
          <c:w val="0.90709526785216521"/>
          <c:h val="0.5412947805487448"/>
        </c:manualLayout>
      </c:layout>
      <c:barChart>
        <c:barDir val="col"/>
        <c:grouping val="clustered"/>
        <c:ser>
          <c:idx val="0"/>
          <c:order val="0"/>
          <c:tx>
            <c:strRef>
              <c:f>Лист1!$A$7</c:f>
              <c:strCache>
                <c:ptCount val="1"/>
                <c:pt idx="0">
                  <c:v>Загальний обсяг продажу товарів населенню, млрд.грн.</c:v>
                </c:pt>
              </c:strCache>
            </c:strRef>
          </c:tx>
          <c:spPr>
            <a:solidFill>
              <a:schemeClr val="accent3">
                <a:lumMod val="60000"/>
                <a:lumOff val="40000"/>
              </a:schemeClr>
            </a:solidFill>
            <a:ln w="12692">
              <a:solidFill>
                <a:srgbClr val="000000"/>
              </a:solidFill>
              <a:prstDash val="solid"/>
            </a:ln>
          </c:spPr>
          <c:dLbls>
            <c:spPr>
              <a:noFill/>
              <a:ln w="2538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Лист1!$B$6:$D$6</c:f>
              <c:strCache>
                <c:ptCount val="3"/>
                <c:pt idx="0">
                  <c:v>січень-червень 2010</c:v>
                </c:pt>
                <c:pt idx="1">
                  <c:v>січень-червень 2011</c:v>
                </c:pt>
                <c:pt idx="2">
                  <c:v>січень-червень 2012</c:v>
                </c:pt>
              </c:strCache>
            </c:strRef>
          </c:cat>
          <c:val>
            <c:numRef>
              <c:f>Лист1!$B$7:$D$7</c:f>
              <c:numCache>
                <c:formatCode>0.0</c:formatCode>
                <c:ptCount val="3"/>
                <c:pt idx="0">
                  <c:v>24</c:v>
                </c:pt>
                <c:pt idx="1">
                  <c:v>29.9</c:v>
                </c:pt>
                <c:pt idx="2">
                  <c:v>36.1</c:v>
                </c:pt>
              </c:numCache>
            </c:numRef>
          </c:val>
        </c:ser>
        <c:ser>
          <c:idx val="1"/>
          <c:order val="1"/>
          <c:tx>
            <c:strRef>
              <c:f>Лист1!$A$8</c:f>
              <c:strCache>
                <c:ptCount val="1"/>
                <c:pt idx="0">
                  <c:v>Обсяг роздрібного товарообороту підприємств-юр.осіб, млрд.грн.</c:v>
                </c:pt>
              </c:strCache>
            </c:strRef>
          </c:tx>
          <c:spPr>
            <a:solidFill>
              <a:schemeClr val="accent1">
                <a:lumMod val="75000"/>
              </a:schemeClr>
            </a:solidFill>
            <a:ln w="12692">
              <a:solidFill>
                <a:srgbClr val="000000"/>
              </a:solidFill>
              <a:prstDash val="solid"/>
            </a:ln>
          </c:spPr>
          <c:dLbls>
            <c:spPr>
              <a:noFill/>
              <a:ln w="2538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Лист1!$B$6:$D$6</c:f>
              <c:strCache>
                <c:ptCount val="3"/>
                <c:pt idx="0">
                  <c:v>січень-червень 2010</c:v>
                </c:pt>
                <c:pt idx="1">
                  <c:v>січень-червень 2011</c:v>
                </c:pt>
                <c:pt idx="2">
                  <c:v>січень-червень 2012</c:v>
                </c:pt>
              </c:strCache>
            </c:strRef>
          </c:cat>
          <c:val>
            <c:numRef>
              <c:f>Лист1!$B$8:$D$8</c:f>
              <c:numCache>
                <c:formatCode>0.0</c:formatCode>
                <c:ptCount val="3"/>
                <c:pt idx="0">
                  <c:v>11.1</c:v>
                </c:pt>
                <c:pt idx="1">
                  <c:v>14.2</c:v>
                </c:pt>
                <c:pt idx="2">
                  <c:v>17</c:v>
                </c:pt>
              </c:numCache>
            </c:numRef>
          </c:val>
        </c:ser>
        <c:ser>
          <c:idx val="2"/>
          <c:order val="2"/>
          <c:tx>
            <c:strRef>
              <c:f>Лист1!$A$9</c:f>
              <c:strCache>
                <c:ptCount val="1"/>
                <c:pt idx="0">
                  <c:v>Темп зростання товарообороту у порівняних цінах, %</c:v>
                </c:pt>
              </c:strCache>
            </c:strRef>
          </c:tx>
          <c:spPr>
            <a:solidFill>
              <a:srgbClr val="FFFFCC"/>
            </a:solidFill>
            <a:ln w="12692">
              <a:solidFill>
                <a:srgbClr val="000000"/>
              </a:solidFill>
              <a:prstDash val="solid"/>
            </a:ln>
          </c:spPr>
          <c:dLbls>
            <c:spPr>
              <a:noFill/>
              <a:ln w="25384">
                <a:noFill/>
              </a:ln>
            </c:spPr>
            <c:txPr>
              <a:bodyPr/>
              <a:lstStyle/>
              <a:p>
                <a:pPr>
                  <a:defRPr sz="1099" b="0" i="0" u="none" strike="noStrike" baseline="0">
                    <a:solidFill>
                      <a:srgbClr val="000000"/>
                    </a:solidFill>
                    <a:latin typeface="Times New Roman"/>
                    <a:ea typeface="Times New Roman"/>
                    <a:cs typeface="Times New Roman"/>
                  </a:defRPr>
                </a:pPr>
                <a:endParaRPr lang="ru-RU"/>
              </a:p>
            </c:txPr>
            <c:showVal val="1"/>
          </c:dLbls>
          <c:cat>
            <c:strRef>
              <c:f>Лист1!$B$6:$D$6</c:f>
              <c:strCache>
                <c:ptCount val="3"/>
                <c:pt idx="0">
                  <c:v>січень-червень 2010</c:v>
                </c:pt>
                <c:pt idx="1">
                  <c:v>січень-червень 2011</c:v>
                </c:pt>
                <c:pt idx="2">
                  <c:v>січень-червень 2012</c:v>
                </c:pt>
              </c:strCache>
            </c:strRef>
          </c:cat>
          <c:val>
            <c:numRef>
              <c:f>Лист1!$B$9:$D$9</c:f>
              <c:numCache>
                <c:formatCode>General</c:formatCode>
                <c:ptCount val="3"/>
              </c:numCache>
            </c:numRef>
          </c:val>
        </c:ser>
        <c:dLbls>
          <c:showVal val="1"/>
        </c:dLbls>
        <c:gapWidth val="0"/>
        <c:axId val="39444480"/>
        <c:axId val="39446016"/>
      </c:barChart>
      <c:catAx>
        <c:axId val="39444480"/>
        <c:scaling>
          <c:orientation val="minMax"/>
        </c:scaling>
        <c:axPos val="b"/>
        <c:numFmt formatCode="General" sourceLinked="1"/>
        <c:tickLblPos val="nextTo"/>
        <c:spPr>
          <a:ln w="3173">
            <a:solidFill>
              <a:srgbClr val="000000"/>
            </a:solidFill>
            <a:prstDash val="solid"/>
          </a:ln>
        </c:spPr>
        <c:txPr>
          <a:bodyPr rot="0" vert="horz"/>
          <a:lstStyle/>
          <a:p>
            <a:pPr>
              <a:defRPr sz="949" b="0" i="0" u="none" strike="noStrike" baseline="0">
                <a:solidFill>
                  <a:srgbClr val="000000"/>
                </a:solidFill>
                <a:latin typeface="Times New Roman"/>
                <a:ea typeface="Times New Roman"/>
                <a:cs typeface="Times New Roman"/>
              </a:defRPr>
            </a:pPr>
            <a:endParaRPr lang="ru-RU"/>
          </a:p>
        </c:txPr>
        <c:crossAx val="39446016"/>
        <c:crosses val="autoZero"/>
        <c:auto val="1"/>
        <c:lblAlgn val="ctr"/>
        <c:lblOffset val="100"/>
        <c:tickLblSkip val="1"/>
        <c:tickMarkSkip val="1"/>
      </c:catAx>
      <c:valAx>
        <c:axId val="39446016"/>
        <c:scaling>
          <c:orientation val="minMax"/>
        </c:scaling>
        <c:axPos val="l"/>
        <c:numFmt formatCode="0.0" sourceLinked="1"/>
        <c:majorTickMark val="none"/>
        <c:tickLblPos val="none"/>
        <c:spPr>
          <a:ln w="9519">
            <a:noFill/>
          </a:ln>
        </c:spPr>
        <c:crossAx val="39444480"/>
        <c:crosses val="autoZero"/>
        <c:crossBetween val="between"/>
      </c:valAx>
      <c:spPr>
        <a:noFill/>
        <a:ln w="25384">
          <a:noFill/>
        </a:ln>
      </c:spPr>
    </c:plotArea>
    <c:legend>
      <c:legendPos val="b"/>
      <c:layout>
        <c:manualLayout>
          <c:xMode val="edge"/>
          <c:yMode val="edge"/>
          <c:x val="0.14165261382799341"/>
          <c:y val="0.7833379122540558"/>
          <c:w val="0.74367622259696464"/>
          <c:h val="0.20635312291032745"/>
        </c:manualLayout>
      </c:layout>
      <c:spPr>
        <a:noFill/>
        <a:ln w="25384">
          <a:noFill/>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99" b="0" i="0" u="none" strike="noStrike" baseline="0">
          <a:solidFill>
            <a:srgbClr val="000000"/>
          </a:solidFill>
          <a:latin typeface="Times New Roman"/>
          <a:ea typeface="Times New Roman"/>
          <a:cs typeface="Times New Roman"/>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0.653</cdr:x>
      <cdr:y>0.48</cdr:y>
    </cdr:from>
    <cdr:to>
      <cdr:x>0.718</cdr:x>
      <cdr:y>0.64825</cdr:y>
    </cdr:to>
    <cdr:sp macro="" textlink="">
      <cdr:nvSpPr>
        <cdr:cNvPr id="1025" name="Text Box 1"/>
        <cdr:cNvSpPr txBox="1">
          <a:spLocks xmlns:a="http://schemas.openxmlformats.org/drawingml/2006/main" noChangeArrowheads="1"/>
        </cdr:cNvSpPr>
      </cdr:nvSpPr>
      <cdr:spPr bwMode="auto">
        <a:xfrm xmlns:a="http://schemas.openxmlformats.org/drawingml/2006/main">
          <a:off x="3632378" y="923544"/>
          <a:ext cx="361569" cy="32372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0.30943</cdr:x>
      <cdr:y>0.04319</cdr:y>
    </cdr:from>
    <cdr:to>
      <cdr:x>0.61828</cdr:x>
      <cdr:y>0.24802</cdr:y>
    </cdr:to>
    <cdr:sp macro="" textlink="">
      <cdr:nvSpPr>
        <cdr:cNvPr id="1025" name="AutoShape 1"/>
        <cdr:cNvSpPr>
          <a:spLocks xmlns:a="http://schemas.openxmlformats.org/drawingml/2006/main" noChangeArrowheads="1"/>
        </cdr:cNvSpPr>
      </cdr:nvSpPr>
      <cdr:spPr bwMode="auto">
        <a:xfrm xmlns:a="http://schemas.openxmlformats.org/drawingml/2006/main" rot="-369662">
          <a:off x="1881101" y="99392"/>
          <a:ext cx="1877551" cy="471311"/>
        </a:xfrm>
        <a:custGeom xmlns:a="http://schemas.openxmlformats.org/drawingml/2006/main">
          <a:avLst/>
          <a:gdLst>
            <a:gd name="G0" fmla="+- -1677371 0 0"/>
            <a:gd name="G1" fmla="+- -11356786 0 0"/>
            <a:gd name="G2" fmla="+- -1677371 0 -11356786"/>
            <a:gd name="G3" fmla="+- 10800 0 0"/>
            <a:gd name="G4" fmla="+- 0 0 -1677371"/>
            <a:gd name="T0" fmla="*/ 360 256 1"/>
            <a:gd name="T1" fmla="*/ 0 256 1"/>
            <a:gd name="G5" fmla="+- G2 T0 T1"/>
            <a:gd name="G6" fmla="?: G2 G2 G5"/>
            <a:gd name="G7" fmla="+- 0 0 G6"/>
            <a:gd name="G8" fmla="+- 5703 0 0"/>
            <a:gd name="G9" fmla="+- 0 0 -11356786"/>
            <a:gd name="G10" fmla="+- 5703 0 2700"/>
            <a:gd name="G11" fmla="cos G10 -1677371"/>
            <a:gd name="G12" fmla="sin G10 -1677371"/>
            <a:gd name="G13" fmla="cos 13500 -1677371"/>
            <a:gd name="G14" fmla="sin 13500 -1677371"/>
            <a:gd name="G15" fmla="+- G11 10800 0"/>
            <a:gd name="G16" fmla="+- G12 10800 0"/>
            <a:gd name="G17" fmla="+- G13 10800 0"/>
            <a:gd name="G18" fmla="+- G14 10800 0"/>
            <a:gd name="G19" fmla="*/ 5703 1 2"/>
            <a:gd name="G20" fmla="+- G19 5400 0"/>
            <a:gd name="G21" fmla="cos G20 -1677371"/>
            <a:gd name="G22" fmla="sin G20 -1677371"/>
            <a:gd name="G23" fmla="+- G21 10800 0"/>
            <a:gd name="G24" fmla="+- G12 G23 G22"/>
            <a:gd name="G25" fmla="+- G22 G23 G11"/>
            <a:gd name="G26" fmla="cos 10800 -1677371"/>
            <a:gd name="G27" fmla="sin 10800 -1677371"/>
            <a:gd name="G28" fmla="cos 5703 -1677371"/>
            <a:gd name="G29" fmla="sin 5703 -1677371"/>
            <a:gd name="G30" fmla="+- G26 10800 0"/>
            <a:gd name="G31" fmla="+- G27 10800 0"/>
            <a:gd name="G32" fmla="+- G28 10800 0"/>
            <a:gd name="G33" fmla="+- G29 10800 0"/>
            <a:gd name="G34" fmla="+- G19 5400 0"/>
            <a:gd name="G35" fmla="cos G34 -11356786"/>
            <a:gd name="G36" fmla="sin G34 -11356786"/>
            <a:gd name="G37" fmla="+/ -11356786 -1677371 2"/>
            <a:gd name="T2" fmla="*/ 180 256 1"/>
            <a:gd name="T3" fmla="*/ 0 256 1"/>
            <a:gd name="G38" fmla="+- G37 T2 T3"/>
            <a:gd name="G39" fmla="?: G2 G37 G38"/>
            <a:gd name="G40" fmla="cos 10800 G39"/>
            <a:gd name="G41" fmla="sin 10800 G39"/>
            <a:gd name="G42" fmla="cos 5703 G39"/>
            <a:gd name="G43" fmla="sin 5703 G39"/>
            <a:gd name="G44" fmla="+- G40 10800 0"/>
            <a:gd name="G45" fmla="+- G41 10800 0"/>
            <a:gd name="G46" fmla="+- G42 10800 0"/>
            <a:gd name="G47" fmla="+- G43 10800 0"/>
            <a:gd name="G48" fmla="+- G35 10800 0"/>
            <a:gd name="G49" fmla="+- G36 10800 0"/>
            <a:gd name="T4" fmla="*/ 9028 w 21600"/>
            <a:gd name="T5" fmla="*/ 146 h 21600"/>
            <a:gd name="T6" fmla="*/ 2604 w 21600"/>
            <a:gd name="T7" fmla="*/ 9835 h 21600"/>
            <a:gd name="T8" fmla="*/ 9864 w 21600"/>
            <a:gd name="T9" fmla="*/ 5174 h 21600"/>
            <a:gd name="T10" fmla="*/ 22975 w 21600"/>
            <a:gd name="T11" fmla="*/ 4967 h 21600"/>
            <a:gd name="T12" fmla="*/ 20509 w 21600"/>
            <a:gd name="T13" fmla="*/ 11969 h 21600"/>
            <a:gd name="T14" fmla="*/ 13508 w 21600"/>
            <a:gd name="T15" fmla="*/ 95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943" y="8336"/>
              </a:moveTo>
              <a:cubicBezTo>
                <a:pt x="14995" y="6356"/>
                <a:pt x="12994" y="5097"/>
                <a:pt x="10800" y="5097"/>
              </a:cubicBezTo>
              <a:cubicBezTo>
                <a:pt x="7908" y="5096"/>
                <a:pt x="5473" y="7261"/>
                <a:pt x="5136" y="10133"/>
              </a:cubicBezTo>
              <a:lnTo>
                <a:pt x="73" y="9538"/>
              </a:lnTo>
              <a:cubicBezTo>
                <a:pt x="713" y="4099"/>
                <a:pt x="5323" y="-1"/>
                <a:pt x="10800" y="0"/>
              </a:cubicBezTo>
              <a:cubicBezTo>
                <a:pt x="14956" y="0"/>
                <a:pt x="18744" y="2385"/>
                <a:pt x="20540" y="6134"/>
              </a:cubicBezTo>
              <a:lnTo>
                <a:pt x="22975" y="4967"/>
              </a:lnTo>
              <a:lnTo>
                <a:pt x="20509" y="11969"/>
              </a:lnTo>
              <a:lnTo>
                <a:pt x="13508" y="9502"/>
              </a:lnTo>
              <a:lnTo>
                <a:pt x="15943" y="8336"/>
              </a:lnTo>
              <a:close/>
            </a:path>
          </a:pathLst>
        </a:cu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0.28955</cdr:x>
      <cdr:y>0</cdr:y>
    </cdr:from>
    <cdr:to>
      <cdr:x>0.4123</cdr:x>
      <cdr:y>0.09127</cdr:y>
    </cdr:to>
    <cdr:sp macro="" textlink="">
      <cdr:nvSpPr>
        <cdr:cNvPr id="1026" name="Rectangle 2"/>
        <cdr:cNvSpPr>
          <a:spLocks xmlns:a="http://schemas.openxmlformats.org/drawingml/2006/main" noChangeArrowheads="1"/>
        </cdr:cNvSpPr>
      </cdr:nvSpPr>
      <cdr:spPr bwMode="auto">
        <a:xfrm xmlns:a="http://schemas.openxmlformats.org/drawingml/2006/main">
          <a:off x="1760233" y="0"/>
          <a:ext cx="746228" cy="2100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1">
            <a:defRPr sz="1000"/>
          </a:pPr>
          <a:r>
            <a:rPr lang="ru-RU" sz="1000" b="1" i="0" strike="noStrike">
              <a:solidFill>
                <a:srgbClr val="000000"/>
              </a:solidFill>
              <a:latin typeface="Times New Roman"/>
              <a:cs typeface="Times New Roman"/>
            </a:rPr>
            <a:t>+16,5%</a:t>
          </a:r>
        </a:p>
      </cdr:txBody>
    </cdr:sp>
  </cdr:relSizeAnchor>
</c:userShapes>
</file>

<file path=word/drawings/drawing3.xml><?xml version="1.0" encoding="utf-8"?>
<c:userShapes xmlns:c="http://schemas.openxmlformats.org/drawingml/2006/chart">
  <cdr:relSizeAnchor xmlns:cdr="http://schemas.openxmlformats.org/drawingml/2006/chartDrawing">
    <cdr:from>
      <cdr:x>0.07085</cdr:x>
      <cdr:y>0.74554</cdr:y>
    </cdr:from>
    <cdr:to>
      <cdr:x>0.95085</cdr:x>
      <cdr:y>0.81886</cdr:y>
    </cdr:to>
    <cdr:grpSp>
      <cdr:nvGrpSpPr>
        <cdr:cNvPr id="76808" name="Group 8"/>
        <cdr:cNvGrpSpPr>
          <a:grpSpLocks xmlns:a="http://schemas.openxmlformats.org/drawingml/2006/main"/>
        </cdr:cNvGrpSpPr>
      </cdr:nvGrpSpPr>
      <cdr:grpSpPr bwMode="auto">
        <a:xfrm xmlns:a="http://schemas.openxmlformats.org/drawingml/2006/main">
          <a:off x="373049" y="1678085"/>
          <a:ext cx="4633496" cy="165030"/>
          <a:chOff x="543616" y="2895962"/>
          <a:chExt cx="5181978" cy="209026"/>
        </a:xfrm>
      </cdr:grpSpPr>
      <cdr:sp macro="" textlink="">
        <cdr:nvSpPr>
          <cdr:cNvPr id="76804" name="Rectangle 4"/>
          <cdr:cNvSpPr>
            <a:spLocks xmlns:a="http://schemas.openxmlformats.org/drawingml/2006/main" noChangeArrowheads="1"/>
          </cdr:cNvSpPr>
        </cdr:nvSpPr>
        <cdr:spPr bwMode="auto">
          <a:xfrm xmlns:a="http://schemas.openxmlformats.org/drawingml/2006/main">
            <a:off x="543616" y="2895962"/>
            <a:ext cx="703761" cy="20902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1">
              <a:defRPr sz="1000"/>
            </a:pPr>
            <a:r>
              <a:rPr lang="ru-RU" sz="800" b="0" i="0" strike="noStrike">
                <a:solidFill>
                  <a:srgbClr val="000000"/>
                </a:solidFill>
                <a:latin typeface="Times New Roman"/>
                <a:cs typeface="Times New Roman"/>
              </a:rPr>
              <a:t>2010</a:t>
            </a:r>
          </a:p>
        </cdr:txBody>
      </cdr:sp>
      <cdr:sp macro="" textlink="">
        <cdr:nvSpPr>
          <cdr:cNvPr id="76805" name="Rectangle 5"/>
          <cdr:cNvSpPr>
            <a:spLocks xmlns:a="http://schemas.openxmlformats.org/drawingml/2006/main" noChangeArrowheads="1"/>
          </cdr:cNvSpPr>
        </cdr:nvSpPr>
        <cdr:spPr bwMode="auto">
          <a:xfrm xmlns:a="http://schemas.openxmlformats.org/drawingml/2006/main">
            <a:off x="3238186" y="2895962"/>
            <a:ext cx="1026992" cy="20902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1">
              <a:defRPr sz="1000"/>
            </a:pPr>
            <a:r>
              <a:rPr lang="ru-RU" sz="800" b="0" i="0" strike="noStrike">
                <a:solidFill>
                  <a:srgbClr val="000000"/>
                </a:solidFill>
                <a:latin typeface="Times New Roman"/>
                <a:cs typeface="Times New Roman"/>
              </a:rPr>
              <a:t>6</a:t>
            </a:r>
            <a:r>
              <a:rPr lang="ru-RU" sz="800" b="0" i="0" strike="noStrike" baseline="0">
                <a:solidFill>
                  <a:srgbClr val="000000"/>
                </a:solidFill>
                <a:latin typeface="Times New Roman"/>
                <a:cs typeface="Times New Roman"/>
              </a:rPr>
              <a:t> </a:t>
            </a:r>
            <a:r>
              <a:rPr lang="ru-RU" sz="800" b="0" i="0" strike="noStrike">
                <a:solidFill>
                  <a:srgbClr val="000000"/>
                </a:solidFill>
                <a:latin typeface="Times New Roman"/>
                <a:cs typeface="Times New Roman"/>
              </a:rPr>
              <a:t>міс. 2011 р.</a:t>
            </a:r>
          </a:p>
        </cdr:txBody>
      </cdr:sp>
      <cdr:sp macro="" textlink="">
        <cdr:nvSpPr>
          <cdr:cNvPr id="76806" name="Rectangle 6"/>
          <cdr:cNvSpPr>
            <a:spLocks xmlns:a="http://schemas.openxmlformats.org/drawingml/2006/main" noChangeArrowheads="1"/>
          </cdr:cNvSpPr>
        </cdr:nvSpPr>
        <cdr:spPr bwMode="auto">
          <a:xfrm xmlns:a="http://schemas.openxmlformats.org/drawingml/2006/main">
            <a:off x="1961424" y="2895962"/>
            <a:ext cx="703761" cy="20902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1">
              <a:defRPr sz="1000"/>
            </a:pPr>
            <a:r>
              <a:rPr lang="ru-RU" sz="800" b="0" i="0" strike="noStrike">
                <a:solidFill>
                  <a:srgbClr val="000000"/>
                </a:solidFill>
                <a:latin typeface="Times New Roman"/>
                <a:cs typeface="Times New Roman"/>
              </a:rPr>
              <a:t>2011</a:t>
            </a:r>
          </a:p>
        </cdr:txBody>
      </cdr:sp>
      <cdr:sp macro="" textlink="">
        <cdr:nvSpPr>
          <cdr:cNvPr id="76807" name="Rectangle 7"/>
          <cdr:cNvSpPr>
            <a:spLocks xmlns:a="http://schemas.openxmlformats.org/drawingml/2006/main" noChangeArrowheads="1"/>
          </cdr:cNvSpPr>
        </cdr:nvSpPr>
        <cdr:spPr bwMode="auto">
          <a:xfrm xmlns:a="http://schemas.openxmlformats.org/drawingml/2006/main">
            <a:off x="4695663" y="2895962"/>
            <a:ext cx="1029931" cy="20902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1">
              <a:defRPr sz="1000"/>
            </a:pPr>
            <a:r>
              <a:rPr lang="ru-RU" sz="800" b="0" i="0" strike="noStrike">
                <a:solidFill>
                  <a:srgbClr val="000000"/>
                </a:solidFill>
                <a:latin typeface="Times New Roman"/>
                <a:cs typeface="Times New Roman"/>
              </a:rPr>
              <a:t>6 міс. 2012 р.</a:t>
            </a:r>
          </a:p>
        </cdr:txBody>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31</Pages>
  <Words>13107</Words>
  <Characters>74713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Звіт</vt:lpstr>
    </vt:vector>
  </TitlesOfParts>
  <Company>ОДА</Company>
  <LinksUpToDate>false</LinksUpToDate>
  <CharactersWithSpaces>87645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502</dc:creator>
  <cp:lastModifiedBy>aradionova</cp:lastModifiedBy>
  <cp:revision>2</cp:revision>
  <cp:lastPrinted>2012-09-07T16:13:00Z</cp:lastPrinted>
  <dcterms:created xsi:type="dcterms:W3CDTF">2012-09-10T06:58:00Z</dcterms:created>
  <dcterms:modified xsi:type="dcterms:W3CDTF">2012-09-10T06:58:00Z</dcterms:modified>
</cp:coreProperties>
</file>